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356DE" w14:textId="3FE5872B" w:rsidR="00C66095" w:rsidRDefault="00706595">
      <w:r>
        <w:t>VIA ELECTRONIC FILING</w:t>
      </w:r>
    </w:p>
    <w:p w14:paraId="4B0C132F" w14:textId="07C20A0A" w:rsidR="003B60F7" w:rsidRDefault="001A7442">
      <w:r>
        <w:fldChar w:fldCharType="begin"/>
      </w:r>
      <w:r>
        <w:instrText xml:space="preserve"> DATE \@ "MMMM d, yyyy" </w:instrText>
      </w:r>
      <w:r>
        <w:fldChar w:fldCharType="separate"/>
      </w:r>
      <w:r w:rsidR="00685696">
        <w:rPr>
          <w:noProof/>
        </w:rPr>
        <w:t>October 3, 2019</w:t>
      </w:r>
      <w:r>
        <w:fldChar w:fldCharType="end"/>
      </w:r>
    </w:p>
    <w:p w14:paraId="679620DB" w14:textId="0BE0931A" w:rsidR="008A7F93" w:rsidRDefault="008A7F93" w:rsidP="008A7F93">
      <w:pPr>
        <w:spacing w:after="240" w:line="240" w:lineRule="auto"/>
      </w:pPr>
      <w:r>
        <w:t>Ms. Marlene H. Dortch, Secretary</w:t>
      </w:r>
      <w:r>
        <w:br/>
        <w:t>Federal Communications Commission</w:t>
      </w:r>
      <w:r>
        <w:br/>
        <w:t>445 12th Street, SW</w:t>
      </w:r>
      <w:r>
        <w:br/>
        <w:t>Washington, DC 20554</w:t>
      </w:r>
    </w:p>
    <w:p w14:paraId="7A22008B" w14:textId="31F75AEA" w:rsidR="008A7F93" w:rsidRDefault="008A7F93" w:rsidP="008A7F93">
      <w:pPr>
        <w:spacing w:after="240" w:line="240" w:lineRule="auto"/>
        <w:ind w:left="720" w:hanging="720"/>
      </w:pPr>
      <w:r>
        <w:t>Re:</w:t>
      </w:r>
      <w:r>
        <w:tab/>
        <w:t xml:space="preserve">Ex </w:t>
      </w:r>
      <w:proofErr w:type="spellStart"/>
      <w:r w:rsidR="00043351">
        <w:t>P</w:t>
      </w:r>
      <w:r>
        <w:t>arte</w:t>
      </w:r>
      <w:proofErr w:type="spellEnd"/>
      <w:r>
        <w:t xml:space="preserve"> Presentation </w:t>
      </w:r>
      <w:r>
        <w:br/>
        <w:t>GN Docket No. 16-142, Next Generation Broadcast Television Standard</w:t>
      </w:r>
    </w:p>
    <w:p w14:paraId="4BF8B786" w14:textId="71085183" w:rsidR="008A7F93" w:rsidRPr="008A7F93" w:rsidRDefault="008A7F93" w:rsidP="008A7F93">
      <w:pPr>
        <w:spacing w:after="240" w:line="240" w:lineRule="auto"/>
        <w:ind w:left="720" w:hanging="720"/>
      </w:pPr>
      <w:r>
        <w:t>Dear Ms. Dortch:</w:t>
      </w:r>
    </w:p>
    <w:p w14:paraId="649E79D7" w14:textId="40213C6B" w:rsidR="001D35D0" w:rsidRDefault="00706595">
      <w:r>
        <w:t xml:space="preserve">On September 23, 2019, Madeleine Noland, president of </w:t>
      </w:r>
      <w:r w:rsidRPr="00706595">
        <w:t>Advanced Television Systems Committee Inc.</w:t>
      </w:r>
      <w:r w:rsidR="00043351">
        <w:t xml:space="preserve"> </w:t>
      </w:r>
      <w:r>
        <w:t xml:space="preserve">(“ATSC”) </w:t>
      </w:r>
      <w:r w:rsidR="001D35D0">
        <w:t xml:space="preserve">spoke by telephone with Evan </w:t>
      </w:r>
      <w:proofErr w:type="spellStart"/>
      <w:r w:rsidR="001D35D0">
        <w:t>Baranoff</w:t>
      </w:r>
      <w:proofErr w:type="spellEnd"/>
      <w:r w:rsidR="001D35D0">
        <w:t xml:space="preserve">, an Attorney Advisor in the FCC’s Media Bureau, in response to a request from Mr. </w:t>
      </w:r>
      <w:proofErr w:type="spellStart"/>
      <w:r w:rsidR="001D35D0">
        <w:t>Baranoff</w:t>
      </w:r>
      <w:proofErr w:type="spellEnd"/>
      <w:r w:rsidR="001D35D0">
        <w:t xml:space="preserve"> for information regarding </w:t>
      </w:r>
      <w:r w:rsidR="003B60F7">
        <w:t xml:space="preserve">the ATSC Patent Policy and the activities of ATSC’s Specialist Group on </w:t>
      </w:r>
      <w:r w:rsidR="003B60F7" w:rsidRPr="003B60F7">
        <w:t>Conversion and Redistribution of ATSC 3.0 Service</w:t>
      </w:r>
      <w:r w:rsidR="003B60F7">
        <w:t xml:space="preserve"> (TG3/S37).</w:t>
      </w:r>
      <w:r w:rsidR="001D35D0">
        <w:t xml:space="preserve">  </w:t>
      </w:r>
    </w:p>
    <w:p w14:paraId="32A7E86B" w14:textId="4E09151B" w:rsidR="003B60F7" w:rsidRDefault="003B60F7">
      <w:r>
        <w:t xml:space="preserve">Ms. Noland </w:t>
      </w:r>
      <w:r w:rsidR="001D35D0">
        <w:t xml:space="preserve">provided Mr. </w:t>
      </w:r>
      <w:proofErr w:type="spellStart"/>
      <w:r w:rsidR="001D35D0">
        <w:t>Baranoff</w:t>
      </w:r>
      <w:proofErr w:type="spellEnd"/>
      <w:r w:rsidR="001D35D0">
        <w:t xml:space="preserve"> with </w:t>
      </w:r>
      <w:r>
        <w:t xml:space="preserve">information regarding the activities of TG3/S37, including the expected imminent publication of a new Recommended Practice on converting ATSC 3.0 services to ATSC 1.0 services. </w:t>
      </w:r>
      <w:r w:rsidRPr="003D06E5">
        <w:t xml:space="preserve">On </w:t>
      </w:r>
      <w:r w:rsidR="003D06E5" w:rsidRPr="003D06E5">
        <w:t>October 2</w:t>
      </w:r>
      <w:r w:rsidRPr="003D06E5">
        <w:t>, 2019</w:t>
      </w:r>
      <w:r>
        <w:t xml:space="preserve">, Ms. Noland provided further information to Mr. </w:t>
      </w:r>
      <w:proofErr w:type="spellStart"/>
      <w:r>
        <w:t>Bar</w:t>
      </w:r>
      <w:r w:rsidR="00F66D47">
        <w:t>a</w:t>
      </w:r>
      <w:r>
        <w:t>noff</w:t>
      </w:r>
      <w:proofErr w:type="spellEnd"/>
      <w:r>
        <w:t xml:space="preserve"> regarding ATSC’s patent policy, which can be found on the ATSC website at </w:t>
      </w:r>
      <w:hyperlink r:id="rId6" w:history="1">
        <w:r>
          <w:rPr>
            <w:rStyle w:val="Hyperlink"/>
          </w:rPr>
          <w:t>https://www.atsc.org/wp-content/uploads/2018/02/B-4-2007-12-13_patent_policy_form_editable.pdf</w:t>
        </w:r>
      </w:hyperlink>
      <w:r>
        <w:t>.</w:t>
      </w:r>
    </w:p>
    <w:p w14:paraId="169D06A5" w14:textId="0976B0C1" w:rsidR="00043351" w:rsidRDefault="00043351">
      <w:pPr>
        <w:rPr>
          <w:rFonts w:ascii="Calibri" w:hAnsi="Calibri" w:cs="Calibri"/>
          <w:color w:val="000000"/>
        </w:rPr>
      </w:pPr>
      <w:r>
        <w:t>[</w:t>
      </w:r>
      <w:r>
        <w:rPr>
          <w:rFonts w:ascii="Calibri" w:hAnsi="Calibri" w:cs="Calibri"/>
          <w:color w:val="000000"/>
        </w:rPr>
        <w:t xml:space="preserve">Pursuant to Section 1.1206(b)(2) of the Commission’s Rules, a copy of the written information provided to Mr. </w:t>
      </w:r>
      <w:proofErr w:type="spellStart"/>
      <w:r>
        <w:rPr>
          <w:rFonts w:ascii="Calibri" w:hAnsi="Calibri" w:cs="Calibri"/>
          <w:color w:val="000000"/>
        </w:rPr>
        <w:t>Baranoff</w:t>
      </w:r>
      <w:proofErr w:type="spellEnd"/>
      <w:r>
        <w:rPr>
          <w:rFonts w:ascii="Calibri" w:hAnsi="Calibri" w:cs="Calibri"/>
          <w:color w:val="000000"/>
        </w:rPr>
        <w:t xml:space="preserve"> is attached hereto as Exhibit A.</w:t>
      </w:r>
      <w:r w:rsidR="007B75E1">
        <w:rPr>
          <w:rFonts w:ascii="Calibri" w:hAnsi="Calibri" w:cs="Calibri"/>
          <w:color w:val="000000"/>
        </w:rPr>
        <w:t>]</w:t>
      </w:r>
    </w:p>
    <w:p w14:paraId="21757F03" w14:textId="5D7CDD34" w:rsidR="00043351" w:rsidRDefault="00043351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Sincerely,</w:t>
      </w:r>
    </w:p>
    <w:p w14:paraId="6DC28AB3" w14:textId="52B6DD89" w:rsidR="00685696" w:rsidRDefault="00685696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Madeleine Noland</w:t>
      </w:r>
      <w:r>
        <w:rPr>
          <w:rFonts w:ascii="Calibri" w:hAnsi="Calibri" w:cs="Calibri"/>
          <w:color w:val="000000"/>
        </w:rPr>
        <w:br/>
        <w:t>President, ATSC</w:t>
      </w:r>
    </w:p>
    <w:p w14:paraId="61F39D3F" w14:textId="59E47032" w:rsidR="001A7442" w:rsidRDefault="001A7442">
      <w:pPr>
        <w:rPr>
          <w:rFonts w:ascii="Calibri" w:hAnsi="Calibri" w:cs="Calibri"/>
          <w:color w:val="000000"/>
        </w:rPr>
      </w:pPr>
      <w:bookmarkStart w:id="0" w:name="_GoBack"/>
      <w:bookmarkEnd w:id="0"/>
    </w:p>
    <w:p w14:paraId="2BB1271A" w14:textId="0597A741" w:rsidR="001A7442" w:rsidRDefault="001A7442">
      <w:r>
        <w:rPr>
          <w:rFonts w:ascii="Calibri" w:hAnsi="Calibri" w:cs="Calibri"/>
          <w:color w:val="000000"/>
        </w:rPr>
        <w:t>cc:</w:t>
      </w:r>
      <w:r>
        <w:rPr>
          <w:rFonts w:ascii="Calibri" w:hAnsi="Calibri" w:cs="Calibri"/>
          <w:color w:val="000000"/>
        </w:rPr>
        <w:tab/>
        <w:t xml:space="preserve">Evan </w:t>
      </w:r>
      <w:proofErr w:type="spellStart"/>
      <w:r>
        <w:rPr>
          <w:rFonts w:ascii="Calibri" w:hAnsi="Calibri" w:cs="Calibri"/>
          <w:color w:val="000000"/>
        </w:rPr>
        <w:t>Baranoff</w:t>
      </w:r>
      <w:proofErr w:type="spellEnd"/>
    </w:p>
    <w:sectPr w:rsidR="001A74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7226D" w14:textId="77777777" w:rsidR="008620A6" w:rsidRDefault="008620A6" w:rsidP="00215005">
      <w:pPr>
        <w:spacing w:after="0" w:line="240" w:lineRule="auto"/>
      </w:pPr>
      <w:r>
        <w:separator/>
      </w:r>
    </w:p>
  </w:endnote>
  <w:endnote w:type="continuationSeparator" w:id="0">
    <w:p w14:paraId="2D194264" w14:textId="77777777" w:rsidR="008620A6" w:rsidRDefault="008620A6" w:rsidP="00215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1F97F" w14:textId="77777777" w:rsidR="008620A6" w:rsidRDefault="008620A6" w:rsidP="00215005">
      <w:pPr>
        <w:spacing w:after="0" w:line="240" w:lineRule="auto"/>
      </w:pPr>
      <w:r>
        <w:separator/>
      </w:r>
    </w:p>
  </w:footnote>
  <w:footnote w:type="continuationSeparator" w:id="0">
    <w:p w14:paraId="1CAB19B1" w14:textId="77777777" w:rsidR="008620A6" w:rsidRDefault="008620A6" w:rsidP="002150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0F7"/>
    <w:rsid w:val="00043351"/>
    <w:rsid w:val="001A7442"/>
    <w:rsid w:val="001D35D0"/>
    <w:rsid w:val="00215005"/>
    <w:rsid w:val="003869B9"/>
    <w:rsid w:val="003B60F7"/>
    <w:rsid w:val="003D06E5"/>
    <w:rsid w:val="00685696"/>
    <w:rsid w:val="00706595"/>
    <w:rsid w:val="007B75E1"/>
    <w:rsid w:val="008620A6"/>
    <w:rsid w:val="008A7F93"/>
    <w:rsid w:val="00AC2D0A"/>
    <w:rsid w:val="00C66095"/>
    <w:rsid w:val="00EB1BA5"/>
    <w:rsid w:val="00F66D47"/>
    <w:rsid w:val="00F8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9D617E"/>
  <w15:chartTrackingRefBased/>
  <w15:docId w15:val="{E17481B1-34B9-43F4-B088-3DB9720EF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60F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150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005"/>
  </w:style>
  <w:style w:type="paragraph" w:styleId="Footer">
    <w:name w:val="footer"/>
    <w:basedOn w:val="Normal"/>
    <w:link w:val="FooterChar"/>
    <w:uiPriority w:val="99"/>
    <w:unhideWhenUsed/>
    <w:rsid w:val="002150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tsc.org/wp-content/uploads/2018/02/B-4-2007-12-13_patent_policy_form_editable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
      </vt:lpstr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Madeleine Noland</cp:lastModifiedBy>
  <cp:revision>10</cp:revision>
  <cp:lastPrinted>1900-01-01T05:00:00Z</cp:lastPrinted>
  <dcterms:created xsi:type="dcterms:W3CDTF">1900-01-01T05:00:00Z</dcterms:created>
  <dcterms:modified xsi:type="dcterms:W3CDTF">2019-10-03T13:53:00Z</dcterms:modified>
</cp:coreProperties>
</file>