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2F9B9" w14:textId="59300946" w:rsidR="008E2814" w:rsidRDefault="002902F1">
      <w:r>
        <w:t>10/2</w:t>
      </w:r>
      <w:bookmarkStart w:id="0" w:name="_GoBack"/>
      <w:bookmarkEnd w:id="0"/>
      <w:r w:rsidR="008E2814">
        <w:t>/19</w:t>
      </w:r>
    </w:p>
    <w:p w14:paraId="3A4C1BED" w14:textId="25FD60D0" w:rsidR="008E2814" w:rsidRDefault="008E2814">
      <w:r>
        <w:t xml:space="preserve">Dear Mr. </w:t>
      </w:r>
      <w:proofErr w:type="spellStart"/>
      <w:r>
        <w:t>Bar</w:t>
      </w:r>
      <w:r w:rsidR="002902F1">
        <w:t>a</w:t>
      </w:r>
      <w:r>
        <w:t>noff</w:t>
      </w:r>
      <w:proofErr w:type="spellEnd"/>
      <w:r>
        <w:t>,</w:t>
      </w:r>
    </w:p>
    <w:p w14:paraId="0E48E0FB" w14:textId="5B742D55" w:rsidR="008E2814" w:rsidRDefault="008E2814">
      <w:r>
        <w:t>It was a pleasure speaking with you recently. I’d like to take this opportunity to respond to your questions about the ATSC patent policy and to recap our conversation about the ATSC Specialist Group on Conversion and Redistribution of ATSC 3.0 Services (</w:t>
      </w:r>
      <w:r w:rsidR="008F2F93">
        <w:t>TG3/</w:t>
      </w:r>
      <w:r>
        <w:t>S37).</w:t>
      </w:r>
    </w:p>
    <w:p w14:paraId="5C8FE0DC" w14:textId="2004AF93" w:rsidR="00552D66" w:rsidRDefault="008E2814">
      <w:r>
        <w:t xml:space="preserve">The ATSC patent policy can be found on the ATSC website at </w:t>
      </w:r>
      <w:hyperlink r:id="rId5" w:history="1">
        <w:r>
          <w:rPr>
            <w:rStyle w:val="Hyperlink"/>
          </w:rPr>
          <w:t>https://www.atsc.org/wp-content/uploads/2018/02/B-4-2007-12-13_patent_policy_form_editable.pdf</w:t>
        </w:r>
      </w:hyperlink>
      <w:r w:rsidR="00552D66">
        <w:t>.</w:t>
      </w:r>
      <w:r>
        <w:t xml:space="preserve"> I have attached a copy for your convenience. </w:t>
      </w:r>
    </w:p>
    <w:p w14:paraId="6ED070DE" w14:textId="4C3B99A2" w:rsidR="00552D66" w:rsidRDefault="00552D66">
      <w:r>
        <w:t>Below are responses to your questions as I understood them.</w:t>
      </w:r>
    </w:p>
    <w:p w14:paraId="1726E03B" w14:textId="0B09B73C" w:rsidR="008E2814" w:rsidRDefault="008E2814" w:rsidP="008E2814">
      <w:pPr>
        <w:pStyle w:val="ListParagraph"/>
        <w:numPr>
          <w:ilvl w:val="0"/>
          <w:numId w:val="1"/>
        </w:numPr>
      </w:pPr>
      <w:r>
        <w:t>RAND policy</w:t>
      </w:r>
    </w:p>
    <w:p w14:paraId="253EAF91" w14:textId="77777777" w:rsidR="00552D66" w:rsidRDefault="008E2814" w:rsidP="00552D66">
      <w:pPr>
        <w:pStyle w:val="ListParagraph"/>
        <w:numPr>
          <w:ilvl w:val="1"/>
          <w:numId w:val="1"/>
        </w:numPr>
      </w:pPr>
      <w:r>
        <w:t xml:space="preserve">Per Section 1 of the Patent Policy, </w:t>
      </w:r>
      <w:r w:rsidR="00552D66">
        <w:t xml:space="preserve">Essential Claims included in ATSC Specification Documents are available to implementers on reasonable and non-discriminatory terms. </w:t>
      </w:r>
    </w:p>
    <w:p w14:paraId="05F8D57B" w14:textId="054598E2" w:rsidR="003B6DB1" w:rsidRDefault="003B6DB1" w:rsidP="00552D66">
      <w:pPr>
        <w:pStyle w:val="ListParagraph"/>
        <w:numPr>
          <w:ilvl w:val="1"/>
          <w:numId w:val="1"/>
        </w:numPr>
      </w:pPr>
      <w:r>
        <w:t xml:space="preserve">Note that </w:t>
      </w:r>
      <w:r w:rsidR="00552D66">
        <w:t xml:space="preserve">Section </w:t>
      </w:r>
      <w:r>
        <w:t>1</w:t>
      </w:r>
      <w:r w:rsidR="008F2F93">
        <w:t>.</w:t>
      </w:r>
      <w:r>
        <w:t xml:space="preserve">c </w:t>
      </w:r>
      <w:r w:rsidR="00552D66">
        <w:t xml:space="preserve">provides for an alternative, which </w:t>
      </w:r>
      <w:r>
        <w:t>requires further action by ATSC as documented in Section 1</w:t>
      </w:r>
    </w:p>
    <w:p w14:paraId="37082C4F" w14:textId="5DBADE45" w:rsidR="003B6DB1" w:rsidRDefault="008F2F93" w:rsidP="003B6DB1">
      <w:pPr>
        <w:pStyle w:val="ListParagraph"/>
        <w:numPr>
          <w:ilvl w:val="0"/>
          <w:numId w:val="1"/>
        </w:numPr>
      </w:pPr>
      <w:r>
        <w:t>Patent d</w:t>
      </w:r>
      <w:r w:rsidR="003B6DB1">
        <w:t>isclosure policy</w:t>
      </w:r>
    </w:p>
    <w:p w14:paraId="7575A35B" w14:textId="3D08E0B5" w:rsidR="008F2F93" w:rsidRDefault="008F2F93" w:rsidP="003B6DB1">
      <w:pPr>
        <w:pStyle w:val="ListParagraph"/>
        <w:numPr>
          <w:ilvl w:val="1"/>
          <w:numId w:val="1"/>
        </w:numPr>
      </w:pPr>
      <w:r>
        <w:t>Patent d</w:t>
      </w:r>
      <w:r w:rsidR="003B6DB1">
        <w:t>isclosure policy is found in Sections 3-</w:t>
      </w:r>
      <w:r>
        <w:t>8</w:t>
      </w:r>
    </w:p>
    <w:p w14:paraId="29F81164" w14:textId="01026D61" w:rsidR="003B6DB1" w:rsidRDefault="008F2F93" w:rsidP="003B6DB1">
      <w:pPr>
        <w:pStyle w:val="ListParagraph"/>
        <w:numPr>
          <w:ilvl w:val="1"/>
          <w:numId w:val="1"/>
        </w:numPr>
      </w:pPr>
      <w:r>
        <w:t>T</w:t>
      </w:r>
      <w:r w:rsidR="003B6DB1">
        <w:t>he Notice described in Section 2 appears on all published ATSC Standards and Recommended Practices</w:t>
      </w:r>
    </w:p>
    <w:p w14:paraId="482FC9EC" w14:textId="33975B54" w:rsidR="008F2F93" w:rsidRDefault="008F2F93" w:rsidP="003B6DB1">
      <w:pPr>
        <w:pStyle w:val="ListParagraph"/>
        <w:numPr>
          <w:ilvl w:val="1"/>
          <w:numId w:val="1"/>
        </w:numPr>
      </w:pPr>
      <w:r>
        <w:t xml:space="preserve">Patent disclosures can be found on the ATSC website at </w:t>
      </w:r>
      <w:hyperlink r:id="rId6" w:history="1">
        <w:r>
          <w:rPr>
            <w:rStyle w:val="Hyperlink"/>
          </w:rPr>
          <w:t>https://www.atsc.org/policies/patent-statements/</w:t>
        </w:r>
      </w:hyperlink>
    </w:p>
    <w:p w14:paraId="2ED63C36" w14:textId="152441E7" w:rsidR="003B6DB1" w:rsidRDefault="003B6DB1" w:rsidP="003B6DB1">
      <w:pPr>
        <w:pStyle w:val="ListParagraph"/>
        <w:numPr>
          <w:ilvl w:val="0"/>
          <w:numId w:val="1"/>
        </w:numPr>
      </w:pPr>
      <w:r>
        <w:t xml:space="preserve">Non-ATSC Member </w:t>
      </w:r>
      <w:r w:rsidR="008F2F93">
        <w:t xml:space="preserve">patent </w:t>
      </w:r>
      <w:r>
        <w:t>policies</w:t>
      </w:r>
    </w:p>
    <w:p w14:paraId="0AA2CA74" w14:textId="78E6711D" w:rsidR="003B6DB1" w:rsidRDefault="003B6DB1" w:rsidP="003B6DB1">
      <w:pPr>
        <w:pStyle w:val="ListParagraph"/>
        <w:numPr>
          <w:ilvl w:val="1"/>
          <w:numId w:val="1"/>
        </w:numPr>
      </w:pPr>
      <w:r>
        <w:t xml:space="preserve">The ATSC Patent Policy applies to all Participants, which includes </w:t>
      </w:r>
      <w:r w:rsidR="008F2F93">
        <w:t>non-m</w:t>
      </w:r>
      <w:r>
        <w:t>embers</w:t>
      </w:r>
      <w:r w:rsidR="008F2F93">
        <w:t xml:space="preserve"> (see </w:t>
      </w:r>
      <w:r>
        <w:t>Section 11</w:t>
      </w:r>
      <w:r w:rsidR="008F2F93">
        <w:t>.</w:t>
      </w:r>
      <w:r>
        <w:t>e</w:t>
      </w:r>
      <w:r w:rsidR="008F2F93">
        <w:t>)</w:t>
      </w:r>
    </w:p>
    <w:p w14:paraId="1DC0F6C6" w14:textId="260F8DAC" w:rsidR="003B6DB1" w:rsidRDefault="00552D66" w:rsidP="008F2F93">
      <w:pPr>
        <w:pStyle w:val="ListParagraph"/>
        <w:numPr>
          <w:ilvl w:val="1"/>
          <w:numId w:val="1"/>
        </w:numPr>
      </w:pPr>
      <w:r>
        <w:t>All P</w:t>
      </w:r>
      <w:r w:rsidR="003B6DB1" w:rsidRPr="003B6DB1">
        <w:t xml:space="preserve">articipants are reminded of the </w:t>
      </w:r>
      <w:r>
        <w:t>requirement for compliance with the patent</w:t>
      </w:r>
      <w:r w:rsidR="003B6DB1" w:rsidRPr="003B6DB1">
        <w:t xml:space="preserve"> policy regularly, according to Section 9</w:t>
      </w:r>
    </w:p>
    <w:p w14:paraId="74BF1AE4" w14:textId="38730B0F" w:rsidR="008F2F93" w:rsidRDefault="008F2F93" w:rsidP="008F2F93">
      <w:pPr>
        <w:pStyle w:val="ListParagraph"/>
        <w:numPr>
          <w:ilvl w:val="0"/>
          <w:numId w:val="1"/>
        </w:numPr>
      </w:pPr>
      <w:r>
        <w:t>ATSC Specialist Group on Conversion and Redistribution of ATSC 3.0 Services (TG3/S37)</w:t>
      </w:r>
    </w:p>
    <w:p w14:paraId="4AA5701E" w14:textId="2D2A54D0" w:rsidR="008F2F93" w:rsidRDefault="008F2F93" w:rsidP="008F2F93">
      <w:pPr>
        <w:pStyle w:val="ListParagraph"/>
        <w:numPr>
          <w:ilvl w:val="1"/>
          <w:numId w:val="1"/>
        </w:numPr>
      </w:pPr>
      <w:r>
        <w:t xml:space="preserve">The scope and leadership of TG3/S37 can be found on the ATSC website here </w:t>
      </w:r>
      <w:hyperlink r:id="rId7" w:history="1">
        <w:r>
          <w:rPr>
            <w:rStyle w:val="Hyperlink"/>
          </w:rPr>
          <w:t>https://www.atsc.org/subcommittees/technology-group-3/</w:t>
        </w:r>
      </w:hyperlink>
    </w:p>
    <w:p w14:paraId="4C047B51" w14:textId="2980972A" w:rsidR="009F78F2" w:rsidRDefault="009F78F2" w:rsidP="008F2F93">
      <w:pPr>
        <w:pStyle w:val="ListParagraph"/>
        <w:numPr>
          <w:ilvl w:val="1"/>
          <w:numId w:val="1"/>
        </w:numPr>
      </w:pPr>
      <w:r>
        <w:t xml:space="preserve">The group was formed in 2015 and multi-channel video providers (MVPDs) have been welcomed as members or guest participants in TG3/S37 proceedings </w:t>
      </w:r>
    </w:p>
    <w:p w14:paraId="77A80533" w14:textId="235A8145" w:rsidR="008F2F93" w:rsidRDefault="008F2F93" w:rsidP="008F2F93">
      <w:pPr>
        <w:pStyle w:val="ListParagraph"/>
        <w:numPr>
          <w:ilvl w:val="1"/>
          <w:numId w:val="1"/>
        </w:numPr>
      </w:pPr>
      <w:r>
        <w:t xml:space="preserve">The group’s initial Recommended Practice, </w:t>
      </w:r>
      <w:r w:rsidRPr="008F2F93">
        <w:t>“Conversion of ATSC 3.0 Services for Redistribution”</w:t>
      </w:r>
      <w:r>
        <w:t xml:space="preserve"> was approved for final ballot on September 25, 2019</w:t>
      </w:r>
    </w:p>
    <w:p w14:paraId="0B7B6725" w14:textId="38F30B11" w:rsidR="008F2F93" w:rsidRDefault="008F2F93" w:rsidP="008F2F93">
      <w:pPr>
        <w:pStyle w:val="ListParagraph"/>
        <w:numPr>
          <w:ilvl w:val="2"/>
          <w:numId w:val="1"/>
        </w:numPr>
      </w:pPr>
      <w:r>
        <w:t>It is likely that the completed document will be published in ~5-6 weeks</w:t>
      </w:r>
    </w:p>
    <w:p w14:paraId="3DD0C02B" w14:textId="0D4453F7" w:rsidR="008F2F93" w:rsidRDefault="008F2F93" w:rsidP="008F2F93">
      <w:pPr>
        <w:pStyle w:val="ListParagraph"/>
        <w:numPr>
          <w:ilvl w:val="1"/>
          <w:numId w:val="1"/>
        </w:numPr>
      </w:pPr>
      <w:r>
        <w:t xml:space="preserve">With the </w:t>
      </w:r>
      <w:r w:rsidR="00552D66">
        <w:t>recent balloting</w:t>
      </w:r>
      <w:r>
        <w:t xml:space="preserve"> of the above document, TG3/S37 is commencing work on a Recommended Practice</w:t>
      </w:r>
      <w:r w:rsidRPr="008F2F93">
        <w:t xml:space="preserve"> on next generation services redistribution</w:t>
      </w:r>
      <w:r w:rsidR="00552D66">
        <w:t>,</w:t>
      </w:r>
      <w:r>
        <w:t xml:space="preserve"> and</w:t>
      </w:r>
      <w:r w:rsidR="00552D66">
        <w:t xml:space="preserve"> the group</w:t>
      </w:r>
      <w:r>
        <w:t xml:space="preserve"> has communicated via liaison with SCTE (Society of Cable Television Engineers) about a possible collaborative effort; this is a work in progress</w:t>
      </w:r>
    </w:p>
    <w:p w14:paraId="2CA1F3A2" w14:textId="77777777" w:rsidR="00552D66" w:rsidRDefault="00552D66" w:rsidP="00552D66">
      <w:r>
        <w:t>Thank you very much for the opportunity to discuss ATSC. If you have any additional questions or would like further clarification, please do not hesitate to contact me.</w:t>
      </w:r>
    </w:p>
    <w:p w14:paraId="1AB0D65B" w14:textId="77777777" w:rsidR="00552D66" w:rsidRDefault="00552D66" w:rsidP="00552D66">
      <w:r>
        <w:t>Best regards,</w:t>
      </w:r>
    </w:p>
    <w:p w14:paraId="662A0D5E" w14:textId="77777777" w:rsidR="00552D66" w:rsidRDefault="00552D66" w:rsidP="00552D66">
      <w:r>
        <w:lastRenderedPageBreak/>
        <w:t>Madeleine Noland</w:t>
      </w:r>
    </w:p>
    <w:p w14:paraId="405E911D" w14:textId="77777777" w:rsidR="00552D66" w:rsidRDefault="00552D66" w:rsidP="00552D66">
      <w:r>
        <w:t>President, ATSC</w:t>
      </w:r>
    </w:p>
    <w:p w14:paraId="0A18A046" w14:textId="77777777" w:rsidR="00552D66" w:rsidRDefault="00552D66" w:rsidP="00552D66"/>
    <w:p w14:paraId="1155E687" w14:textId="41F45010" w:rsidR="00552D66" w:rsidRDefault="00552D66" w:rsidP="00552D66">
      <w:r>
        <w:t xml:space="preserve">Attachments: Advanced Television Systems Committee, Inc. Patent Policy </w:t>
      </w:r>
    </w:p>
    <w:sectPr w:rsidR="00552D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5C650B"/>
    <w:multiLevelType w:val="hybridMultilevel"/>
    <w:tmpl w:val="62689C2E"/>
    <w:lvl w:ilvl="0" w:tplc="E5E40170">
      <w:start w:val="8"/>
      <w:numFmt w:val="bullet"/>
      <w:lvlText w:val=""/>
      <w:lvlJc w:val="left"/>
      <w:pPr>
        <w:ind w:left="408" w:hanging="360"/>
      </w:pPr>
      <w:rPr>
        <w:rFonts w:ascii="Symbol" w:eastAsiaTheme="minorEastAsia" w:hAnsi="Symbol" w:cstheme="minorBidi" w:hint="default"/>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814"/>
    <w:rsid w:val="002902F1"/>
    <w:rsid w:val="003B6DB1"/>
    <w:rsid w:val="00552D66"/>
    <w:rsid w:val="0067413C"/>
    <w:rsid w:val="008E2814"/>
    <w:rsid w:val="008F2F93"/>
    <w:rsid w:val="009F78F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8F24E"/>
  <w15:chartTrackingRefBased/>
  <w15:docId w15:val="{BA921007-43B6-4CF7-A18A-9BE7DA6F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8E2814"/>
  </w:style>
  <w:style w:type="character" w:customStyle="1" w:styleId="DateChar">
    <w:name w:val="Date Char"/>
    <w:basedOn w:val="DefaultParagraphFont"/>
    <w:link w:val="Date"/>
    <w:uiPriority w:val="99"/>
    <w:semiHidden/>
    <w:rsid w:val="008E2814"/>
  </w:style>
  <w:style w:type="character" w:styleId="Hyperlink">
    <w:name w:val="Hyperlink"/>
    <w:basedOn w:val="DefaultParagraphFont"/>
    <w:uiPriority w:val="99"/>
    <w:semiHidden/>
    <w:unhideWhenUsed/>
    <w:rsid w:val="008E2814"/>
    <w:rPr>
      <w:color w:val="0000FF"/>
      <w:u w:val="single"/>
    </w:rPr>
  </w:style>
  <w:style w:type="paragraph" w:styleId="ListParagraph">
    <w:name w:val="List Paragraph"/>
    <w:basedOn w:val="Normal"/>
    <w:uiPriority w:val="34"/>
    <w:qFormat/>
    <w:rsid w:val="008E28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tsc.org/subcommittees/technology-group-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tsc.org/policies/patent-statements/" TargetMode="External"/><Relationship Id="rId5" Type="http://schemas.openxmlformats.org/officeDocument/2006/relationships/hyperlink" Target="https://www.atsc.org/wp-content/uploads/2018/02/B-4-2007-12-13_patent_policy_form_editable.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Noland</dc:creator>
  <cp:keywords/>
  <dc:description/>
  <cp:lastModifiedBy>Madeleine Noland</cp:lastModifiedBy>
  <cp:revision>2</cp:revision>
  <dcterms:created xsi:type="dcterms:W3CDTF">2019-09-26T22:19:00Z</dcterms:created>
  <dcterms:modified xsi:type="dcterms:W3CDTF">2019-10-02T16:17:00Z</dcterms:modified>
</cp:coreProperties>
</file>