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3408" w:rsidRDefault="00B33408" w:rsidP="0025376B"/>
    <w:p w:rsidR="008F363C" w:rsidRPr="005D2DF2" w:rsidRDefault="008F363C" w:rsidP="008F363C">
      <w:pPr>
        <w:ind w:right="14"/>
      </w:pPr>
    </w:p>
    <w:p w:rsidR="00952A77" w:rsidRPr="0034469D" w:rsidRDefault="00952A77" w:rsidP="00952A77">
      <w:r w:rsidRPr="0034469D">
        <w:t>October 10, 2018</w:t>
      </w:r>
    </w:p>
    <w:p w:rsidR="00952A77" w:rsidRPr="0034469D" w:rsidRDefault="00952A77" w:rsidP="00952A77">
      <w:pPr>
        <w:ind w:left="720" w:hanging="720"/>
        <w:rPr>
          <w:shd w:val="clear" w:color="auto" w:fill="FFFFFF"/>
        </w:rPr>
      </w:pPr>
      <w:r w:rsidRPr="0034469D">
        <w:rPr>
          <w:shd w:val="clear" w:color="auto" w:fill="FFFFFF"/>
        </w:rPr>
        <w:t>Federal Communications Commission</w:t>
      </w:r>
    </w:p>
    <w:p w:rsidR="00952A77" w:rsidRPr="0034469D" w:rsidRDefault="00952A77" w:rsidP="00952A77">
      <w:pPr>
        <w:ind w:left="720" w:hanging="720"/>
        <w:rPr>
          <w:shd w:val="clear" w:color="auto" w:fill="FFFFFF"/>
        </w:rPr>
      </w:pPr>
      <w:r w:rsidRPr="0034469D">
        <w:rPr>
          <w:shd w:val="clear" w:color="auto" w:fill="FFFFFF"/>
        </w:rPr>
        <w:t>445 12th Street SW</w:t>
      </w:r>
    </w:p>
    <w:p w:rsidR="00952A77" w:rsidRPr="0034469D" w:rsidRDefault="00952A77" w:rsidP="00952A77">
      <w:pPr>
        <w:ind w:left="720" w:hanging="720"/>
        <w:rPr>
          <w:shd w:val="clear" w:color="auto" w:fill="FFFFFF"/>
        </w:rPr>
      </w:pPr>
      <w:r w:rsidRPr="0034469D">
        <w:rPr>
          <w:shd w:val="clear" w:color="auto" w:fill="FFFFFF"/>
        </w:rPr>
        <w:t>Washington, DC 20554</w:t>
      </w:r>
    </w:p>
    <w:p w:rsidR="00952A77" w:rsidRPr="0034469D" w:rsidRDefault="00952A77" w:rsidP="00952A77">
      <w:pPr>
        <w:ind w:left="720" w:hanging="720"/>
        <w:rPr>
          <w:shd w:val="clear" w:color="auto" w:fill="FFFFFF"/>
        </w:rPr>
      </w:pPr>
    </w:p>
    <w:p w:rsidR="00952A77" w:rsidRPr="0034469D" w:rsidRDefault="00952A77" w:rsidP="00952A77">
      <w:pPr>
        <w:ind w:left="720" w:hanging="720"/>
        <w:rPr>
          <w:shd w:val="clear" w:color="auto" w:fill="FFFFFF"/>
        </w:rPr>
      </w:pPr>
      <w:r w:rsidRPr="0034469D">
        <w:rPr>
          <w:shd w:val="clear" w:color="auto" w:fill="FFFFFF"/>
        </w:rPr>
        <w:t xml:space="preserve">RE:  </w:t>
      </w:r>
      <w:r w:rsidRPr="0034469D">
        <w:rPr>
          <w:shd w:val="clear" w:color="auto" w:fill="FFFFFF"/>
        </w:rPr>
        <w:tab/>
        <w:t>Input on Design of Connected Care Pilot Program</w:t>
      </w:r>
    </w:p>
    <w:p w:rsidR="00952A77" w:rsidRPr="0034469D" w:rsidRDefault="00952A77" w:rsidP="00952A77">
      <w:pPr>
        <w:ind w:left="720" w:hanging="720"/>
        <w:rPr>
          <w:shd w:val="clear" w:color="auto" w:fill="FFFFFF"/>
        </w:rPr>
      </w:pPr>
      <w:r w:rsidRPr="0034469D">
        <w:rPr>
          <w:shd w:val="clear" w:color="auto" w:fill="FFFFFF"/>
        </w:rPr>
        <w:tab/>
      </w:r>
      <w:r w:rsidRPr="0034469D">
        <w:rPr>
          <w:spacing w:val="-2"/>
        </w:rPr>
        <w:t>WC Docket. No. 18-213</w:t>
      </w:r>
    </w:p>
    <w:p w:rsidR="00952A77" w:rsidRPr="0034469D" w:rsidRDefault="00952A77" w:rsidP="00952A77"/>
    <w:p w:rsidR="00952A77" w:rsidRPr="0034469D" w:rsidRDefault="00952A77" w:rsidP="00952A77"/>
    <w:p w:rsidR="00952A77" w:rsidRPr="0034469D" w:rsidRDefault="00952A77" w:rsidP="00952A77">
      <w:r w:rsidRPr="0034469D">
        <w:t>Dear FCC Commissioners and Staff,</w:t>
      </w:r>
    </w:p>
    <w:p w:rsidR="00952A77" w:rsidRPr="0034469D" w:rsidRDefault="00952A77" w:rsidP="00952A77">
      <w:pPr>
        <w:rPr>
          <w:i/>
          <w:shd w:val="clear" w:color="auto" w:fill="FFFFFF"/>
        </w:rPr>
      </w:pPr>
    </w:p>
    <w:p w:rsidR="00952A77" w:rsidRPr="0034469D" w:rsidRDefault="00952A77" w:rsidP="00952A77">
      <w:pPr>
        <w:rPr>
          <w:shd w:val="clear" w:color="auto" w:fill="FFFFFF"/>
        </w:rPr>
      </w:pPr>
      <w:r w:rsidRPr="0034469D">
        <w:rPr>
          <w:shd w:val="clear" w:color="auto" w:fill="FFFFFF"/>
        </w:rPr>
        <w:t>The Virginia Community Healthcare Association would like to thank the FCC for its leadership in proposing the $100 million Connected Care Pilot Program, to expand access to connected care for low-income patients, and</w:t>
      </w:r>
      <w:r w:rsidR="00F963CD">
        <w:rPr>
          <w:shd w:val="clear" w:color="auto" w:fill="FFFFFF"/>
        </w:rPr>
        <w:t xml:space="preserve"> for</w:t>
      </w:r>
      <w:r w:rsidRPr="0034469D">
        <w:rPr>
          <w:shd w:val="clear" w:color="auto" w:fill="FFFFFF"/>
        </w:rPr>
        <w:t xml:space="preserve"> veterans who qualify for no-cost care through the VA.  </w:t>
      </w:r>
    </w:p>
    <w:p w:rsidR="00952A77" w:rsidRPr="0034469D" w:rsidRDefault="00952A77" w:rsidP="00952A77">
      <w:pPr>
        <w:rPr>
          <w:shd w:val="clear" w:color="auto" w:fill="FFFFFF"/>
        </w:rPr>
      </w:pPr>
    </w:p>
    <w:p w:rsidR="00952A77" w:rsidRPr="0034469D" w:rsidRDefault="00952A77" w:rsidP="00952A77">
      <w:r w:rsidRPr="0034469D">
        <w:rPr>
          <w:shd w:val="clear" w:color="auto" w:fill="FFFFFF"/>
        </w:rPr>
        <w:t xml:space="preserve">We are pleased to submit comments in response to </w:t>
      </w:r>
      <w:r w:rsidRPr="0034469D">
        <w:t xml:space="preserve">the Notice of Inquiry regarding how the program should be designed.   </w:t>
      </w:r>
    </w:p>
    <w:p w:rsidR="00952A77" w:rsidRPr="0034469D" w:rsidRDefault="00952A77" w:rsidP="00952A77">
      <w:pPr>
        <w:rPr>
          <w:i/>
          <w:highlight w:val="yellow"/>
        </w:rPr>
      </w:pPr>
    </w:p>
    <w:p w:rsidR="00952A77" w:rsidRPr="0034469D" w:rsidRDefault="00952A77" w:rsidP="00952A77">
      <w:pPr>
        <w:ind w:left="1" w:right="14"/>
      </w:pPr>
      <w:r w:rsidRPr="0034469D">
        <w:t>In Virginia, Federally Qualified Health Centers (FQHCs), also known as community health centers, operate over 150 sites across Virginia, from Chincoteague on the Eastern Shore, to the far corners of Southwest Virginia, and across the Southside of Virginia.</w:t>
      </w:r>
    </w:p>
    <w:p w:rsidR="00952A77" w:rsidRPr="0034469D" w:rsidRDefault="00952A77" w:rsidP="00952A77">
      <w:pPr>
        <w:ind w:left="1" w:right="14"/>
      </w:pPr>
    </w:p>
    <w:p w:rsidR="00F963CD" w:rsidRDefault="00952A77" w:rsidP="00952A77">
      <w:pPr>
        <w:ind w:left="1" w:right="14"/>
      </w:pPr>
      <w:r w:rsidRPr="0034469D">
        <w:t>Our health centers serve over 305</w:t>
      </w:r>
      <w:r w:rsidR="00F963CD">
        <w:t>,000 Virginians, including many veterans across the Commonwealth.</w:t>
      </w:r>
    </w:p>
    <w:p w:rsidR="00F963CD" w:rsidRDefault="00F963CD" w:rsidP="00952A77">
      <w:pPr>
        <w:ind w:left="1" w:right="14"/>
      </w:pPr>
    </w:p>
    <w:p w:rsidR="00F963CD" w:rsidRDefault="00F963CD" w:rsidP="00952A77">
      <w:pPr>
        <w:ind w:left="1" w:right="14"/>
      </w:pPr>
      <w:r>
        <w:t>Many of our</w:t>
      </w:r>
      <w:r w:rsidR="00952A77" w:rsidRPr="0034469D">
        <w:t xml:space="preserve"> patients are at or below 200% of the Federal Poverty Level. </w:t>
      </w:r>
    </w:p>
    <w:p w:rsidR="00F963CD" w:rsidRDefault="00F963CD" w:rsidP="00952A77">
      <w:pPr>
        <w:ind w:left="1" w:right="14"/>
      </w:pPr>
    </w:p>
    <w:p w:rsidR="00952A77" w:rsidRPr="0034469D" w:rsidRDefault="00952A77" w:rsidP="00952A77">
      <w:pPr>
        <w:ind w:left="1" w:right="14"/>
      </w:pPr>
      <w:r w:rsidRPr="0034469D">
        <w:t xml:space="preserve">Access to telehealth services in our communities would </w:t>
      </w:r>
      <w:r w:rsidR="005835A9" w:rsidRPr="0034469D">
        <w:t>provide a</w:t>
      </w:r>
      <w:r w:rsidRPr="0034469D">
        <w:t xml:space="preserve"> significant enhancement to access to care. </w:t>
      </w:r>
      <w:r w:rsidR="005835A9" w:rsidRPr="0034469D">
        <w:t>Though very limited, w</w:t>
      </w:r>
      <w:r w:rsidRPr="0034469D">
        <w:t>here telehealth has been implemented, improvements in</w:t>
      </w:r>
      <w:r w:rsidR="005835A9" w:rsidRPr="0034469D">
        <w:t xml:space="preserve"> access and care are a direct benefit to patients</w:t>
      </w:r>
      <w:r w:rsidRPr="0034469D">
        <w:t xml:space="preserve">. </w:t>
      </w:r>
    </w:p>
    <w:p w:rsidR="00952A77" w:rsidRPr="0034469D" w:rsidRDefault="00952A77" w:rsidP="00952A77">
      <w:pPr>
        <w:ind w:left="1" w:right="14"/>
      </w:pPr>
    </w:p>
    <w:p w:rsidR="0034469D" w:rsidRDefault="00952A77" w:rsidP="00952A77">
      <w:pPr>
        <w:ind w:left="1" w:right="14"/>
      </w:pPr>
      <w:r w:rsidRPr="0034469D">
        <w:t>Unfortunately, access to telehealth services is hampered by the lack of adequate resources</w:t>
      </w:r>
      <w:r w:rsidR="0034469D">
        <w:t xml:space="preserve">, </w:t>
      </w:r>
      <w:r w:rsidRPr="0034469D">
        <w:t xml:space="preserve">and </w:t>
      </w:r>
      <w:r w:rsidR="00F963CD">
        <w:t xml:space="preserve">most notably, </w:t>
      </w:r>
      <w:r w:rsidR="0034469D">
        <w:t xml:space="preserve">the lack of </w:t>
      </w:r>
      <w:r w:rsidRPr="0034469D">
        <w:t xml:space="preserve">reimbursement </w:t>
      </w:r>
      <w:r w:rsidR="0034469D">
        <w:t>for our health centers as distant or remote sites</w:t>
      </w:r>
      <w:r w:rsidRPr="0034469D">
        <w:t xml:space="preserve">. </w:t>
      </w:r>
    </w:p>
    <w:p w:rsidR="0034469D" w:rsidRDefault="0034469D" w:rsidP="00952A77">
      <w:pPr>
        <w:ind w:left="1" w:right="14"/>
      </w:pPr>
    </w:p>
    <w:p w:rsidR="00952A77" w:rsidRPr="0034469D" w:rsidRDefault="00952A77" w:rsidP="00952A77">
      <w:pPr>
        <w:ind w:left="1" w:right="14"/>
      </w:pPr>
      <w:r w:rsidRPr="0034469D">
        <w:t>The potential savings and improvement to health care for our patients could be significant</w:t>
      </w:r>
      <w:r w:rsidR="0043741C">
        <w:t>,</w:t>
      </w:r>
      <w:r w:rsidRPr="0034469D">
        <w:t xml:space="preserve"> if resources and </w:t>
      </w:r>
      <w:r w:rsidR="0034469D">
        <w:t xml:space="preserve">appropriate </w:t>
      </w:r>
      <w:r w:rsidRPr="0034469D">
        <w:t xml:space="preserve">reimbursement were made available </w:t>
      </w:r>
      <w:r w:rsidR="00CF319E">
        <w:t xml:space="preserve">to providers such as our health </w:t>
      </w:r>
      <w:proofErr w:type="gramStart"/>
      <w:r w:rsidR="00F963CD">
        <w:t>centers, that</w:t>
      </w:r>
      <w:proofErr w:type="gramEnd"/>
      <w:r w:rsidR="00CF319E">
        <w:t xml:space="preserve"> are providing health care services to persons who are underserved</w:t>
      </w:r>
      <w:r w:rsidRPr="0034469D">
        <w:t>.</w:t>
      </w:r>
    </w:p>
    <w:p w:rsidR="00952A77" w:rsidRPr="0034469D" w:rsidRDefault="00952A77" w:rsidP="00952A77">
      <w:pPr>
        <w:rPr>
          <w:i/>
        </w:rPr>
      </w:pPr>
    </w:p>
    <w:p w:rsidR="00CF319E" w:rsidRDefault="00952A77" w:rsidP="00CF319E">
      <w:pPr>
        <w:rPr>
          <w:b/>
        </w:rPr>
      </w:pPr>
      <w:r w:rsidRPr="0034469D">
        <w:t>The Virginia Community Healthcare Association is writing in support of the comments submitted by the National Association of Community Health Centers</w:t>
      </w:r>
      <w:r w:rsidR="00F963CD">
        <w:t xml:space="preserve"> (NACHC)</w:t>
      </w:r>
      <w:r w:rsidRPr="0034469D">
        <w:t xml:space="preserve">.  </w:t>
      </w:r>
    </w:p>
    <w:p w:rsidR="00CF319E" w:rsidRDefault="00CF319E" w:rsidP="00CF319E">
      <w:pPr>
        <w:rPr>
          <w:b/>
        </w:rPr>
      </w:pPr>
    </w:p>
    <w:p w:rsidR="00CF319E" w:rsidRDefault="00CF319E" w:rsidP="00CF319E">
      <w:r>
        <w:t>A summary of NACHC’s</w:t>
      </w:r>
      <w:r w:rsidRPr="0034469D">
        <w:t xml:space="preserve"> comments is as follows:</w:t>
      </w:r>
    </w:p>
    <w:p w:rsidR="00CF319E" w:rsidRPr="00CF319E" w:rsidRDefault="00CF319E" w:rsidP="00CF319E">
      <w:pPr>
        <w:rPr>
          <w:b/>
        </w:rPr>
      </w:pPr>
      <w:r w:rsidRPr="0034469D">
        <w:lastRenderedPageBreak/>
        <w:t xml:space="preserve">  </w:t>
      </w:r>
    </w:p>
    <w:p w:rsidR="00F963CD" w:rsidRDefault="00952A77" w:rsidP="00952A77">
      <w:pPr>
        <w:pStyle w:val="ListParagraph"/>
        <w:numPr>
          <w:ilvl w:val="0"/>
          <w:numId w:val="21"/>
        </w:numPr>
        <w:ind w:left="360"/>
        <w:contextualSpacing/>
        <w:outlineLvl w:val="1"/>
        <w:rPr>
          <w:rFonts w:ascii="Times New Roman" w:hAnsi="Times New Roman" w:cs="Times New Roman"/>
          <w:sz w:val="24"/>
          <w:szCs w:val="24"/>
        </w:rPr>
      </w:pPr>
      <w:r w:rsidRPr="0034469D">
        <w:rPr>
          <w:rFonts w:ascii="Times New Roman" w:hAnsi="Times New Roman" w:cs="Times New Roman"/>
          <w:sz w:val="24"/>
          <w:szCs w:val="24"/>
        </w:rPr>
        <w:t>Community Health Centers (CHCs) are the backbone of the nation’s “primary care safety net” for low-income patients, with over 90% of our patients being low income</w:t>
      </w:r>
      <w:r w:rsidR="00CF319E">
        <w:rPr>
          <w:rFonts w:ascii="Times New Roman" w:hAnsi="Times New Roman" w:cs="Times New Roman"/>
          <w:sz w:val="24"/>
          <w:szCs w:val="24"/>
        </w:rPr>
        <w:t>,</w:t>
      </w:r>
      <w:r w:rsidRPr="0034469D">
        <w:rPr>
          <w:rFonts w:ascii="Times New Roman" w:hAnsi="Times New Roman" w:cs="Times New Roman"/>
          <w:sz w:val="24"/>
          <w:szCs w:val="24"/>
        </w:rPr>
        <w:t xml:space="preserve"> half of whom are enrolled in Medicaid</w:t>
      </w:r>
      <w:r w:rsidR="00CF319E">
        <w:rPr>
          <w:rFonts w:ascii="Times New Roman" w:hAnsi="Times New Roman" w:cs="Times New Roman"/>
          <w:sz w:val="24"/>
          <w:szCs w:val="24"/>
        </w:rPr>
        <w:t xml:space="preserve"> (nationally)</w:t>
      </w:r>
      <w:r w:rsidRPr="0034469D">
        <w:rPr>
          <w:rFonts w:ascii="Times New Roman" w:hAnsi="Times New Roman" w:cs="Times New Roman"/>
          <w:sz w:val="24"/>
          <w:szCs w:val="24"/>
        </w:rPr>
        <w:t xml:space="preserve">.  </w:t>
      </w:r>
    </w:p>
    <w:p w:rsidR="00952A77" w:rsidRPr="0034469D" w:rsidRDefault="00952A77" w:rsidP="00952A77">
      <w:pPr>
        <w:pStyle w:val="ListParagraph"/>
        <w:numPr>
          <w:ilvl w:val="0"/>
          <w:numId w:val="21"/>
        </w:numPr>
        <w:ind w:left="360"/>
        <w:contextualSpacing/>
        <w:outlineLvl w:val="1"/>
        <w:rPr>
          <w:rFonts w:ascii="Times New Roman" w:hAnsi="Times New Roman" w:cs="Times New Roman"/>
          <w:sz w:val="24"/>
          <w:szCs w:val="24"/>
        </w:rPr>
      </w:pPr>
      <w:r w:rsidRPr="0034469D">
        <w:rPr>
          <w:rFonts w:ascii="Times New Roman" w:hAnsi="Times New Roman" w:cs="Times New Roman"/>
          <w:sz w:val="24"/>
          <w:szCs w:val="24"/>
        </w:rPr>
        <w:t xml:space="preserve">We appreciate the FCC’s recognition of the valuable role that connected care technology can play in expanding access, decreasing costs, and improving health outcomes for low-income patients. </w:t>
      </w:r>
    </w:p>
    <w:p w:rsidR="00952A77" w:rsidRPr="0034469D" w:rsidRDefault="00952A77" w:rsidP="00952A77">
      <w:pPr>
        <w:pStyle w:val="ListParagraph"/>
        <w:numPr>
          <w:ilvl w:val="0"/>
          <w:numId w:val="21"/>
        </w:numPr>
        <w:ind w:left="360"/>
        <w:contextualSpacing/>
        <w:outlineLvl w:val="1"/>
        <w:rPr>
          <w:rFonts w:ascii="Times New Roman" w:hAnsi="Times New Roman" w:cs="Times New Roman"/>
          <w:sz w:val="24"/>
          <w:szCs w:val="24"/>
        </w:rPr>
      </w:pPr>
      <w:r w:rsidRPr="0034469D">
        <w:rPr>
          <w:rFonts w:ascii="Times New Roman" w:hAnsi="Times New Roman" w:cs="Times New Roman"/>
          <w:sz w:val="24"/>
          <w:szCs w:val="24"/>
        </w:rPr>
        <w:t xml:space="preserve">To best demonstrate the potential impact of connected care, the FCC should work closely with the Centers for Medicare and Medicaid Services (CMS) to pair the CCPP with enhancements in Medicaid and Medicare reimbursement for connected care services.  </w:t>
      </w:r>
    </w:p>
    <w:p w:rsidR="00DE0CAF" w:rsidRDefault="00952A77" w:rsidP="00952A77">
      <w:pPr>
        <w:pStyle w:val="ListParagraph"/>
        <w:numPr>
          <w:ilvl w:val="0"/>
          <w:numId w:val="21"/>
        </w:numPr>
        <w:ind w:left="360"/>
        <w:contextualSpacing/>
        <w:outlineLvl w:val="1"/>
        <w:rPr>
          <w:rFonts w:ascii="Times New Roman" w:hAnsi="Times New Roman" w:cs="Times New Roman"/>
          <w:sz w:val="24"/>
          <w:szCs w:val="24"/>
        </w:rPr>
      </w:pPr>
      <w:r w:rsidRPr="0034469D">
        <w:rPr>
          <w:rFonts w:ascii="Times New Roman" w:hAnsi="Times New Roman" w:cs="Times New Roman"/>
          <w:sz w:val="24"/>
          <w:szCs w:val="24"/>
        </w:rPr>
        <w:t xml:space="preserve">NACHC is very concerned the CCPP (and/or any future programs with similar goals) may be funded through reductions in the Lifeline program or other vital programs actively improving the telecommunications capabilities of low income Americans.  </w:t>
      </w:r>
    </w:p>
    <w:p w:rsidR="00952A77" w:rsidRPr="0034469D" w:rsidRDefault="00F963CD" w:rsidP="00DE0CAF">
      <w:pPr>
        <w:pStyle w:val="ListParagraph"/>
        <w:numPr>
          <w:ilvl w:val="1"/>
          <w:numId w:val="21"/>
        </w:numPr>
        <w:contextualSpacing/>
        <w:outlineLvl w:val="1"/>
        <w:rPr>
          <w:rFonts w:ascii="Times New Roman" w:hAnsi="Times New Roman" w:cs="Times New Roman"/>
          <w:sz w:val="24"/>
          <w:szCs w:val="24"/>
        </w:rPr>
      </w:pPr>
      <w:r>
        <w:rPr>
          <w:rFonts w:ascii="Times New Roman" w:hAnsi="Times New Roman" w:cs="Times New Roman"/>
          <w:sz w:val="24"/>
          <w:szCs w:val="24"/>
        </w:rPr>
        <w:t>Nationally, m</w:t>
      </w:r>
      <w:r w:rsidR="00952A77" w:rsidRPr="0034469D">
        <w:rPr>
          <w:rFonts w:ascii="Times New Roman" w:hAnsi="Times New Roman" w:cs="Times New Roman"/>
          <w:sz w:val="24"/>
          <w:szCs w:val="24"/>
        </w:rPr>
        <w:t xml:space="preserve">illions of CHC patients rely on Lifeline to be able to afford phone or Internet access and reducing Lifeline funding to pay for Connected Care could leave millions of our patients without basic telecommunication service.  </w:t>
      </w:r>
    </w:p>
    <w:p w:rsidR="00952A77" w:rsidRPr="0034469D" w:rsidRDefault="00952A77" w:rsidP="00952A77">
      <w:pPr>
        <w:keepNext/>
        <w:keepLines/>
        <w:spacing w:before="240"/>
        <w:outlineLvl w:val="0"/>
        <w:rPr>
          <w:rFonts w:eastAsiaTheme="majorEastAsia"/>
          <w:b/>
        </w:rPr>
      </w:pPr>
      <w:r w:rsidRPr="0034469D">
        <w:rPr>
          <w:rFonts w:eastAsiaTheme="majorEastAsia"/>
          <w:b/>
        </w:rPr>
        <w:t>General Use of Funds</w:t>
      </w:r>
    </w:p>
    <w:p w:rsidR="00952A77" w:rsidRPr="0034469D" w:rsidRDefault="00952A77" w:rsidP="00952A77">
      <w:pPr>
        <w:pStyle w:val="ListParagraph"/>
        <w:numPr>
          <w:ilvl w:val="0"/>
          <w:numId w:val="22"/>
        </w:numPr>
        <w:ind w:left="360"/>
        <w:contextualSpacing/>
        <w:outlineLvl w:val="1"/>
        <w:rPr>
          <w:rFonts w:ascii="Times New Roman" w:hAnsi="Times New Roman" w:cs="Times New Roman"/>
          <w:sz w:val="24"/>
          <w:szCs w:val="24"/>
        </w:rPr>
      </w:pPr>
      <w:r w:rsidRPr="0034469D">
        <w:rPr>
          <w:rFonts w:ascii="Times New Roman" w:hAnsi="Times New Roman" w:cs="Times New Roman"/>
          <w:sz w:val="24"/>
          <w:szCs w:val="24"/>
        </w:rPr>
        <w:t xml:space="preserve">NACHC strongly supports the CCPP’s focus on low-income patients and encourages the FCC to ensure </w:t>
      </w:r>
      <w:r w:rsidR="00DE0CAF">
        <w:rPr>
          <w:rFonts w:ascii="Times New Roman" w:hAnsi="Times New Roman" w:cs="Times New Roman"/>
          <w:sz w:val="24"/>
          <w:szCs w:val="24"/>
        </w:rPr>
        <w:t xml:space="preserve">that </w:t>
      </w:r>
      <w:r w:rsidRPr="0034469D">
        <w:rPr>
          <w:rFonts w:ascii="Times New Roman" w:hAnsi="Times New Roman" w:cs="Times New Roman"/>
          <w:sz w:val="24"/>
          <w:szCs w:val="24"/>
        </w:rPr>
        <w:t xml:space="preserve">decisions about program design maintain this focus.  </w:t>
      </w:r>
    </w:p>
    <w:p w:rsidR="00952A77" w:rsidRPr="0034469D" w:rsidRDefault="00952A77" w:rsidP="00952A77">
      <w:pPr>
        <w:pStyle w:val="ListParagraph"/>
        <w:numPr>
          <w:ilvl w:val="0"/>
          <w:numId w:val="22"/>
        </w:numPr>
        <w:ind w:left="360"/>
        <w:contextualSpacing/>
        <w:outlineLvl w:val="1"/>
        <w:rPr>
          <w:rFonts w:ascii="Times New Roman" w:hAnsi="Times New Roman" w:cs="Times New Roman"/>
          <w:sz w:val="24"/>
          <w:szCs w:val="24"/>
        </w:rPr>
      </w:pPr>
      <w:r w:rsidRPr="0034469D">
        <w:rPr>
          <w:rFonts w:ascii="Times New Roman" w:hAnsi="Times New Roman" w:cs="Times New Roman"/>
          <w:sz w:val="24"/>
          <w:szCs w:val="24"/>
        </w:rPr>
        <w:t xml:space="preserve">CCPP funds should be focused on providing broadband access to low-income patients and equipment to patients and providers – not on broadband access for health care providers.  </w:t>
      </w:r>
    </w:p>
    <w:p w:rsidR="00952A77" w:rsidRPr="0034469D" w:rsidRDefault="00952A77" w:rsidP="00952A77"/>
    <w:p w:rsidR="00952A77" w:rsidRPr="0034469D" w:rsidRDefault="00952A77" w:rsidP="00952A77">
      <w:pPr>
        <w:rPr>
          <w:b/>
        </w:rPr>
      </w:pPr>
      <w:r w:rsidRPr="0034469D">
        <w:rPr>
          <w:b/>
        </w:rPr>
        <w:t>Eligibility Criteria for Health Care Providers</w:t>
      </w:r>
    </w:p>
    <w:p w:rsidR="00F963CD" w:rsidRDefault="00952A77" w:rsidP="00952A77">
      <w:pPr>
        <w:pStyle w:val="ListParagraph"/>
        <w:numPr>
          <w:ilvl w:val="0"/>
          <w:numId w:val="27"/>
        </w:numPr>
        <w:ind w:left="360"/>
        <w:contextualSpacing/>
        <w:outlineLvl w:val="1"/>
        <w:rPr>
          <w:rFonts w:ascii="Times New Roman" w:hAnsi="Times New Roman" w:cs="Times New Roman"/>
          <w:sz w:val="24"/>
          <w:szCs w:val="24"/>
        </w:rPr>
      </w:pPr>
      <w:r w:rsidRPr="0034469D">
        <w:rPr>
          <w:rFonts w:ascii="Times New Roman" w:hAnsi="Times New Roman" w:cs="Times New Roman"/>
          <w:sz w:val="24"/>
          <w:szCs w:val="24"/>
        </w:rPr>
        <w:t>Eligibility to apply for CCPP funds should be limited to outpatient providers for which</w:t>
      </w:r>
      <w:r w:rsidR="00F963CD">
        <w:rPr>
          <w:rFonts w:ascii="Times New Roman" w:hAnsi="Times New Roman" w:cs="Times New Roman"/>
          <w:sz w:val="24"/>
          <w:szCs w:val="24"/>
        </w:rPr>
        <w:t>:</w:t>
      </w:r>
    </w:p>
    <w:p w:rsidR="00F963CD" w:rsidRDefault="00952A77" w:rsidP="00F963CD">
      <w:pPr>
        <w:pStyle w:val="ListParagraph"/>
        <w:numPr>
          <w:ilvl w:val="1"/>
          <w:numId w:val="27"/>
        </w:numPr>
        <w:contextualSpacing/>
        <w:outlineLvl w:val="1"/>
        <w:rPr>
          <w:rFonts w:ascii="Times New Roman" w:hAnsi="Times New Roman" w:cs="Times New Roman"/>
          <w:sz w:val="24"/>
          <w:szCs w:val="24"/>
        </w:rPr>
      </w:pPr>
      <w:r w:rsidRPr="0034469D">
        <w:rPr>
          <w:rFonts w:ascii="Times New Roman" w:hAnsi="Times New Roman" w:cs="Times New Roman"/>
          <w:sz w:val="24"/>
          <w:szCs w:val="24"/>
        </w:rPr>
        <w:t>a majority of patients are low-income</w:t>
      </w:r>
      <w:r w:rsidR="00F963CD">
        <w:rPr>
          <w:rFonts w:ascii="Times New Roman" w:hAnsi="Times New Roman" w:cs="Times New Roman"/>
          <w:sz w:val="24"/>
          <w:szCs w:val="24"/>
        </w:rPr>
        <w:t>,</w:t>
      </w:r>
      <w:r w:rsidRPr="0034469D">
        <w:rPr>
          <w:rFonts w:ascii="Times New Roman" w:hAnsi="Times New Roman" w:cs="Times New Roman"/>
          <w:sz w:val="24"/>
          <w:szCs w:val="24"/>
        </w:rPr>
        <w:t xml:space="preserve"> </w:t>
      </w:r>
    </w:p>
    <w:p w:rsidR="00F963CD" w:rsidRDefault="00952A77" w:rsidP="00F963CD">
      <w:pPr>
        <w:pStyle w:val="ListParagraph"/>
        <w:numPr>
          <w:ilvl w:val="1"/>
          <w:numId w:val="27"/>
        </w:numPr>
        <w:contextualSpacing/>
        <w:outlineLvl w:val="1"/>
        <w:rPr>
          <w:rFonts w:ascii="Times New Roman" w:hAnsi="Times New Roman" w:cs="Times New Roman"/>
          <w:sz w:val="24"/>
          <w:szCs w:val="24"/>
        </w:rPr>
      </w:pPr>
      <w:r w:rsidRPr="0034469D">
        <w:rPr>
          <w:rFonts w:ascii="Times New Roman" w:hAnsi="Times New Roman" w:cs="Times New Roman"/>
          <w:sz w:val="24"/>
          <w:szCs w:val="24"/>
        </w:rPr>
        <w:t xml:space="preserve">and/or veterans who qualify for no-cost care, </w:t>
      </w:r>
    </w:p>
    <w:p w:rsidR="00F963CD" w:rsidRDefault="00952A77" w:rsidP="00F963CD">
      <w:pPr>
        <w:pStyle w:val="ListParagraph"/>
        <w:numPr>
          <w:ilvl w:val="1"/>
          <w:numId w:val="27"/>
        </w:numPr>
        <w:contextualSpacing/>
        <w:outlineLvl w:val="1"/>
        <w:rPr>
          <w:rFonts w:ascii="Times New Roman" w:hAnsi="Times New Roman" w:cs="Times New Roman"/>
          <w:sz w:val="24"/>
          <w:szCs w:val="24"/>
        </w:rPr>
      </w:pPr>
      <w:proofErr w:type="gramStart"/>
      <w:r w:rsidRPr="0034469D">
        <w:rPr>
          <w:rFonts w:ascii="Times New Roman" w:hAnsi="Times New Roman" w:cs="Times New Roman"/>
          <w:sz w:val="24"/>
          <w:szCs w:val="24"/>
        </w:rPr>
        <w:t>and</w:t>
      </w:r>
      <w:proofErr w:type="gramEnd"/>
      <w:r w:rsidRPr="0034469D">
        <w:rPr>
          <w:rFonts w:ascii="Times New Roman" w:hAnsi="Times New Roman" w:cs="Times New Roman"/>
          <w:sz w:val="24"/>
          <w:szCs w:val="24"/>
        </w:rPr>
        <w:t xml:space="preserve"> to organizations that represent such providers.  </w:t>
      </w:r>
    </w:p>
    <w:p w:rsidR="00952A77" w:rsidRPr="0034469D" w:rsidRDefault="00952A77" w:rsidP="00952A77">
      <w:pPr>
        <w:pStyle w:val="ListParagraph"/>
        <w:numPr>
          <w:ilvl w:val="0"/>
          <w:numId w:val="27"/>
        </w:numPr>
        <w:ind w:left="360"/>
        <w:contextualSpacing/>
        <w:outlineLvl w:val="1"/>
        <w:rPr>
          <w:rFonts w:ascii="Times New Roman" w:hAnsi="Times New Roman" w:cs="Times New Roman"/>
          <w:sz w:val="24"/>
          <w:szCs w:val="24"/>
        </w:rPr>
      </w:pPr>
      <w:r w:rsidRPr="0034469D">
        <w:rPr>
          <w:rFonts w:ascii="Times New Roman" w:hAnsi="Times New Roman" w:cs="Times New Roman"/>
          <w:sz w:val="24"/>
          <w:szCs w:val="24"/>
        </w:rPr>
        <w:t>Specifically:</w:t>
      </w:r>
    </w:p>
    <w:p w:rsidR="00952A77" w:rsidRPr="0034469D" w:rsidRDefault="00952A77" w:rsidP="00952A77">
      <w:pPr>
        <w:numPr>
          <w:ilvl w:val="0"/>
          <w:numId w:val="28"/>
        </w:numPr>
        <w:contextualSpacing/>
        <w:outlineLvl w:val="2"/>
      </w:pPr>
      <w:r w:rsidRPr="0034469D">
        <w:t xml:space="preserve">“Primary eligibility” – meaning eligibility to apply for and receive CCPP funding directly -- should be limited to outpatient providers, as they are the ones that most consistently manage the types of conditions that are appropriate for connected care.   </w:t>
      </w:r>
    </w:p>
    <w:p w:rsidR="00DE0CAF" w:rsidRDefault="00952A77" w:rsidP="00952A77">
      <w:pPr>
        <w:numPr>
          <w:ilvl w:val="0"/>
          <w:numId w:val="28"/>
        </w:numPr>
        <w:contextualSpacing/>
        <w:outlineLvl w:val="2"/>
      </w:pPr>
      <w:r w:rsidRPr="0034469D">
        <w:t xml:space="preserve">Outpatient providers should be permitted to form consortia with other providers -- including inpatient providers, such as hospitals and rehab facilities – when designing and applying for their CCPP projects.  </w:t>
      </w:r>
    </w:p>
    <w:p w:rsidR="00952A77" w:rsidRPr="0034469D" w:rsidRDefault="00952A77" w:rsidP="00DE0CAF">
      <w:pPr>
        <w:numPr>
          <w:ilvl w:val="1"/>
          <w:numId w:val="28"/>
        </w:numPr>
        <w:contextualSpacing/>
        <w:outlineLvl w:val="2"/>
      </w:pPr>
      <w:r w:rsidRPr="0034469D">
        <w:t xml:space="preserve">However, the outpatient provider should retain primary responsibility for the project.  </w:t>
      </w:r>
    </w:p>
    <w:p w:rsidR="00952A77" w:rsidRPr="0034469D" w:rsidRDefault="00952A77" w:rsidP="00952A77">
      <w:pPr>
        <w:numPr>
          <w:ilvl w:val="0"/>
          <w:numId w:val="28"/>
        </w:numPr>
        <w:contextualSpacing/>
        <w:outlineLvl w:val="2"/>
      </w:pPr>
      <w:r w:rsidRPr="0034469D">
        <w:t xml:space="preserve">The percentage of a health care provider’s patients who are on Medicaid is not an appropriate proxy for </w:t>
      </w:r>
      <w:r w:rsidR="00DE0CAF">
        <w:t xml:space="preserve">the </w:t>
      </w:r>
      <w:r w:rsidRPr="0034469D">
        <w:t>percentage of their patients who are low-income.</w:t>
      </w:r>
    </w:p>
    <w:p w:rsidR="00952A77" w:rsidRPr="0034469D" w:rsidRDefault="00952A77" w:rsidP="00952A77">
      <w:pPr>
        <w:numPr>
          <w:ilvl w:val="0"/>
          <w:numId w:val="28"/>
        </w:numPr>
        <w:contextualSpacing/>
        <w:outlineLvl w:val="2"/>
      </w:pPr>
      <w:r w:rsidRPr="0034469D">
        <w:t>“Low-income” should be defined as individuals in families with incomes at or below 200% of the Federal Poverty Level (FPL).</w:t>
      </w:r>
    </w:p>
    <w:p w:rsidR="00952A77" w:rsidRPr="0034469D" w:rsidRDefault="00952A77" w:rsidP="00952A77">
      <w:pPr>
        <w:numPr>
          <w:ilvl w:val="0"/>
          <w:numId w:val="28"/>
        </w:numPr>
        <w:contextualSpacing/>
        <w:outlineLvl w:val="2"/>
      </w:pPr>
      <w:r w:rsidRPr="0034469D">
        <w:t xml:space="preserve">“Providers who serve predominantly low-income patients” should be defined as those for which the majority of patients are </w:t>
      </w:r>
      <w:r w:rsidR="00DE0CAF">
        <w:t xml:space="preserve">at or </w:t>
      </w:r>
      <w:r w:rsidRPr="0034469D">
        <w:t>below 200% FPL</w:t>
      </w:r>
      <w:r w:rsidR="00DE0CAF">
        <w:t xml:space="preserve">, </w:t>
      </w:r>
      <w:r w:rsidRPr="0034469D">
        <w:t xml:space="preserve">or veterans eligible for free care.  </w:t>
      </w:r>
    </w:p>
    <w:p w:rsidR="00952A77" w:rsidRPr="0034469D" w:rsidRDefault="00952A77" w:rsidP="00952A77">
      <w:pPr>
        <w:numPr>
          <w:ilvl w:val="0"/>
          <w:numId w:val="28"/>
        </w:numPr>
        <w:contextualSpacing/>
        <w:outlineLvl w:val="2"/>
      </w:pPr>
      <w:r w:rsidRPr="0034469D">
        <w:t xml:space="preserve">Eligibility should be extended to organizations that represent groups of providers who would otherwise be eligible individually.  </w:t>
      </w:r>
    </w:p>
    <w:p w:rsidR="00952A77" w:rsidRPr="0034469D" w:rsidRDefault="00952A77" w:rsidP="00952A77">
      <w:pPr>
        <w:keepNext/>
        <w:keepLines/>
        <w:spacing w:before="240"/>
        <w:outlineLvl w:val="0"/>
        <w:rPr>
          <w:rFonts w:eastAsiaTheme="majorEastAsia"/>
          <w:b/>
          <w:u w:val="single"/>
        </w:rPr>
      </w:pPr>
      <w:r w:rsidRPr="0034469D">
        <w:rPr>
          <w:rFonts w:eastAsiaTheme="majorEastAsia"/>
          <w:b/>
        </w:rPr>
        <w:t>Eligibility Criteria for Low-Income Subscribers (i.e., patients)</w:t>
      </w:r>
    </w:p>
    <w:p w:rsidR="00CF319E" w:rsidRDefault="00952A77" w:rsidP="00952A77">
      <w:pPr>
        <w:pStyle w:val="ListParagraph"/>
        <w:numPr>
          <w:ilvl w:val="0"/>
          <w:numId w:val="23"/>
        </w:numPr>
        <w:ind w:left="360"/>
        <w:contextualSpacing/>
        <w:outlineLvl w:val="1"/>
        <w:rPr>
          <w:rFonts w:ascii="Times New Roman" w:hAnsi="Times New Roman" w:cs="Times New Roman"/>
          <w:sz w:val="24"/>
          <w:szCs w:val="24"/>
        </w:rPr>
      </w:pPr>
      <w:r w:rsidRPr="0034469D">
        <w:rPr>
          <w:rFonts w:ascii="Times New Roman" w:hAnsi="Times New Roman" w:cs="Times New Roman"/>
          <w:sz w:val="24"/>
          <w:szCs w:val="24"/>
        </w:rPr>
        <w:t xml:space="preserve">Eligible low-income subscribers should: </w:t>
      </w:r>
    </w:p>
    <w:p w:rsidR="00CF319E" w:rsidRDefault="00952A77" w:rsidP="00CF319E">
      <w:pPr>
        <w:pStyle w:val="ListParagraph"/>
        <w:numPr>
          <w:ilvl w:val="1"/>
          <w:numId w:val="23"/>
        </w:numPr>
        <w:contextualSpacing/>
        <w:outlineLvl w:val="1"/>
        <w:rPr>
          <w:rFonts w:ascii="Times New Roman" w:hAnsi="Times New Roman" w:cs="Times New Roman"/>
          <w:sz w:val="24"/>
          <w:szCs w:val="24"/>
        </w:rPr>
      </w:pPr>
      <w:r w:rsidRPr="0034469D">
        <w:rPr>
          <w:rFonts w:ascii="Times New Roman" w:hAnsi="Times New Roman" w:cs="Times New Roman"/>
          <w:sz w:val="24"/>
          <w:szCs w:val="24"/>
        </w:rPr>
        <w:t>have incomes at or below 200% FPL</w:t>
      </w:r>
    </w:p>
    <w:p w:rsidR="00CF319E" w:rsidRDefault="00952A77" w:rsidP="00CF319E">
      <w:pPr>
        <w:pStyle w:val="ListParagraph"/>
        <w:numPr>
          <w:ilvl w:val="1"/>
          <w:numId w:val="23"/>
        </w:numPr>
        <w:contextualSpacing/>
        <w:outlineLvl w:val="1"/>
        <w:rPr>
          <w:rFonts w:ascii="Times New Roman" w:hAnsi="Times New Roman" w:cs="Times New Roman"/>
          <w:sz w:val="24"/>
          <w:szCs w:val="24"/>
        </w:rPr>
      </w:pPr>
      <w:r w:rsidRPr="0034469D">
        <w:rPr>
          <w:rFonts w:ascii="Times New Roman" w:hAnsi="Times New Roman" w:cs="Times New Roman"/>
          <w:sz w:val="24"/>
          <w:szCs w:val="24"/>
        </w:rPr>
        <w:t xml:space="preserve">or be veterans eligible for free care and </w:t>
      </w:r>
    </w:p>
    <w:p w:rsidR="00952A77" w:rsidRPr="0034469D" w:rsidRDefault="00952A77" w:rsidP="00CF319E">
      <w:pPr>
        <w:pStyle w:val="ListParagraph"/>
        <w:numPr>
          <w:ilvl w:val="1"/>
          <w:numId w:val="23"/>
        </w:numPr>
        <w:contextualSpacing/>
        <w:outlineLvl w:val="1"/>
        <w:rPr>
          <w:rFonts w:ascii="Times New Roman" w:hAnsi="Times New Roman" w:cs="Times New Roman"/>
          <w:sz w:val="24"/>
          <w:szCs w:val="24"/>
        </w:rPr>
      </w:pPr>
      <w:proofErr w:type="gramStart"/>
      <w:r w:rsidRPr="0034469D">
        <w:rPr>
          <w:rFonts w:ascii="Times New Roman" w:hAnsi="Times New Roman" w:cs="Times New Roman"/>
          <w:sz w:val="24"/>
          <w:szCs w:val="24"/>
        </w:rPr>
        <w:t>be</w:t>
      </w:r>
      <w:proofErr w:type="gramEnd"/>
      <w:r w:rsidRPr="0034469D">
        <w:rPr>
          <w:rFonts w:ascii="Times New Roman" w:hAnsi="Times New Roman" w:cs="Times New Roman"/>
          <w:sz w:val="24"/>
          <w:szCs w:val="24"/>
        </w:rPr>
        <w:t xml:space="preserve"> actively participating in connected care. </w:t>
      </w:r>
    </w:p>
    <w:p w:rsidR="00952A77" w:rsidRPr="0034469D" w:rsidRDefault="00952A77" w:rsidP="00952A77">
      <w:pPr>
        <w:pStyle w:val="ListParagraph"/>
        <w:numPr>
          <w:ilvl w:val="0"/>
          <w:numId w:val="23"/>
        </w:numPr>
        <w:ind w:left="360"/>
        <w:contextualSpacing/>
        <w:outlineLvl w:val="1"/>
        <w:rPr>
          <w:rFonts w:ascii="Times New Roman" w:hAnsi="Times New Roman" w:cs="Times New Roman"/>
          <w:sz w:val="24"/>
          <w:szCs w:val="24"/>
        </w:rPr>
      </w:pPr>
      <w:r w:rsidRPr="0034469D">
        <w:rPr>
          <w:rFonts w:ascii="Times New Roman" w:hAnsi="Times New Roman" w:cs="Times New Roman"/>
          <w:sz w:val="24"/>
          <w:szCs w:val="24"/>
        </w:rPr>
        <w:lastRenderedPageBreak/>
        <w:t xml:space="preserve">Participating health care providers should be permitted to select the specific health conditions or demographic characteristics that they will target.  </w:t>
      </w:r>
    </w:p>
    <w:p w:rsidR="00952A77" w:rsidRPr="0034469D" w:rsidRDefault="00952A77" w:rsidP="00952A77">
      <w:pPr>
        <w:keepNext/>
        <w:keepLines/>
        <w:spacing w:before="240"/>
        <w:outlineLvl w:val="0"/>
        <w:rPr>
          <w:rFonts w:eastAsiaTheme="majorEastAsia"/>
          <w:b/>
        </w:rPr>
      </w:pPr>
      <w:r w:rsidRPr="0034469D">
        <w:rPr>
          <w:rFonts w:eastAsiaTheme="majorEastAsia"/>
          <w:b/>
        </w:rPr>
        <w:t>Financing and Uses of Equipment</w:t>
      </w:r>
    </w:p>
    <w:p w:rsidR="00952A77" w:rsidRPr="0034469D" w:rsidRDefault="00952A77" w:rsidP="00952A77">
      <w:pPr>
        <w:pStyle w:val="ListParagraph"/>
        <w:numPr>
          <w:ilvl w:val="0"/>
          <w:numId w:val="24"/>
        </w:numPr>
        <w:ind w:left="360"/>
        <w:contextualSpacing/>
        <w:outlineLvl w:val="1"/>
        <w:rPr>
          <w:rFonts w:ascii="Times New Roman" w:hAnsi="Times New Roman" w:cs="Times New Roman"/>
          <w:sz w:val="24"/>
          <w:szCs w:val="24"/>
        </w:rPr>
      </w:pPr>
      <w:r w:rsidRPr="0034469D">
        <w:rPr>
          <w:rFonts w:ascii="Times New Roman" w:hAnsi="Times New Roman" w:cs="Times New Roman"/>
          <w:sz w:val="24"/>
          <w:szCs w:val="24"/>
        </w:rPr>
        <w:t xml:space="preserve">Participation should </w:t>
      </w:r>
      <w:r w:rsidRPr="0034469D">
        <w:rPr>
          <w:rFonts w:ascii="Times New Roman" w:hAnsi="Times New Roman" w:cs="Times New Roman"/>
          <w:sz w:val="24"/>
          <w:szCs w:val="24"/>
          <w:u w:val="single"/>
        </w:rPr>
        <w:t>not</w:t>
      </w:r>
      <w:r w:rsidRPr="0034469D">
        <w:rPr>
          <w:rFonts w:ascii="Times New Roman" w:hAnsi="Times New Roman" w:cs="Times New Roman"/>
          <w:sz w:val="24"/>
          <w:szCs w:val="24"/>
        </w:rPr>
        <w:t xml:space="preserve"> be limited to proposals where the broadband provider will donate the end-user equipment.</w:t>
      </w:r>
    </w:p>
    <w:p w:rsidR="00952A77" w:rsidRPr="0034469D" w:rsidRDefault="00952A77" w:rsidP="00952A77">
      <w:pPr>
        <w:pStyle w:val="ListParagraph"/>
        <w:numPr>
          <w:ilvl w:val="0"/>
          <w:numId w:val="24"/>
        </w:numPr>
        <w:ind w:left="360"/>
        <w:contextualSpacing/>
        <w:outlineLvl w:val="1"/>
        <w:rPr>
          <w:rFonts w:ascii="Times New Roman" w:hAnsi="Times New Roman" w:cs="Times New Roman"/>
          <w:sz w:val="24"/>
          <w:szCs w:val="24"/>
        </w:rPr>
      </w:pPr>
      <w:r w:rsidRPr="0034469D">
        <w:rPr>
          <w:rFonts w:ascii="Times New Roman" w:hAnsi="Times New Roman" w:cs="Times New Roman"/>
          <w:sz w:val="24"/>
          <w:szCs w:val="24"/>
        </w:rPr>
        <w:t xml:space="preserve">Participating health care providers should be permitted to use their on-site CCPP equipment to provide care to </w:t>
      </w:r>
      <w:r w:rsidRPr="0034469D">
        <w:rPr>
          <w:rFonts w:ascii="Times New Roman" w:hAnsi="Times New Roman" w:cs="Times New Roman"/>
          <w:sz w:val="24"/>
          <w:szCs w:val="24"/>
          <w:u w:val="single"/>
        </w:rPr>
        <w:t>any</w:t>
      </w:r>
      <w:r w:rsidRPr="0034469D">
        <w:rPr>
          <w:rFonts w:ascii="Times New Roman" w:hAnsi="Times New Roman" w:cs="Times New Roman"/>
          <w:sz w:val="24"/>
          <w:szCs w:val="24"/>
        </w:rPr>
        <w:t xml:space="preserve"> patient, regardless of whether the patient is a low-income subscriber participating in the CCPP.  </w:t>
      </w:r>
    </w:p>
    <w:p w:rsidR="00952A77" w:rsidRPr="0034469D" w:rsidRDefault="00952A77" w:rsidP="00952A77">
      <w:pPr>
        <w:pStyle w:val="ListParagraph"/>
        <w:numPr>
          <w:ilvl w:val="0"/>
          <w:numId w:val="24"/>
        </w:numPr>
        <w:ind w:left="360"/>
        <w:contextualSpacing/>
        <w:outlineLvl w:val="1"/>
        <w:rPr>
          <w:rFonts w:ascii="Times New Roman" w:hAnsi="Times New Roman" w:cs="Times New Roman"/>
          <w:b/>
          <w:sz w:val="24"/>
          <w:szCs w:val="24"/>
        </w:rPr>
      </w:pPr>
      <w:r w:rsidRPr="0034469D">
        <w:rPr>
          <w:rFonts w:ascii="Times New Roman" w:hAnsi="Times New Roman" w:cs="Times New Roman"/>
          <w:sz w:val="24"/>
          <w:szCs w:val="24"/>
        </w:rPr>
        <w:t>Health care providers should be permitted to determine what type of patient equipment is most appropriate for their care model.</w:t>
      </w:r>
    </w:p>
    <w:p w:rsidR="00952A77" w:rsidRPr="0034469D" w:rsidRDefault="00952A77" w:rsidP="00952A77">
      <w:pPr>
        <w:pStyle w:val="ListParagraph"/>
        <w:numPr>
          <w:ilvl w:val="0"/>
          <w:numId w:val="24"/>
        </w:numPr>
        <w:ind w:left="360"/>
        <w:contextualSpacing/>
        <w:outlineLvl w:val="1"/>
        <w:rPr>
          <w:rFonts w:ascii="Times New Roman" w:hAnsi="Times New Roman" w:cs="Times New Roman"/>
          <w:sz w:val="24"/>
          <w:szCs w:val="24"/>
        </w:rPr>
      </w:pPr>
      <w:r w:rsidRPr="0034469D">
        <w:rPr>
          <w:rFonts w:ascii="Times New Roman" w:hAnsi="Times New Roman" w:cs="Times New Roman"/>
          <w:sz w:val="24"/>
          <w:szCs w:val="24"/>
        </w:rPr>
        <w:t>Equipment that is funded directly or indirectly through the CCPP should be provided to eligible patients for free and/or at a reduced fee based on income.</w:t>
      </w:r>
    </w:p>
    <w:p w:rsidR="00952A77" w:rsidRPr="0034469D" w:rsidRDefault="00952A77" w:rsidP="00952A77">
      <w:pPr>
        <w:keepNext/>
        <w:keepLines/>
        <w:spacing w:before="240"/>
        <w:outlineLvl w:val="0"/>
        <w:rPr>
          <w:rFonts w:eastAsiaTheme="majorEastAsia"/>
          <w:b/>
        </w:rPr>
      </w:pPr>
      <w:r w:rsidRPr="0034469D">
        <w:rPr>
          <w:rFonts w:eastAsiaTheme="majorEastAsia"/>
          <w:b/>
        </w:rPr>
        <w:t>Regulatory Barriers to Telemedicine</w:t>
      </w:r>
    </w:p>
    <w:p w:rsidR="00F963CD" w:rsidRDefault="00952A77" w:rsidP="00F963CD">
      <w:pPr>
        <w:pStyle w:val="ListParagraph"/>
        <w:numPr>
          <w:ilvl w:val="0"/>
          <w:numId w:val="25"/>
        </w:numPr>
        <w:tabs>
          <w:tab w:val="left" w:pos="2250"/>
        </w:tabs>
        <w:ind w:left="360"/>
        <w:contextualSpacing/>
        <w:outlineLvl w:val="1"/>
        <w:rPr>
          <w:rFonts w:ascii="Times New Roman" w:hAnsi="Times New Roman" w:cs="Times New Roman"/>
          <w:sz w:val="24"/>
          <w:szCs w:val="24"/>
        </w:rPr>
      </w:pPr>
      <w:r w:rsidRPr="0034469D">
        <w:rPr>
          <w:rFonts w:ascii="Times New Roman" w:hAnsi="Times New Roman" w:cs="Times New Roman"/>
          <w:sz w:val="24"/>
          <w:szCs w:val="24"/>
        </w:rPr>
        <w:t>Regulatory barriers prevent health care providers – i</w:t>
      </w:r>
      <w:r w:rsidR="00F170C7">
        <w:rPr>
          <w:rFonts w:ascii="Times New Roman" w:hAnsi="Times New Roman" w:cs="Times New Roman"/>
          <w:sz w:val="24"/>
          <w:szCs w:val="24"/>
        </w:rPr>
        <w:t>ncluding but not limited to community health centers</w:t>
      </w:r>
      <w:r w:rsidRPr="0034469D">
        <w:rPr>
          <w:rFonts w:ascii="Times New Roman" w:hAnsi="Times New Roman" w:cs="Times New Roman"/>
          <w:sz w:val="24"/>
          <w:szCs w:val="24"/>
        </w:rPr>
        <w:t xml:space="preserve"> -- from being reimbursed for telem</w:t>
      </w:r>
      <w:r w:rsidR="00F170C7">
        <w:rPr>
          <w:rFonts w:ascii="Times New Roman" w:hAnsi="Times New Roman" w:cs="Times New Roman"/>
          <w:sz w:val="24"/>
          <w:szCs w:val="24"/>
        </w:rPr>
        <w:t>edicine</w:t>
      </w:r>
    </w:p>
    <w:p w:rsidR="005835A9" w:rsidRPr="00F963CD" w:rsidRDefault="00F170C7" w:rsidP="00F963CD">
      <w:pPr>
        <w:pStyle w:val="ListParagraph"/>
        <w:numPr>
          <w:ilvl w:val="0"/>
          <w:numId w:val="25"/>
        </w:numPr>
        <w:tabs>
          <w:tab w:val="left" w:pos="2250"/>
        </w:tabs>
        <w:ind w:left="360"/>
        <w:contextualSpacing/>
        <w:outlineLvl w:val="1"/>
        <w:rPr>
          <w:rFonts w:ascii="Times New Roman" w:hAnsi="Times New Roman" w:cs="Times New Roman"/>
          <w:sz w:val="24"/>
          <w:szCs w:val="24"/>
        </w:rPr>
      </w:pPr>
      <w:r w:rsidRPr="00F963CD">
        <w:rPr>
          <w:rFonts w:ascii="Times New Roman" w:hAnsi="Times New Roman" w:cs="Times New Roman"/>
          <w:sz w:val="24"/>
          <w:szCs w:val="24"/>
        </w:rPr>
        <w:t xml:space="preserve">Although several federal proposals and programs are calling for increased use of telehealth, this impediment </w:t>
      </w:r>
      <w:r w:rsidR="00F963CD" w:rsidRPr="00F963CD">
        <w:rPr>
          <w:rFonts w:ascii="Times New Roman" w:hAnsi="Times New Roman" w:cs="Times New Roman"/>
          <w:sz w:val="24"/>
          <w:szCs w:val="24"/>
        </w:rPr>
        <w:t>creates</w:t>
      </w:r>
      <w:r w:rsidRPr="00F963CD">
        <w:rPr>
          <w:rFonts w:ascii="Times New Roman" w:hAnsi="Times New Roman" w:cs="Times New Roman"/>
          <w:sz w:val="24"/>
          <w:szCs w:val="24"/>
        </w:rPr>
        <w:t xml:space="preserve"> a significant barrier</w:t>
      </w:r>
      <w:r w:rsidR="00DE0CAF">
        <w:rPr>
          <w:rFonts w:ascii="Times New Roman" w:hAnsi="Times New Roman" w:cs="Times New Roman"/>
          <w:sz w:val="24"/>
          <w:szCs w:val="24"/>
        </w:rPr>
        <w:t xml:space="preserve"> to the spread and</w:t>
      </w:r>
      <w:bookmarkStart w:id="0" w:name="_GoBack"/>
      <w:bookmarkEnd w:id="0"/>
      <w:r w:rsidRPr="00F963CD">
        <w:rPr>
          <w:rFonts w:ascii="Times New Roman" w:hAnsi="Times New Roman" w:cs="Times New Roman"/>
          <w:sz w:val="24"/>
          <w:szCs w:val="24"/>
        </w:rPr>
        <w:t xml:space="preserve"> use of cost effective telehealth </w:t>
      </w:r>
      <w:r w:rsidR="00952A77" w:rsidRPr="00F963CD">
        <w:rPr>
          <w:rFonts w:ascii="Times New Roman" w:hAnsi="Times New Roman" w:cs="Times New Roman"/>
          <w:sz w:val="24"/>
          <w:szCs w:val="24"/>
        </w:rPr>
        <w:t>technology.</w:t>
      </w:r>
    </w:p>
    <w:p w:rsidR="00952A77" w:rsidRPr="0034469D" w:rsidRDefault="00952A77" w:rsidP="005835A9">
      <w:pPr>
        <w:pStyle w:val="ListParagraph"/>
        <w:numPr>
          <w:ilvl w:val="0"/>
          <w:numId w:val="25"/>
        </w:numPr>
        <w:tabs>
          <w:tab w:val="left" w:pos="2250"/>
        </w:tabs>
        <w:ind w:left="360"/>
        <w:contextualSpacing/>
        <w:outlineLvl w:val="1"/>
        <w:rPr>
          <w:rFonts w:ascii="Times New Roman" w:hAnsi="Times New Roman" w:cs="Times New Roman"/>
          <w:sz w:val="24"/>
          <w:szCs w:val="24"/>
        </w:rPr>
      </w:pPr>
      <w:r w:rsidRPr="0034469D">
        <w:rPr>
          <w:rFonts w:ascii="Times New Roman" w:hAnsi="Times New Roman" w:cs="Times New Roman"/>
          <w:sz w:val="24"/>
          <w:szCs w:val="24"/>
        </w:rPr>
        <w:t xml:space="preserve">Community Health Centers (CHCs) are further discouraged from engaging in telehealth by the significant uncertainty and burdensome requirements associated with getting their Federal malpractice insurance to cover these services.  </w:t>
      </w:r>
    </w:p>
    <w:p w:rsidR="00952A77" w:rsidRPr="0034469D" w:rsidRDefault="00952A77" w:rsidP="00952A77">
      <w:pPr>
        <w:pStyle w:val="ListParagraph"/>
        <w:numPr>
          <w:ilvl w:val="0"/>
          <w:numId w:val="25"/>
        </w:numPr>
        <w:ind w:left="360"/>
        <w:contextualSpacing/>
        <w:outlineLvl w:val="1"/>
        <w:rPr>
          <w:rFonts w:ascii="Times New Roman" w:hAnsi="Times New Roman" w:cs="Times New Roman"/>
          <w:sz w:val="24"/>
          <w:szCs w:val="24"/>
        </w:rPr>
      </w:pPr>
      <w:r w:rsidRPr="0034469D">
        <w:rPr>
          <w:rFonts w:ascii="Times New Roman" w:hAnsi="Times New Roman" w:cs="Times New Roman"/>
          <w:sz w:val="24"/>
          <w:szCs w:val="24"/>
        </w:rPr>
        <w:t xml:space="preserve">Conflicting state laws create barriers to providing care across state lines.  </w:t>
      </w:r>
    </w:p>
    <w:p w:rsidR="00952A77" w:rsidRPr="0034469D" w:rsidRDefault="00952A77" w:rsidP="00952A77">
      <w:pPr>
        <w:keepNext/>
        <w:keepLines/>
        <w:spacing w:before="240"/>
        <w:outlineLvl w:val="0"/>
        <w:rPr>
          <w:rFonts w:eastAsiaTheme="majorEastAsia"/>
          <w:b/>
        </w:rPr>
      </w:pPr>
      <w:r w:rsidRPr="0034469D">
        <w:rPr>
          <w:rFonts w:eastAsiaTheme="majorEastAsia"/>
          <w:b/>
        </w:rPr>
        <w:t>Evaluation</w:t>
      </w:r>
    </w:p>
    <w:p w:rsidR="00952A77" w:rsidRPr="0034469D" w:rsidRDefault="00952A77" w:rsidP="00952A77">
      <w:pPr>
        <w:pStyle w:val="ListParagraph"/>
        <w:numPr>
          <w:ilvl w:val="0"/>
          <w:numId w:val="26"/>
        </w:numPr>
        <w:ind w:left="360"/>
        <w:contextualSpacing/>
        <w:outlineLvl w:val="1"/>
        <w:rPr>
          <w:rFonts w:ascii="Times New Roman" w:hAnsi="Times New Roman" w:cs="Times New Roman"/>
          <w:sz w:val="24"/>
          <w:szCs w:val="24"/>
        </w:rPr>
      </w:pPr>
      <w:r w:rsidRPr="0034469D">
        <w:rPr>
          <w:rFonts w:ascii="Times New Roman" w:hAnsi="Times New Roman" w:cs="Times New Roman"/>
          <w:sz w:val="24"/>
          <w:szCs w:val="24"/>
        </w:rPr>
        <w:t>When establishing evaluation parameters, the FCC should keep in mind the limits on the types of data that health care providers can access.</w:t>
      </w:r>
    </w:p>
    <w:p w:rsidR="00952A77" w:rsidRPr="0034469D" w:rsidRDefault="00952A77" w:rsidP="00952A77">
      <w:pPr>
        <w:pStyle w:val="ListParagraph"/>
        <w:numPr>
          <w:ilvl w:val="0"/>
          <w:numId w:val="26"/>
        </w:numPr>
        <w:ind w:left="360"/>
        <w:contextualSpacing/>
        <w:outlineLvl w:val="1"/>
        <w:rPr>
          <w:rFonts w:ascii="Times New Roman" w:hAnsi="Times New Roman" w:cs="Times New Roman"/>
          <w:sz w:val="24"/>
          <w:szCs w:val="24"/>
        </w:rPr>
      </w:pPr>
      <w:r w:rsidRPr="0034469D">
        <w:rPr>
          <w:rFonts w:ascii="Times New Roman" w:hAnsi="Times New Roman" w:cs="Times New Roman"/>
          <w:sz w:val="24"/>
          <w:szCs w:val="24"/>
        </w:rPr>
        <w:t>The FCC should request support from CMS to access Medicaid and Medicare data.</w:t>
      </w:r>
    </w:p>
    <w:p w:rsidR="00952A77" w:rsidRPr="0034469D" w:rsidRDefault="00952A77" w:rsidP="00952A77">
      <w:pPr>
        <w:outlineLvl w:val="1"/>
      </w:pPr>
    </w:p>
    <w:p w:rsidR="00952A77" w:rsidRPr="0034469D" w:rsidRDefault="00952A77" w:rsidP="00952A77">
      <w:pPr>
        <w:outlineLvl w:val="1"/>
      </w:pPr>
    </w:p>
    <w:p w:rsidR="00952A77" w:rsidRPr="0034469D" w:rsidRDefault="00952A77" w:rsidP="00952A77">
      <w:pPr>
        <w:outlineLvl w:val="1"/>
      </w:pPr>
      <w:r w:rsidRPr="0034469D">
        <w:t>Thank you for your attention to these comments</w:t>
      </w:r>
      <w:r w:rsidR="005835A9" w:rsidRPr="0034469D">
        <w:t>. T</w:t>
      </w:r>
      <w:r w:rsidRPr="0034469D">
        <w:t xml:space="preserve">he Virginia Community Healthcare Association looks forward to potentially collaborating with the FCC to implement this important program.  </w:t>
      </w:r>
    </w:p>
    <w:p w:rsidR="00952A77" w:rsidRPr="0034469D" w:rsidRDefault="00952A77" w:rsidP="00952A77">
      <w:pPr>
        <w:outlineLvl w:val="1"/>
      </w:pPr>
    </w:p>
    <w:p w:rsidR="00952A77" w:rsidRPr="0034469D" w:rsidRDefault="00952A77" w:rsidP="00952A77"/>
    <w:p w:rsidR="00952A77" w:rsidRPr="0034469D" w:rsidRDefault="00952A77" w:rsidP="00952A77">
      <w:pPr>
        <w:spacing w:line="300" w:lineRule="exact"/>
      </w:pPr>
      <w:r w:rsidRPr="0034469D">
        <w:t>Sincerely,</w:t>
      </w:r>
    </w:p>
    <w:p w:rsidR="00952A77" w:rsidRPr="0034469D" w:rsidRDefault="00952A77" w:rsidP="00952A77"/>
    <w:p w:rsidR="00952A77" w:rsidRPr="0034469D" w:rsidRDefault="00952A77" w:rsidP="00952A77">
      <w:r w:rsidRPr="0034469D">
        <w:rPr>
          <w:noProof/>
        </w:rPr>
        <w:drawing>
          <wp:inline distT="0" distB="0" distL="0" distR="0" wp14:anchorId="4AFB23B4" wp14:editId="1F958DC1">
            <wp:extent cx="819150" cy="6381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19150" cy="638175"/>
                    </a:xfrm>
                    <a:prstGeom prst="rect">
                      <a:avLst/>
                    </a:prstGeom>
                    <a:noFill/>
                    <a:ln>
                      <a:noFill/>
                    </a:ln>
                  </pic:spPr>
                </pic:pic>
              </a:graphicData>
            </a:graphic>
          </wp:inline>
        </w:drawing>
      </w:r>
    </w:p>
    <w:p w:rsidR="00952A77" w:rsidRPr="0034469D" w:rsidRDefault="00952A77" w:rsidP="00952A77"/>
    <w:p w:rsidR="00952A77" w:rsidRPr="0034469D" w:rsidRDefault="00952A77" w:rsidP="00952A77">
      <w:r w:rsidRPr="0034469D">
        <w:t>Richard D. Shinn</w:t>
      </w:r>
    </w:p>
    <w:p w:rsidR="00952A77" w:rsidRPr="0034469D" w:rsidRDefault="00952A77" w:rsidP="00952A77">
      <w:r w:rsidRPr="0034469D">
        <w:t>Director of Government Affairs</w:t>
      </w:r>
    </w:p>
    <w:p w:rsidR="00952A77" w:rsidRPr="0034469D" w:rsidRDefault="00952A77" w:rsidP="00952A77">
      <w:r w:rsidRPr="0034469D">
        <w:t>Virginia Community Healthcare Association</w:t>
      </w:r>
    </w:p>
    <w:p w:rsidR="005835A9" w:rsidRPr="0034469D" w:rsidRDefault="005835A9" w:rsidP="00952A77"/>
    <w:sectPr w:rsidR="005835A9" w:rsidRPr="0034469D" w:rsidSect="00564925">
      <w:footerReference w:type="default" r:id="rId9"/>
      <w:headerReference w:type="first" r:id="rId10"/>
      <w:footerReference w:type="first" r:id="rId11"/>
      <w:pgSz w:w="12240" w:h="15840" w:code="1"/>
      <w:pgMar w:top="720" w:right="1080" w:bottom="72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129" w:rsidRDefault="00323129">
      <w:r>
        <w:separator/>
      </w:r>
    </w:p>
  </w:endnote>
  <w:endnote w:type="continuationSeparator" w:id="0">
    <w:p w:rsidR="00323129" w:rsidRDefault="00323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1E1" w:rsidRDefault="000D01E1" w:rsidP="000D01E1">
    <w:pPr>
      <w:pBdr>
        <w:bottom w:val="single" w:sz="6" w:space="1" w:color="auto"/>
      </w:pBdr>
      <w:rPr>
        <w:rFonts w:ascii="Arial" w:hAnsi="Arial"/>
        <w:color w:val="004B64"/>
        <w:sz w:val="18"/>
        <w:szCs w:val="18"/>
      </w:rPr>
    </w:pPr>
  </w:p>
  <w:p w:rsidR="00C21FDB" w:rsidRPr="00C21FDB" w:rsidRDefault="00C21FDB" w:rsidP="00C21FDB">
    <w:pPr>
      <w:rPr>
        <w:rFonts w:ascii="Arial" w:hAnsi="Arial"/>
        <w:color w:val="004B64"/>
        <w:sz w:val="18"/>
        <w:szCs w:val="18"/>
      </w:rPr>
    </w:pPr>
  </w:p>
  <w:p w:rsidR="000D01E1" w:rsidRDefault="000D01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D1A" w:rsidRPr="00C21FDB" w:rsidRDefault="00007D1A" w:rsidP="00007D1A">
    <w:pPr>
      <w:jc w:val="center"/>
      <w:rPr>
        <w:rFonts w:ascii="Arial" w:hAnsi="Arial"/>
        <w:color w:val="004B64"/>
        <w:sz w:val="18"/>
        <w:szCs w:val="18"/>
      </w:rPr>
    </w:pPr>
    <w:r>
      <w:rPr>
        <w:rFonts w:ascii="Arial" w:hAnsi="Arial"/>
        <w:color w:val="004B64"/>
        <w:sz w:val="18"/>
        <w:szCs w:val="18"/>
      </w:rPr>
      <w:t>3</w:t>
    </w:r>
    <w:r w:rsidR="00A44C62">
      <w:rPr>
        <w:rFonts w:ascii="Arial" w:hAnsi="Arial"/>
        <w:color w:val="004B64"/>
        <w:sz w:val="18"/>
        <w:szCs w:val="18"/>
      </w:rPr>
      <w:t xml:space="preserve">831 </w:t>
    </w:r>
    <w:proofErr w:type="spellStart"/>
    <w:r w:rsidR="00A44C62">
      <w:rPr>
        <w:rFonts w:ascii="Arial" w:hAnsi="Arial"/>
        <w:color w:val="004B64"/>
        <w:sz w:val="18"/>
        <w:szCs w:val="18"/>
      </w:rPr>
      <w:t>Westerre</w:t>
    </w:r>
    <w:proofErr w:type="spellEnd"/>
    <w:r w:rsidR="00A44C62">
      <w:rPr>
        <w:rFonts w:ascii="Arial" w:hAnsi="Arial"/>
        <w:color w:val="004B64"/>
        <w:sz w:val="18"/>
        <w:szCs w:val="18"/>
      </w:rPr>
      <w:t xml:space="preserve"> Parkway - Suite 2, </w:t>
    </w:r>
    <w:r>
      <w:rPr>
        <w:rFonts w:ascii="Arial" w:hAnsi="Arial"/>
        <w:color w:val="004B64"/>
        <w:sz w:val="18"/>
        <w:szCs w:val="18"/>
      </w:rPr>
      <w:t>Henrico, VA 23233-1330</w:t>
    </w:r>
  </w:p>
  <w:p w:rsidR="00007D1A" w:rsidRPr="00C21FDB" w:rsidRDefault="00B14D77" w:rsidP="00007D1A">
    <w:pPr>
      <w:jc w:val="center"/>
      <w:rPr>
        <w:rFonts w:ascii="Arial" w:hAnsi="Arial"/>
        <w:color w:val="004B64"/>
        <w:sz w:val="18"/>
        <w:szCs w:val="18"/>
      </w:rPr>
    </w:pPr>
    <w:r>
      <w:rPr>
        <w:rFonts w:ascii="Arial" w:hAnsi="Arial"/>
        <w:color w:val="004B64"/>
        <w:sz w:val="18"/>
        <w:szCs w:val="18"/>
      </w:rPr>
      <w:t>Phone: (804) 237-</w:t>
    </w:r>
    <w:proofErr w:type="gramStart"/>
    <w:r>
      <w:rPr>
        <w:rFonts w:ascii="Arial" w:hAnsi="Arial"/>
        <w:color w:val="004B64"/>
        <w:sz w:val="18"/>
        <w:szCs w:val="18"/>
      </w:rPr>
      <w:t>7677</w:t>
    </w:r>
    <w:r w:rsidRPr="00C21FDB">
      <w:rPr>
        <w:rFonts w:ascii="Arial" w:hAnsi="Arial"/>
        <w:color w:val="004B64"/>
        <w:sz w:val="18"/>
        <w:szCs w:val="18"/>
      </w:rPr>
      <w:t xml:space="preserve">  (</w:t>
    </w:r>
    <w:proofErr w:type="gramEnd"/>
    <w:r w:rsidRPr="00C21FDB">
      <w:rPr>
        <w:rFonts w:ascii="Arial" w:hAnsi="Arial"/>
        <w:color w:val="004B64"/>
        <w:sz w:val="18"/>
        <w:szCs w:val="18"/>
      </w:rPr>
      <w:t>800) 966-8272  www.vacommunityhealth.org</w:t>
    </w:r>
  </w:p>
  <w:p w:rsidR="00007D1A" w:rsidRDefault="00007D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129" w:rsidRDefault="00323129">
      <w:r>
        <w:separator/>
      </w:r>
    </w:p>
  </w:footnote>
  <w:footnote w:type="continuationSeparator" w:id="0">
    <w:p w:rsidR="00323129" w:rsidRDefault="003231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4925" w:rsidRDefault="000B0383" w:rsidP="00564925">
    <w:pPr>
      <w:pStyle w:val="Header"/>
      <w:jc w:val="center"/>
    </w:pPr>
    <w:r w:rsidRPr="000D01E1">
      <w:rPr>
        <w:rFonts w:ascii="Arial" w:hAnsi="Arial" w:cs="Arial"/>
        <w:noProof/>
        <w:color w:val="004B64"/>
        <w:sz w:val="20"/>
        <w:szCs w:val="20"/>
      </w:rPr>
      <w:drawing>
        <wp:inline distT="0" distB="0" distL="0" distR="0">
          <wp:extent cx="2314575" cy="1000125"/>
          <wp:effectExtent l="0" t="0" r="0" b="0"/>
          <wp:docPr id="2" name="Picture 2" descr="VCHC 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CHC blu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4575" cy="1000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0B077E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126BC5"/>
    <w:multiLevelType w:val="hybridMultilevel"/>
    <w:tmpl w:val="4622DA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8C5C43"/>
    <w:multiLevelType w:val="hybridMultilevel"/>
    <w:tmpl w:val="982C49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9C1FE5"/>
    <w:multiLevelType w:val="hybridMultilevel"/>
    <w:tmpl w:val="967C98DE"/>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9123B25"/>
    <w:multiLevelType w:val="hybridMultilevel"/>
    <w:tmpl w:val="451EFDB8"/>
    <w:lvl w:ilvl="0" w:tplc="A6C2D920">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1E3A05"/>
    <w:multiLevelType w:val="hybridMultilevel"/>
    <w:tmpl w:val="086EB18E"/>
    <w:lvl w:ilvl="0" w:tplc="244A83FC">
      <w:start w:val="1"/>
      <w:numFmt w:val="bullet"/>
      <w:lvlText w:val=""/>
      <w:lvlJc w:val="left"/>
      <w:pPr>
        <w:tabs>
          <w:tab w:val="num" w:pos="72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25730B"/>
    <w:multiLevelType w:val="hybridMultilevel"/>
    <w:tmpl w:val="E9A61F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5A5BAA"/>
    <w:multiLevelType w:val="hybridMultilevel"/>
    <w:tmpl w:val="A0847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0503BE"/>
    <w:multiLevelType w:val="hybridMultilevel"/>
    <w:tmpl w:val="48A42FC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DCB2BC4"/>
    <w:multiLevelType w:val="hybridMultilevel"/>
    <w:tmpl w:val="BD5CE8FC"/>
    <w:lvl w:ilvl="0" w:tplc="13DC4572">
      <w:start w:val="1"/>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 w15:restartNumberingAfterBreak="0">
    <w:nsid w:val="1F7D2512"/>
    <w:multiLevelType w:val="hybridMultilevel"/>
    <w:tmpl w:val="88E081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B33225"/>
    <w:multiLevelType w:val="hybridMultilevel"/>
    <w:tmpl w:val="E04411C8"/>
    <w:lvl w:ilvl="0" w:tplc="04090001">
      <w:start w:val="1"/>
      <w:numFmt w:val="bullet"/>
      <w:lvlText w:val=""/>
      <w:lvlJc w:val="left"/>
      <w:pPr>
        <w:ind w:left="720" w:hanging="360"/>
      </w:pPr>
      <w:rPr>
        <w:rFonts w:ascii="Symbol" w:hAnsi="Symbo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374B8D"/>
    <w:multiLevelType w:val="hybridMultilevel"/>
    <w:tmpl w:val="AEF0B912"/>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6502ED"/>
    <w:multiLevelType w:val="hybridMultilevel"/>
    <w:tmpl w:val="0124FD2C"/>
    <w:lvl w:ilvl="0" w:tplc="246A5F64">
      <w:start w:val="1"/>
      <w:numFmt w:val="decimal"/>
      <w:lvlText w:val="%1."/>
      <w:lvlJc w:val="left"/>
      <w:pPr>
        <w:ind w:left="720" w:hanging="360"/>
      </w:pPr>
      <w:rPr>
        <w:rFonts w:ascii="Calibri" w:hAnsi="Calibri" w:cs="Calibr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6D3EE6"/>
    <w:multiLevelType w:val="hybridMultilevel"/>
    <w:tmpl w:val="05D4F80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B15BE5"/>
    <w:multiLevelType w:val="hybridMultilevel"/>
    <w:tmpl w:val="33B4F8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4F5C23"/>
    <w:multiLevelType w:val="hybridMultilevel"/>
    <w:tmpl w:val="05D4F80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2D0683"/>
    <w:multiLevelType w:val="hybridMultilevel"/>
    <w:tmpl w:val="0308A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D31C39"/>
    <w:multiLevelType w:val="hybridMultilevel"/>
    <w:tmpl w:val="E9A61F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41167A"/>
    <w:multiLevelType w:val="hybridMultilevel"/>
    <w:tmpl w:val="D916D41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9199D"/>
    <w:multiLevelType w:val="hybridMultilevel"/>
    <w:tmpl w:val="AA18E4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195E59"/>
    <w:multiLevelType w:val="hybridMultilevel"/>
    <w:tmpl w:val="314A6528"/>
    <w:lvl w:ilvl="0" w:tplc="DAA48420">
      <w:start w:val="1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6B111A"/>
    <w:multiLevelType w:val="hybridMultilevel"/>
    <w:tmpl w:val="40521E92"/>
    <w:lvl w:ilvl="0" w:tplc="04090001">
      <w:start w:val="1"/>
      <w:numFmt w:val="bullet"/>
      <w:lvlText w:val=""/>
      <w:lvlJc w:val="left"/>
      <w:pPr>
        <w:ind w:left="721" w:hanging="360"/>
      </w:pPr>
      <w:rPr>
        <w:rFonts w:ascii="Symbol" w:hAnsi="Symbol" w:hint="default"/>
      </w:rPr>
    </w:lvl>
    <w:lvl w:ilvl="1" w:tplc="04090003" w:tentative="1">
      <w:start w:val="1"/>
      <w:numFmt w:val="bullet"/>
      <w:lvlText w:val="o"/>
      <w:lvlJc w:val="left"/>
      <w:pPr>
        <w:ind w:left="1441" w:hanging="360"/>
      </w:pPr>
      <w:rPr>
        <w:rFonts w:ascii="Courier New" w:hAnsi="Courier New" w:cs="Courier New" w:hint="default"/>
      </w:rPr>
    </w:lvl>
    <w:lvl w:ilvl="2" w:tplc="04090005" w:tentative="1">
      <w:start w:val="1"/>
      <w:numFmt w:val="bullet"/>
      <w:lvlText w:val=""/>
      <w:lvlJc w:val="left"/>
      <w:pPr>
        <w:ind w:left="2161" w:hanging="360"/>
      </w:pPr>
      <w:rPr>
        <w:rFonts w:ascii="Wingdings" w:hAnsi="Wingdings" w:hint="default"/>
      </w:rPr>
    </w:lvl>
    <w:lvl w:ilvl="3" w:tplc="04090001" w:tentative="1">
      <w:start w:val="1"/>
      <w:numFmt w:val="bullet"/>
      <w:lvlText w:val=""/>
      <w:lvlJc w:val="left"/>
      <w:pPr>
        <w:ind w:left="2881" w:hanging="360"/>
      </w:pPr>
      <w:rPr>
        <w:rFonts w:ascii="Symbol" w:hAnsi="Symbol" w:hint="default"/>
      </w:rPr>
    </w:lvl>
    <w:lvl w:ilvl="4" w:tplc="04090003" w:tentative="1">
      <w:start w:val="1"/>
      <w:numFmt w:val="bullet"/>
      <w:lvlText w:val="o"/>
      <w:lvlJc w:val="left"/>
      <w:pPr>
        <w:ind w:left="3601" w:hanging="360"/>
      </w:pPr>
      <w:rPr>
        <w:rFonts w:ascii="Courier New" w:hAnsi="Courier New" w:cs="Courier New" w:hint="default"/>
      </w:rPr>
    </w:lvl>
    <w:lvl w:ilvl="5" w:tplc="04090005" w:tentative="1">
      <w:start w:val="1"/>
      <w:numFmt w:val="bullet"/>
      <w:lvlText w:val=""/>
      <w:lvlJc w:val="left"/>
      <w:pPr>
        <w:ind w:left="4321" w:hanging="360"/>
      </w:pPr>
      <w:rPr>
        <w:rFonts w:ascii="Wingdings" w:hAnsi="Wingdings" w:hint="default"/>
      </w:rPr>
    </w:lvl>
    <w:lvl w:ilvl="6" w:tplc="04090001" w:tentative="1">
      <w:start w:val="1"/>
      <w:numFmt w:val="bullet"/>
      <w:lvlText w:val=""/>
      <w:lvlJc w:val="left"/>
      <w:pPr>
        <w:ind w:left="5041" w:hanging="360"/>
      </w:pPr>
      <w:rPr>
        <w:rFonts w:ascii="Symbol" w:hAnsi="Symbol" w:hint="default"/>
      </w:rPr>
    </w:lvl>
    <w:lvl w:ilvl="7" w:tplc="04090003" w:tentative="1">
      <w:start w:val="1"/>
      <w:numFmt w:val="bullet"/>
      <w:lvlText w:val="o"/>
      <w:lvlJc w:val="left"/>
      <w:pPr>
        <w:ind w:left="5761" w:hanging="360"/>
      </w:pPr>
      <w:rPr>
        <w:rFonts w:ascii="Courier New" w:hAnsi="Courier New" w:cs="Courier New" w:hint="default"/>
      </w:rPr>
    </w:lvl>
    <w:lvl w:ilvl="8" w:tplc="04090005" w:tentative="1">
      <w:start w:val="1"/>
      <w:numFmt w:val="bullet"/>
      <w:lvlText w:val=""/>
      <w:lvlJc w:val="left"/>
      <w:pPr>
        <w:ind w:left="6481" w:hanging="360"/>
      </w:pPr>
      <w:rPr>
        <w:rFonts w:ascii="Wingdings" w:hAnsi="Wingdings" w:hint="default"/>
      </w:rPr>
    </w:lvl>
  </w:abstractNum>
  <w:abstractNum w:abstractNumId="23" w15:restartNumberingAfterBreak="0">
    <w:nsid w:val="629C3B05"/>
    <w:multiLevelType w:val="hybridMultilevel"/>
    <w:tmpl w:val="EE7EE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B25DEA"/>
    <w:multiLevelType w:val="hybridMultilevel"/>
    <w:tmpl w:val="2E365B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DD3C28"/>
    <w:multiLevelType w:val="hybridMultilevel"/>
    <w:tmpl w:val="196C9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9291065"/>
    <w:multiLevelType w:val="hybridMultilevel"/>
    <w:tmpl w:val="49443F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C2B4D27"/>
    <w:multiLevelType w:val="hybridMultilevel"/>
    <w:tmpl w:val="0E5AF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1"/>
  </w:num>
  <w:num w:numId="4">
    <w:abstractNumId w:val="4"/>
  </w:num>
  <w:num w:numId="5">
    <w:abstractNumId w:val="26"/>
  </w:num>
  <w:num w:numId="6">
    <w:abstractNumId w:val="18"/>
  </w:num>
  <w:num w:numId="7">
    <w:abstractNumId w:val="19"/>
  </w:num>
  <w:num w:numId="8">
    <w:abstractNumId w:val="1"/>
  </w:num>
  <w:num w:numId="9">
    <w:abstractNumId w:val="6"/>
  </w:num>
  <w:num w:numId="10">
    <w:abstractNumId w:val="22"/>
  </w:num>
  <w:num w:numId="11">
    <w:abstractNumId w:val="13"/>
  </w:num>
  <w:num w:numId="12">
    <w:abstractNumId w:val="11"/>
  </w:num>
  <w:num w:numId="13">
    <w:abstractNumId w:val="8"/>
  </w:num>
  <w:num w:numId="14">
    <w:abstractNumId w:val="14"/>
  </w:num>
  <w:num w:numId="15">
    <w:abstractNumId w:val="12"/>
  </w:num>
  <w:num w:numId="16">
    <w:abstractNumId w:val="16"/>
  </w:num>
  <w:num w:numId="17">
    <w:abstractNumId w:val="23"/>
  </w:num>
  <w:num w:numId="18">
    <w:abstractNumId w:val="9"/>
  </w:num>
  <w:num w:numId="19">
    <w:abstractNumId w:val="2"/>
  </w:num>
  <w:num w:numId="20">
    <w:abstractNumId w:val="10"/>
  </w:num>
  <w:num w:numId="21">
    <w:abstractNumId w:val="17"/>
  </w:num>
  <w:num w:numId="22">
    <w:abstractNumId w:val="25"/>
  </w:num>
  <w:num w:numId="23">
    <w:abstractNumId w:val="24"/>
  </w:num>
  <w:num w:numId="24">
    <w:abstractNumId w:val="7"/>
  </w:num>
  <w:num w:numId="25">
    <w:abstractNumId w:val="15"/>
  </w:num>
  <w:num w:numId="26">
    <w:abstractNumId w:val="27"/>
  </w:num>
  <w:num w:numId="27">
    <w:abstractNumId w:val="20"/>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204"/>
    <w:rsid w:val="00007D1A"/>
    <w:rsid w:val="000127B7"/>
    <w:rsid w:val="0001527C"/>
    <w:rsid w:val="000246DB"/>
    <w:rsid w:val="000538F2"/>
    <w:rsid w:val="000679D0"/>
    <w:rsid w:val="00071D1D"/>
    <w:rsid w:val="000A5A0D"/>
    <w:rsid w:val="000B0383"/>
    <w:rsid w:val="000D01E1"/>
    <w:rsid w:val="000D13A2"/>
    <w:rsid w:val="000F22F3"/>
    <w:rsid w:val="00102508"/>
    <w:rsid w:val="001153C6"/>
    <w:rsid w:val="00122FCC"/>
    <w:rsid w:val="001866AE"/>
    <w:rsid w:val="001F218E"/>
    <w:rsid w:val="002004F8"/>
    <w:rsid w:val="0020248E"/>
    <w:rsid w:val="00224342"/>
    <w:rsid w:val="0025376B"/>
    <w:rsid w:val="002668D8"/>
    <w:rsid w:val="0029315B"/>
    <w:rsid w:val="002C206F"/>
    <w:rsid w:val="002E0607"/>
    <w:rsid w:val="002E6640"/>
    <w:rsid w:val="00323129"/>
    <w:rsid w:val="0033229B"/>
    <w:rsid w:val="00336342"/>
    <w:rsid w:val="0034469D"/>
    <w:rsid w:val="003518E8"/>
    <w:rsid w:val="00376ADA"/>
    <w:rsid w:val="00386E46"/>
    <w:rsid w:val="003A3F4F"/>
    <w:rsid w:val="003C0E14"/>
    <w:rsid w:val="003F4D3C"/>
    <w:rsid w:val="00414645"/>
    <w:rsid w:val="0043741C"/>
    <w:rsid w:val="00440370"/>
    <w:rsid w:val="0047789F"/>
    <w:rsid w:val="004E5887"/>
    <w:rsid w:val="005102BA"/>
    <w:rsid w:val="005369E4"/>
    <w:rsid w:val="00544F50"/>
    <w:rsid w:val="00564925"/>
    <w:rsid w:val="0057176C"/>
    <w:rsid w:val="005835A9"/>
    <w:rsid w:val="005C0EFE"/>
    <w:rsid w:val="005D2DF2"/>
    <w:rsid w:val="005F7F13"/>
    <w:rsid w:val="00612E20"/>
    <w:rsid w:val="00621B45"/>
    <w:rsid w:val="00622204"/>
    <w:rsid w:val="00705E6E"/>
    <w:rsid w:val="007120BB"/>
    <w:rsid w:val="007147E7"/>
    <w:rsid w:val="00744539"/>
    <w:rsid w:val="00757BF8"/>
    <w:rsid w:val="007813BA"/>
    <w:rsid w:val="007A7BCC"/>
    <w:rsid w:val="007B56EF"/>
    <w:rsid w:val="007E58DF"/>
    <w:rsid w:val="008026C2"/>
    <w:rsid w:val="0083163F"/>
    <w:rsid w:val="00832307"/>
    <w:rsid w:val="008640AE"/>
    <w:rsid w:val="008B0B6D"/>
    <w:rsid w:val="008C660D"/>
    <w:rsid w:val="008D28EC"/>
    <w:rsid w:val="008D55A4"/>
    <w:rsid w:val="008D6B31"/>
    <w:rsid w:val="008F363C"/>
    <w:rsid w:val="009225EA"/>
    <w:rsid w:val="00952A77"/>
    <w:rsid w:val="00985C10"/>
    <w:rsid w:val="009877D2"/>
    <w:rsid w:val="0099699B"/>
    <w:rsid w:val="009A6F32"/>
    <w:rsid w:val="009F392C"/>
    <w:rsid w:val="00A36A68"/>
    <w:rsid w:val="00A44C62"/>
    <w:rsid w:val="00A51E2D"/>
    <w:rsid w:val="00AA1D97"/>
    <w:rsid w:val="00AA63DC"/>
    <w:rsid w:val="00AB2235"/>
    <w:rsid w:val="00AE2818"/>
    <w:rsid w:val="00AF2032"/>
    <w:rsid w:val="00B14D77"/>
    <w:rsid w:val="00B33408"/>
    <w:rsid w:val="00B85121"/>
    <w:rsid w:val="00B932C7"/>
    <w:rsid w:val="00BB2961"/>
    <w:rsid w:val="00BE50E3"/>
    <w:rsid w:val="00C03B92"/>
    <w:rsid w:val="00C1564F"/>
    <w:rsid w:val="00C21FDB"/>
    <w:rsid w:val="00C35CE9"/>
    <w:rsid w:val="00C41AA3"/>
    <w:rsid w:val="00C75D73"/>
    <w:rsid w:val="00C90799"/>
    <w:rsid w:val="00CD265F"/>
    <w:rsid w:val="00CF20E6"/>
    <w:rsid w:val="00CF319E"/>
    <w:rsid w:val="00D06E9B"/>
    <w:rsid w:val="00D140FA"/>
    <w:rsid w:val="00D627DC"/>
    <w:rsid w:val="00D84EC5"/>
    <w:rsid w:val="00DC00D4"/>
    <w:rsid w:val="00DE0CAF"/>
    <w:rsid w:val="00DE2CA5"/>
    <w:rsid w:val="00E42A8C"/>
    <w:rsid w:val="00E94EEC"/>
    <w:rsid w:val="00EE4715"/>
    <w:rsid w:val="00EF0891"/>
    <w:rsid w:val="00F10454"/>
    <w:rsid w:val="00F170C7"/>
    <w:rsid w:val="00F24CA8"/>
    <w:rsid w:val="00F32072"/>
    <w:rsid w:val="00F67280"/>
    <w:rsid w:val="00F815AC"/>
    <w:rsid w:val="00F963CD"/>
    <w:rsid w:val="00FD1060"/>
    <w:rsid w:val="00FE0E1E"/>
    <w:rsid w:val="00FE5130"/>
    <w:rsid w:val="00FF34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95ED86"/>
  <w15:chartTrackingRefBased/>
  <w15:docId w15:val="{9784BE18-EE30-42AF-AC97-8F5AE1B3F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next w:val="Normal"/>
    <w:link w:val="Heading1Char"/>
    <w:uiPriority w:val="9"/>
    <w:unhideWhenUsed/>
    <w:qFormat/>
    <w:rsid w:val="008F363C"/>
    <w:pPr>
      <w:keepNext/>
      <w:keepLines/>
      <w:spacing w:line="241" w:lineRule="auto"/>
      <w:ind w:left="735" w:hanging="720"/>
      <w:outlineLvl w:val="0"/>
    </w:pPr>
    <w:rPr>
      <w:rFonts w:ascii="Calibri" w:eastAsia="Calibri" w:hAnsi="Calibri" w:cs="Calibri"/>
      <w:b/>
      <w:color w:val="3D3D3D"/>
      <w:sz w:val="22"/>
      <w:szCs w:val="22"/>
    </w:rPr>
  </w:style>
  <w:style w:type="paragraph" w:styleId="Heading2">
    <w:name w:val="heading 2"/>
    <w:basedOn w:val="Normal"/>
    <w:next w:val="Normal"/>
    <w:link w:val="Heading2Char"/>
    <w:unhideWhenUsed/>
    <w:qFormat/>
    <w:rsid w:val="0083163F"/>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8F363C"/>
    <w:pPr>
      <w:keepNext/>
      <w:keepLines/>
      <w:spacing w:before="40" w:line="249" w:lineRule="auto"/>
      <w:ind w:left="370" w:hanging="370"/>
      <w:outlineLvl w:val="2"/>
    </w:pPr>
    <w:rPr>
      <w:rFonts w:ascii="Calibri Light"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F7F13"/>
    <w:rPr>
      <w:color w:val="0000FF"/>
      <w:u w:val="single"/>
    </w:rPr>
  </w:style>
  <w:style w:type="paragraph" w:styleId="ListBullet">
    <w:name w:val="List Bullet"/>
    <w:basedOn w:val="Normal"/>
    <w:rsid w:val="005F7F13"/>
    <w:pPr>
      <w:numPr>
        <w:numId w:val="1"/>
      </w:numPr>
    </w:pPr>
  </w:style>
  <w:style w:type="paragraph" w:styleId="Header">
    <w:name w:val="header"/>
    <w:basedOn w:val="Normal"/>
    <w:rsid w:val="000D01E1"/>
    <w:pPr>
      <w:tabs>
        <w:tab w:val="center" w:pos="4320"/>
        <w:tab w:val="right" w:pos="8640"/>
      </w:tabs>
    </w:pPr>
  </w:style>
  <w:style w:type="paragraph" w:styleId="Footer">
    <w:name w:val="footer"/>
    <w:basedOn w:val="Normal"/>
    <w:rsid w:val="000D01E1"/>
    <w:pPr>
      <w:tabs>
        <w:tab w:val="center" w:pos="4320"/>
        <w:tab w:val="right" w:pos="8640"/>
      </w:tabs>
    </w:pPr>
  </w:style>
  <w:style w:type="paragraph" w:styleId="ListParagraph">
    <w:name w:val="List Paragraph"/>
    <w:basedOn w:val="Normal"/>
    <w:uiPriority w:val="34"/>
    <w:qFormat/>
    <w:rsid w:val="00B33408"/>
    <w:pPr>
      <w:ind w:left="720"/>
    </w:pPr>
    <w:rPr>
      <w:rFonts w:ascii="Calibri" w:eastAsia="Calibri" w:hAnsi="Calibri" w:cs="Calibri"/>
      <w:sz w:val="22"/>
      <w:szCs w:val="22"/>
    </w:rPr>
  </w:style>
  <w:style w:type="paragraph" w:styleId="NormalWeb">
    <w:name w:val="Normal (Web)"/>
    <w:basedOn w:val="Normal"/>
    <w:uiPriority w:val="99"/>
    <w:unhideWhenUsed/>
    <w:rsid w:val="00FE5130"/>
    <w:pPr>
      <w:spacing w:before="100" w:beforeAutospacing="1" w:after="100" w:afterAutospacing="1"/>
    </w:pPr>
    <w:rPr>
      <w:color w:val="000000"/>
      <w:sz w:val="26"/>
      <w:szCs w:val="26"/>
    </w:rPr>
  </w:style>
  <w:style w:type="character" w:customStyle="1" w:styleId="field-content2">
    <w:name w:val="field-content2"/>
    <w:rsid w:val="00FE5130"/>
  </w:style>
  <w:style w:type="paragraph" w:styleId="BalloonText">
    <w:name w:val="Balloon Text"/>
    <w:basedOn w:val="Normal"/>
    <w:link w:val="BalloonTextChar"/>
    <w:rsid w:val="00C03B92"/>
    <w:rPr>
      <w:rFonts w:ascii="Tahoma" w:hAnsi="Tahoma" w:cs="Tahoma"/>
      <w:sz w:val="16"/>
      <w:szCs w:val="16"/>
    </w:rPr>
  </w:style>
  <w:style w:type="character" w:customStyle="1" w:styleId="BalloonTextChar">
    <w:name w:val="Balloon Text Char"/>
    <w:link w:val="BalloonText"/>
    <w:rsid w:val="00C03B92"/>
    <w:rPr>
      <w:rFonts w:ascii="Tahoma" w:hAnsi="Tahoma" w:cs="Tahoma"/>
      <w:sz w:val="16"/>
      <w:szCs w:val="16"/>
    </w:rPr>
  </w:style>
  <w:style w:type="paragraph" w:customStyle="1" w:styleId="Default">
    <w:name w:val="Default"/>
    <w:rsid w:val="0020248E"/>
    <w:pPr>
      <w:autoSpaceDE w:val="0"/>
      <w:autoSpaceDN w:val="0"/>
      <w:adjustRightInd w:val="0"/>
    </w:pPr>
    <w:rPr>
      <w:rFonts w:ascii="Cambria" w:eastAsia="Calibri" w:hAnsi="Cambria" w:cs="Cambria"/>
      <w:color w:val="000000"/>
      <w:sz w:val="24"/>
      <w:szCs w:val="24"/>
    </w:rPr>
  </w:style>
  <w:style w:type="character" w:customStyle="1" w:styleId="Heading1Char">
    <w:name w:val="Heading 1 Char"/>
    <w:link w:val="Heading1"/>
    <w:uiPriority w:val="9"/>
    <w:rsid w:val="008F363C"/>
    <w:rPr>
      <w:rFonts w:ascii="Calibri" w:eastAsia="Calibri" w:hAnsi="Calibri" w:cs="Calibri"/>
      <w:b/>
      <w:color w:val="3D3D3D"/>
      <w:sz w:val="22"/>
      <w:szCs w:val="22"/>
    </w:rPr>
  </w:style>
  <w:style w:type="character" w:customStyle="1" w:styleId="Heading3Char">
    <w:name w:val="Heading 3 Char"/>
    <w:link w:val="Heading3"/>
    <w:uiPriority w:val="9"/>
    <w:semiHidden/>
    <w:rsid w:val="008F363C"/>
    <w:rPr>
      <w:rFonts w:ascii="Calibri Light" w:hAnsi="Calibri Light"/>
      <w:color w:val="1F4D78"/>
      <w:sz w:val="24"/>
      <w:szCs w:val="24"/>
    </w:rPr>
  </w:style>
  <w:style w:type="paragraph" w:styleId="FootnoteText">
    <w:name w:val="footnote text"/>
    <w:aliases w:val="Char3,Car, Char3,F1"/>
    <w:basedOn w:val="Normal"/>
    <w:link w:val="FootnoteTextChar"/>
    <w:uiPriority w:val="99"/>
    <w:unhideWhenUsed/>
    <w:rsid w:val="008F363C"/>
    <w:pPr>
      <w:ind w:left="370" w:hanging="370"/>
    </w:pPr>
    <w:rPr>
      <w:rFonts w:ascii="Calibri" w:eastAsia="Calibri" w:hAnsi="Calibri" w:cs="Calibri"/>
      <w:color w:val="000000"/>
      <w:sz w:val="20"/>
      <w:szCs w:val="20"/>
    </w:rPr>
  </w:style>
  <w:style w:type="character" w:customStyle="1" w:styleId="FootnoteTextChar">
    <w:name w:val="Footnote Text Char"/>
    <w:aliases w:val="Char3 Char,Car Char, Char3 Char,F1 Char"/>
    <w:link w:val="FootnoteText"/>
    <w:uiPriority w:val="99"/>
    <w:rsid w:val="008F363C"/>
    <w:rPr>
      <w:rFonts w:ascii="Calibri" w:eastAsia="Calibri" w:hAnsi="Calibri" w:cs="Calibri"/>
      <w:color w:val="000000"/>
    </w:rPr>
  </w:style>
  <w:style w:type="character" w:styleId="FootnoteReference">
    <w:name w:val="footnote reference"/>
    <w:uiPriority w:val="99"/>
    <w:unhideWhenUsed/>
    <w:rsid w:val="008F363C"/>
    <w:rPr>
      <w:vertAlign w:val="superscript"/>
    </w:rPr>
  </w:style>
  <w:style w:type="character" w:customStyle="1" w:styleId="Heading2Char">
    <w:name w:val="Heading 2 Char"/>
    <w:basedOn w:val="DefaultParagraphFont"/>
    <w:link w:val="Heading2"/>
    <w:rsid w:val="0083163F"/>
    <w:rPr>
      <w:rFonts w:asciiTheme="majorHAnsi" w:eastAsiaTheme="majorEastAsia" w:hAnsiTheme="majorHAnsi" w:cstheme="majorBidi"/>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512517">
      <w:bodyDiv w:val="1"/>
      <w:marLeft w:val="0"/>
      <w:marRight w:val="0"/>
      <w:marTop w:val="0"/>
      <w:marBottom w:val="0"/>
      <w:divBdr>
        <w:top w:val="none" w:sz="0" w:space="0" w:color="auto"/>
        <w:left w:val="none" w:sz="0" w:space="0" w:color="auto"/>
        <w:bottom w:val="none" w:sz="0" w:space="0" w:color="auto"/>
        <w:right w:val="none" w:sz="0" w:space="0" w:color="auto"/>
      </w:divBdr>
    </w:div>
    <w:div w:id="649988819">
      <w:bodyDiv w:val="1"/>
      <w:marLeft w:val="0"/>
      <w:marRight w:val="0"/>
      <w:marTop w:val="0"/>
      <w:marBottom w:val="0"/>
      <w:divBdr>
        <w:top w:val="none" w:sz="0" w:space="0" w:color="auto"/>
        <w:left w:val="none" w:sz="0" w:space="0" w:color="auto"/>
        <w:bottom w:val="none" w:sz="0" w:space="0" w:color="auto"/>
        <w:right w:val="none" w:sz="0" w:space="0" w:color="auto"/>
      </w:divBdr>
    </w:div>
    <w:div w:id="715354735">
      <w:bodyDiv w:val="1"/>
      <w:marLeft w:val="0"/>
      <w:marRight w:val="0"/>
      <w:marTop w:val="0"/>
      <w:marBottom w:val="0"/>
      <w:divBdr>
        <w:top w:val="none" w:sz="0" w:space="0" w:color="auto"/>
        <w:left w:val="none" w:sz="0" w:space="0" w:color="auto"/>
        <w:bottom w:val="none" w:sz="0" w:space="0" w:color="auto"/>
        <w:right w:val="none" w:sz="0" w:space="0" w:color="auto"/>
      </w:divBdr>
    </w:div>
    <w:div w:id="766930022">
      <w:bodyDiv w:val="1"/>
      <w:marLeft w:val="0"/>
      <w:marRight w:val="0"/>
      <w:marTop w:val="0"/>
      <w:marBottom w:val="0"/>
      <w:divBdr>
        <w:top w:val="none" w:sz="0" w:space="0" w:color="auto"/>
        <w:left w:val="none" w:sz="0" w:space="0" w:color="auto"/>
        <w:bottom w:val="none" w:sz="0" w:space="0" w:color="auto"/>
        <w:right w:val="none" w:sz="0" w:space="0" w:color="auto"/>
      </w:divBdr>
    </w:div>
    <w:div w:id="1171682361">
      <w:bodyDiv w:val="1"/>
      <w:marLeft w:val="0"/>
      <w:marRight w:val="0"/>
      <w:marTop w:val="0"/>
      <w:marBottom w:val="0"/>
      <w:divBdr>
        <w:top w:val="none" w:sz="0" w:space="0" w:color="auto"/>
        <w:left w:val="none" w:sz="0" w:space="0" w:color="auto"/>
        <w:bottom w:val="none" w:sz="0" w:space="0" w:color="auto"/>
        <w:right w:val="none" w:sz="0" w:space="0" w:color="auto"/>
      </w:divBdr>
    </w:div>
    <w:div w:id="1331442403">
      <w:bodyDiv w:val="1"/>
      <w:marLeft w:val="0"/>
      <w:marRight w:val="0"/>
      <w:marTop w:val="0"/>
      <w:marBottom w:val="0"/>
      <w:divBdr>
        <w:top w:val="none" w:sz="0" w:space="0" w:color="auto"/>
        <w:left w:val="none" w:sz="0" w:space="0" w:color="auto"/>
        <w:bottom w:val="none" w:sz="0" w:space="0" w:color="auto"/>
        <w:right w:val="none" w:sz="0" w:space="0" w:color="auto"/>
      </w:divBdr>
    </w:div>
    <w:div w:id="1420055164">
      <w:bodyDiv w:val="1"/>
      <w:marLeft w:val="0"/>
      <w:marRight w:val="0"/>
      <w:marTop w:val="0"/>
      <w:marBottom w:val="0"/>
      <w:divBdr>
        <w:top w:val="none" w:sz="0" w:space="0" w:color="auto"/>
        <w:left w:val="none" w:sz="0" w:space="0" w:color="auto"/>
        <w:bottom w:val="none" w:sz="0" w:space="0" w:color="auto"/>
        <w:right w:val="none" w:sz="0" w:space="0" w:color="auto"/>
      </w:divBdr>
      <w:divsChild>
        <w:div w:id="1018041678">
          <w:marLeft w:val="0"/>
          <w:marRight w:val="0"/>
          <w:marTop w:val="0"/>
          <w:marBottom w:val="0"/>
          <w:divBdr>
            <w:top w:val="none" w:sz="0" w:space="0" w:color="auto"/>
            <w:left w:val="none" w:sz="0" w:space="0" w:color="auto"/>
            <w:bottom w:val="none" w:sz="0" w:space="0" w:color="auto"/>
            <w:right w:val="none" w:sz="0" w:space="0" w:color="auto"/>
          </w:divBdr>
        </w:div>
      </w:divsChild>
    </w:div>
    <w:div w:id="1883863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54EE0A-680A-4875-8DE0-448DF1298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1060</Words>
  <Characters>6067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7113</CharactersWithSpaces>
  <SharedDoc>false</SharedDoc>
  <HLinks>
    <vt:vector size="6" baseType="variant">
      <vt:variant>
        <vt:i4>917549</vt:i4>
      </vt:variant>
      <vt:variant>
        <vt:i4>0</vt:i4>
      </vt:variant>
      <vt:variant>
        <vt:i4>0</vt:i4>
      </vt:variant>
      <vt:variant>
        <vt:i4>5</vt:i4>
      </vt:variant>
      <vt:variant>
        <vt:lpwstr>mailto:rshinn@vacommunityhealth.org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Shinn</dc:creator>
  <cp:keywords/>
  <cp:lastModifiedBy>Rick Shinn</cp:lastModifiedBy>
  <cp:revision>9</cp:revision>
  <cp:lastPrinted>2018-10-10T15:42:00Z</cp:lastPrinted>
  <dcterms:created xsi:type="dcterms:W3CDTF">2018-10-10T14:58:00Z</dcterms:created>
  <dcterms:modified xsi:type="dcterms:W3CDTF">2018-10-10T15:52:00Z</dcterms:modified>
</cp:coreProperties>
</file>