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2DB85" w14:textId="77777777" w:rsidR="00DC2B15" w:rsidRPr="00931858" w:rsidRDefault="00DC2B15">
      <w:pPr>
        <w:pBdr>
          <w:bottom w:val="single" w:sz="8" w:space="1" w:color="000000"/>
        </w:pBdr>
        <w:jc w:val="center"/>
        <w:rPr>
          <w:sz w:val="24"/>
          <w:szCs w:val="24"/>
        </w:rPr>
      </w:pPr>
    </w:p>
    <w:p w14:paraId="1C2C4207" w14:textId="77777777" w:rsidR="00DC2B15" w:rsidRPr="00931858" w:rsidRDefault="00DC2B15">
      <w:pPr>
        <w:jc w:val="center"/>
        <w:rPr>
          <w:sz w:val="24"/>
          <w:szCs w:val="24"/>
        </w:rPr>
      </w:pPr>
    </w:p>
    <w:p w14:paraId="68EDCFAC" w14:textId="77777777" w:rsidR="00DC2B15" w:rsidRPr="00931858" w:rsidRDefault="00DC2B15">
      <w:pPr>
        <w:jc w:val="center"/>
        <w:rPr>
          <w:sz w:val="24"/>
          <w:szCs w:val="24"/>
        </w:rPr>
      </w:pPr>
    </w:p>
    <w:p w14:paraId="0644DE1E" w14:textId="77777777" w:rsidR="00DC2B15" w:rsidRPr="00931858" w:rsidRDefault="00DC4BE7">
      <w:pPr>
        <w:jc w:val="center"/>
        <w:rPr>
          <w:sz w:val="24"/>
          <w:szCs w:val="24"/>
        </w:rPr>
      </w:pPr>
      <w:r w:rsidRPr="00931858">
        <w:rPr>
          <w:sz w:val="24"/>
          <w:szCs w:val="24"/>
        </w:rPr>
        <w:t>Before the</w:t>
      </w:r>
    </w:p>
    <w:p w14:paraId="1B09D634" w14:textId="77777777" w:rsidR="00DC2B15" w:rsidRPr="00931858" w:rsidRDefault="00DC4BE7">
      <w:pPr>
        <w:jc w:val="center"/>
        <w:rPr>
          <w:sz w:val="24"/>
          <w:szCs w:val="24"/>
        </w:rPr>
      </w:pPr>
      <w:r w:rsidRPr="00931858">
        <w:rPr>
          <w:sz w:val="24"/>
          <w:szCs w:val="24"/>
        </w:rPr>
        <w:t>Federal Communications Commission</w:t>
      </w:r>
    </w:p>
    <w:p w14:paraId="636B504C" w14:textId="77777777" w:rsidR="00DC2B15" w:rsidRPr="00931858" w:rsidRDefault="00DC4BE7">
      <w:pPr>
        <w:jc w:val="center"/>
        <w:rPr>
          <w:sz w:val="24"/>
          <w:szCs w:val="24"/>
        </w:rPr>
      </w:pPr>
      <w:r w:rsidRPr="00931858">
        <w:rPr>
          <w:sz w:val="24"/>
          <w:szCs w:val="24"/>
        </w:rPr>
        <w:t>Washington, D.C. 20554</w:t>
      </w:r>
    </w:p>
    <w:p w14:paraId="26F4516C" w14:textId="42EC3EB8" w:rsidR="00DC2B15" w:rsidRPr="00931858" w:rsidRDefault="00DC2B15">
      <w:pPr>
        <w:rPr>
          <w:sz w:val="24"/>
          <w:szCs w:val="24"/>
        </w:rPr>
      </w:pPr>
    </w:p>
    <w:tbl>
      <w:tblPr>
        <w:tblStyle w:val="a"/>
        <w:tblW w:w="9576" w:type="dxa"/>
        <w:tblInd w:w="-15" w:type="dxa"/>
        <w:tblLayout w:type="fixed"/>
        <w:tblLook w:val="0000" w:firstRow="0" w:lastRow="0" w:firstColumn="0" w:lastColumn="0" w:noHBand="0" w:noVBand="0"/>
      </w:tblPr>
      <w:tblGrid>
        <w:gridCol w:w="4698"/>
        <w:gridCol w:w="630"/>
        <w:gridCol w:w="4248"/>
      </w:tblGrid>
      <w:tr w:rsidR="00DC2B15" w:rsidRPr="00931858" w14:paraId="4162F564" w14:textId="77777777">
        <w:trPr>
          <w:trHeight w:val="1400"/>
        </w:trPr>
        <w:tc>
          <w:tcPr>
            <w:tcW w:w="4698" w:type="dxa"/>
            <w:tcBorders>
              <w:top w:val="nil"/>
              <w:left w:val="nil"/>
              <w:bottom w:val="nil"/>
              <w:right w:val="nil"/>
            </w:tcBorders>
            <w:tcMar>
              <w:top w:w="100" w:type="dxa"/>
              <w:left w:w="100" w:type="dxa"/>
              <w:bottom w:w="100" w:type="dxa"/>
              <w:right w:w="100" w:type="dxa"/>
            </w:tcMar>
          </w:tcPr>
          <w:p w14:paraId="05E45F99" w14:textId="77777777" w:rsidR="00DC2B15" w:rsidRPr="00931858" w:rsidRDefault="00DC4BE7">
            <w:pPr>
              <w:rPr>
                <w:sz w:val="24"/>
                <w:szCs w:val="24"/>
              </w:rPr>
            </w:pPr>
            <w:r w:rsidRPr="00931858">
              <w:rPr>
                <w:sz w:val="24"/>
                <w:szCs w:val="24"/>
              </w:rPr>
              <w:t>In the Matter of</w:t>
            </w:r>
          </w:p>
          <w:p w14:paraId="25342F60" w14:textId="77777777" w:rsidR="00DC2B15" w:rsidRPr="00931858" w:rsidRDefault="00DC4BE7">
            <w:pPr>
              <w:rPr>
                <w:sz w:val="24"/>
                <w:szCs w:val="24"/>
              </w:rPr>
            </w:pPr>
            <w:r w:rsidRPr="00931858">
              <w:rPr>
                <w:sz w:val="24"/>
                <w:szCs w:val="24"/>
              </w:rPr>
              <w:t xml:space="preserve"> </w:t>
            </w:r>
          </w:p>
          <w:p w14:paraId="5E0A3197" w14:textId="77777777" w:rsidR="00DC2B15" w:rsidRPr="00931858" w:rsidRDefault="00DC4BE7">
            <w:pPr>
              <w:rPr>
                <w:sz w:val="24"/>
                <w:szCs w:val="24"/>
              </w:rPr>
            </w:pPr>
            <w:r w:rsidRPr="00931858">
              <w:rPr>
                <w:sz w:val="24"/>
                <w:szCs w:val="24"/>
              </w:rPr>
              <w:t>Schools and Libraries Universal Service</w:t>
            </w:r>
          </w:p>
          <w:p w14:paraId="481D6524" w14:textId="77777777" w:rsidR="00DC2B15" w:rsidRPr="00931858" w:rsidRDefault="00DC4BE7">
            <w:pPr>
              <w:rPr>
                <w:sz w:val="24"/>
                <w:szCs w:val="24"/>
              </w:rPr>
            </w:pPr>
            <w:r w:rsidRPr="00931858">
              <w:rPr>
                <w:sz w:val="24"/>
                <w:szCs w:val="24"/>
              </w:rPr>
              <w:t>Support Mechanism</w:t>
            </w:r>
          </w:p>
          <w:p w14:paraId="2ABDF683" w14:textId="171F013D" w:rsidR="00DC2B15" w:rsidRPr="00931858" w:rsidRDefault="00DC2B15">
            <w:pPr>
              <w:rPr>
                <w:sz w:val="24"/>
                <w:szCs w:val="24"/>
              </w:rPr>
            </w:pPr>
          </w:p>
        </w:tc>
        <w:tc>
          <w:tcPr>
            <w:tcW w:w="630" w:type="dxa"/>
            <w:tcBorders>
              <w:top w:val="nil"/>
              <w:left w:val="nil"/>
              <w:bottom w:val="nil"/>
              <w:right w:val="nil"/>
            </w:tcBorders>
            <w:tcMar>
              <w:top w:w="100" w:type="dxa"/>
              <w:left w:w="100" w:type="dxa"/>
              <w:bottom w:w="100" w:type="dxa"/>
              <w:right w:w="100" w:type="dxa"/>
            </w:tcMar>
          </w:tcPr>
          <w:p w14:paraId="54A6D0A9" w14:textId="77777777" w:rsidR="00DC2B15" w:rsidRPr="00931858" w:rsidRDefault="00DC4BE7">
            <w:pPr>
              <w:rPr>
                <w:b/>
                <w:sz w:val="24"/>
                <w:szCs w:val="24"/>
              </w:rPr>
            </w:pPr>
            <w:r w:rsidRPr="00931858">
              <w:rPr>
                <w:b/>
                <w:sz w:val="24"/>
                <w:szCs w:val="24"/>
              </w:rPr>
              <w:t>)</w:t>
            </w:r>
          </w:p>
          <w:p w14:paraId="1E9FD1C4" w14:textId="77777777" w:rsidR="00DC2B15" w:rsidRPr="00931858" w:rsidRDefault="00DC4BE7">
            <w:pPr>
              <w:rPr>
                <w:b/>
                <w:sz w:val="24"/>
                <w:szCs w:val="24"/>
              </w:rPr>
            </w:pPr>
            <w:r w:rsidRPr="00931858">
              <w:rPr>
                <w:b/>
                <w:sz w:val="24"/>
                <w:szCs w:val="24"/>
              </w:rPr>
              <w:t>)</w:t>
            </w:r>
          </w:p>
          <w:p w14:paraId="743F1508" w14:textId="77777777" w:rsidR="00DC2B15" w:rsidRPr="00931858" w:rsidRDefault="00DC4BE7">
            <w:pPr>
              <w:rPr>
                <w:b/>
                <w:sz w:val="24"/>
                <w:szCs w:val="24"/>
              </w:rPr>
            </w:pPr>
            <w:r w:rsidRPr="00931858">
              <w:rPr>
                <w:b/>
                <w:sz w:val="24"/>
                <w:szCs w:val="24"/>
              </w:rPr>
              <w:t>)</w:t>
            </w:r>
          </w:p>
          <w:p w14:paraId="3316C307" w14:textId="77777777" w:rsidR="00DC2B15" w:rsidRPr="00931858" w:rsidRDefault="00DC4BE7">
            <w:pPr>
              <w:rPr>
                <w:b/>
                <w:sz w:val="24"/>
                <w:szCs w:val="24"/>
              </w:rPr>
            </w:pPr>
            <w:r w:rsidRPr="00931858">
              <w:rPr>
                <w:b/>
                <w:sz w:val="24"/>
                <w:szCs w:val="24"/>
              </w:rPr>
              <w:t>)</w:t>
            </w:r>
          </w:p>
          <w:p w14:paraId="0B44A569" w14:textId="77777777" w:rsidR="00DC2B15" w:rsidRPr="00931858" w:rsidRDefault="00DC2B15">
            <w:pPr>
              <w:rPr>
                <w:b/>
                <w:sz w:val="24"/>
                <w:szCs w:val="24"/>
              </w:rPr>
            </w:pPr>
          </w:p>
          <w:p w14:paraId="638A53A8" w14:textId="571435E2" w:rsidR="00DC2B15" w:rsidRPr="00931858" w:rsidRDefault="00DC2B15">
            <w:pPr>
              <w:rPr>
                <w:b/>
                <w:sz w:val="24"/>
                <w:szCs w:val="24"/>
              </w:rPr>
            </w:pPr>
          </w:p>
        </w:tc>
        <w:tc>
          <w:tcPr>
            <w:tcW w:w="4248" w:type="dxa"/>
            <w:tcBorders>
              <w:top w:val="nil"/>
              <w:left w:val="nil"/>
              <w:bottom w:val="nil"/>
              <w:right w:val="nil"/>
            </w:tcBorders>
            <w:tcMar>
              <w:top w:w="100" w:type="dxa"/>
              <w:left w:w="100" w:type="dxa"/>
              <w:bottom w:w="100" w:type="dxa"/>
              <w:right w:w="100" w:type="dxa"/>
            </w:tcMar>
          </w:tcPr>
          <w:p w14:paraId="4CB83BCE" w14:textId="77777777" w:rsidR="00DC2B15" w:rsidRPr="00931858" w:rsidRDefault="00DC4BE7">
            <w:pPr>
              <w:rPr>
                <w:sz w:val="24"/>
                <w:szCs w:val="24"/>
              </w:rPr>
            </w:pPr>
            <w:r w:rsidRPr="00931858">
              <w:rPr>
                <w:sz w:val="24"/>
                <w:szCs w:val="24"/>
              </w:rPr>
              <w:t xml:space="preserve"> </w:t>
            </w:r>
          </w:p>
          <w:p w14:paraId="52DB3DA1" w14:textId="77777777" w:rsidR="00DC2B15" w:rsidRPr="00931858" w:rsidRDefault="00DC4BE7">
            <w:pPr>
              <w:rPr>
                <w:sz w:val="24"/>
                <w:szCs w:val="24"/>
              </w:rPr>
            </w:pPr>
            <w:r w:rsidRPr="00931858">
              <w:rPr>
                <w:sz w:val="24"/>
                <w:szCs w:val="24"/>
              </w:rPr>
              <w:t xml:space="preserve"> </w:t>
            </w:r>
          </w:p>
          <w:p w14:paraId="3FD823A1" w14:textId="77777777" w:rsidR="00DC2B15" w:rsidRPr="00931858" w:rsidRDefault="00DC4BE7">
            <w:pPr>
              <w:rPr>
                <w:sz w:val="24"/>
                <w:szCs w:val="24"/>
              </w:rPr>
            </w:pPr>
            <w:r w:rsidRPr="00931858">
              <w:rPr>
                <w:sz w:val="24"/>
                <w:szCs w:val="24"/>
              </w:rPr>
              <w:t>CC Docket No. 02-6</w:t>
            </w:r>
          </w:p>
          <w:p w14:paraId="61DB9EAB" w14:textId="2BD1DB63" w:rsidR="00DC2B15" w:rsidRPr="00931858" w:rsidRDefault="00DC4BE7">
            <w:pPr>
              <w:rPr>
                <w:sz w:val="24"/>
                <w:szCs w:val="24"/>
              </w:rPr>
            </w:pPr>
            <w:r w:rsidRPr="00931858">
              <w:rPr>
                <w:sz w:val="24"/>
                <w:szCs w:val="24"/>
              </w:rPr>
              <w:t xml:space="preserve"> </w:t>
            </w:r>
          </w:p>
        </w:tc>
      </w:tr>
    </w:tbl>
    <w:p w14:paraId="0C6CCD0E" w14:textId="77777777" w:rsidR="00DC2B15" w:rsidRPr="00931858" w:rsidRDefault="00DC2B15">
      <w:pPr>
        <w:rPr>
          <w:sz w:val="24"/>
          <w:szCs w:val="24"/>
        </w:rPr>
      </w:pPr>
    </w:p>
    <w:p w14:paraId="45034FC0" w14:textId="0341249C" w:rsidR="00DC2B15" w:rsidRPr="00931858" w:rsidRDefault="00DC4BE7">
      <w:pPr>
        <w:pBdr>
          <w:bottom w:val="single" w:sz="4" w:space="1" w:color="000000"/>
        </w:pBdr>
        <w:jc w:val="center"/>
        <w:rPr>
          <w:sz w:val="24"/>
          <w:szCs w:val="24"/>
        </w:rPr>
      </w:pPr>
      <w:r w:rsidRPr="00931858">
        <w:rPr>
          <w:sz w:val="24"/>
          <w:szCs w:val="24"/>
        </w:rPr>
        <w:t>Request for waiver of rules and program requirements for schools and libraries in the State of California that have been affected by wildfire</w:t>
      </w:r>
    </w:p>
    <w:p w14:paraId="2B176566" w14:textId="00616DF4" w:rsidR="00DC2B15" w:rsidRPr="00931858" w:rsidRDefault="00DC2B15">
      <w:pPr>
        <w:widowControl/>
        <w:spacing w:after="120" w:line="360" w:lineRule="auto"/>
        <w:rPr>
          <w:b/>
          <w:sz w:val="24"/>
          <w:szCs w:val="24"/>
        </w:rPr>
      </w:pPr>
    </w:p>
    <w:p w14:paraId="3B99BC11" w14:textId="4765B2AA" w:rsidR="00DC2B15" w:rsidRPr="00931858" w:rsidRDefault="00DC4BE7">
      <w:pPr>
        <w:widowControl/>
        <w:spacing w:after="120" w:line="360" w:lineRule="auto"/>
        <w:rPr>
          <w:b/>
          <w:color w:val="222222"/>
          <w:sz w:val="24"/>
          <w:szCs w:val="24"/>
          <w:highlight w:val="white"/>
        </w:rPr>
      </w:pPr>
      <w:r w:rsidRPr="00931858">
        <w:rPr>
          <w:b/>
          <w:color w:val="222222"/>
          <w:sz w:val="24"/>
          <w:szCs w:val="24"/>
          <w:highlight w:val="white"/>
        </w:rPr>
        <w:t>Introduction</w:t>
      </w:r>
    </w:p>
    <w:p w14:paraId="13D0B2FE" w14:textId="0B236F6B" w:rsidR="00DC2B15" w:rsidRPr="00931858" w:rsidRDefault="00DC4BE7">
      <w:pPr>
        <w:widowControl/>
        <w:spacing w:after="120" w:line="480" w:lineRule="auto"/>
        <w:rPr>
          <w:color w:val="222222"/>
          <w:sz w:val="24"/>
          <w:szCs w:val="24"/>
          <w:highlight w:val="white"/>
          <w:vertAlign w:val="superscript"/>
        </w:rPr>
      </w:pPr>
      <w:r w:rsidRPr="00931858">
        <w:rPr>
          <w:color w:val="222222"/>
          <w:sz w:val="24"/>
          <w:szCs w:val="24"/>
          <w:highlight w:val="white"/>
        </w:rPr>
        <w:t>California is no stranger to wildfire activity, averaging 4,400 wildfires each year. Local authorities plan for these fires in an effort to mitigate the damaging impact to communities. The 2017 year, however, doubled the amount of fires and damage. The 2017 California Wildfires were a series of wildfires that burned across Northern California in 2017. A total of 8,176 fires have burned 1,079,569 acres, according to the California Department of Forestry and Fire Protection.</w:t>
      </w:r>
      <w:r w:rsidRPr="00931858">
        <w:rPr>
          <w:color w:val="222222"/>
          <w:sz w:val="24"/>
          <w:szCs w:val="24"/>
          <w:highlight w:val="white"/>
          <w:vertAlign w:val="superscript"/>
        </w:rPr>
        <w:footnoteReference w:id="1"/>
      </w:r>
    </w:p>
    <w:p w14:paraId="486F7372" w14:textId="42E9C991" w:rsidR="00DC2B15" w:rsidRPr="00931858" w:rsidRDefault="00DC4BE7">
      <w:pPr>
        <w:spacing w:line="480" w:lineRule="auto"/>
        <w:rPr>
          <w:sz w:val="24"/>
          <w:szCs w:val="24"/>
        </w:rPr>
      </w:pPr>
      <w:r w:rsidRPr="00931858">
        <w:rPr>
          <w:sz w:val="24"/>
          <w:szCs w:val="24"/>
        </w:rPr>
        <w:t>The Federal Emergency Management Agency (FEMA)</w:t>
      </w:r>
      <w:r w:rsidRPr="00931858">
        <w:rPr>
          <w:sz w:val="24"/>
          <w:szCs w:val="24"/>
          <w:vertAlign w:val="superscript"/>
        </w:rPr>
        <w:footnoteReference w:id="2"/>
      </w:r>
      <w:r w:rsidRPr="00931858">
        <w:rPr>
          <w:sz w:val="24"/>
          <w:szCs w:val="24"/>
        </w:rPr>
        <w:t xml:space="preserve"> has designated eight counties in California as being eligible for disaster relief.</w:t>
      </w:r>
      <w:r w:rsidR="00146CDB">
        <w:rPr>
          <w:sz w:val="24"/>
          <w:szCs w:val="24"/>
        </w:rPr>
        <w:t xml:space="preserve"> </w:t>
      </w:r>
      <w:r w:rsidRPr="00931858">
        <w:rPr>
          <w:sz w:val="24"/>
          <w:szCs w:val="24"/>
        </w:rPr>
        <w:t xml:space="preserve">These counties are Butte, Lake, Mendocino, Napa, Nevada, Orange, Sonoma, </w:t>
      </w:r>
      <w:r w:rsidR="004B1D71" w:rsidRPr="00931858">
        <w:rPr>
          <w:sz w:val="24"/>
          <w:szCs w:val="24"/>
        </w:rPr>
        <w:t xml:space="preserve">and </w:t>
      </w:r>
      <w:r w:rsidRPr="00931858">
        <w:rPr>
          <w:sz w:val="24"/>
          <w:szCs w:val="24"/>
        </w:rPr>
        <w:t xml:space="preserve">Yuba. To date, </w:t>
      </w:r>
      <w:r w:rsidR="007330FF">
        <w:rPr>
          <w:sz w:val="24"/>
          <w:szCs w:val="24"/>
        </w:rPr>
        <w:t xml:space="preserve">FEMA has approved </w:t>
      </w:r>
      <w:r w:rsidRPr="00931858">
        <w:rPr>
          <w:sz w:val="24"/>
          <w:szCs w:val="24"/>
        </w:rPr>
        <w:t>3,358 Individual Ass</w:t>
      </w:r>
      <w:r w:rsidR="00383E14">
        <w:rPr>
          <w:sz w:val="24"/>
          <w:szCs w:val="24"/>
        </w:rPr>
        <w:t xml:space="preserve">istance Applications </w:t>
      </w:r>
      <w:r w:rsidRPr="00931858">
        <w:rPr>
          <w:sz w:val="24"/>
          <w:szCs w:val="24"/>
        </w:rPr>
        <w:t>for a total of $4,762,378.36.</w:t>
      </w:r>
    </w:p>
    <w:p w14:paraId="76ACA697" w14:textId="46472B45" w:rsidR="00DC2B15" w:rsidRPr="00931858" w:rsidRDefault="00DC2B15">
      <w:pPr>
        <w:spacing w:line="360" w:lineRule="auto"/>
        <w:rPr>
          <w:sz w:val="24"/>
          <w:szCs w:val="24"/>
        </w:rPr>
      </w:pPr>
    </w:p>
    <w:p w14:paraId="587FE850" w14:textId="6FB28655" w:rsidR="00DC2B15" w:rsidRPr="00931858" w:rsidRDefault="00DC4BE7">
      <w:pPr>
        <w:spacing w:line="360" w:lineRule="auto"/>
        <w:rPr>
          <w:b/>
          <w:sz w:val="24"/>
          <w:szCs w:val="24"/>
        </w:rPr>
      </w:pPr>
      <w:r w:rsidRPr="00931858">
        <w:rPr>
          <w:b/>
          <w:sz w:val="24"/>
          <w:szCs w:val="24"/>
        </w:rPr>
        <w:t>Discussion</w:t>
      </w:r>
    </w:p>
    <w:p w14:paraId="3E002FD6" w14:textId="3702200A" w:rsidR="00DC2B15" w:rsidRPr="00931858" w:rsidRDefault="00DC4BE7">
      <w:pPr>
        <w:spacing w:line="480" w:lineRule="auto"/>
        <w:rPr>
          <w:sz w:val="24"/>
          <w:szCs w:val="24"/>
          <w:highlight w:val="white"/>
        </w:rPr>
      </w:pPr>
      <w:r w:rsidRPr="00931858">
        <w:rPr>
          <w:sz w:val="24"/>
          <w:szCs w:val="24"/>
        </w:rPr>
        <w:t xml:space="preserve">The fires in Northern California alone have left in its path of destruction over 8,400 structures and the confirmed deaths of 42 individuals, with 21 still missing. </w:t>
      </w:r>
      <w:r w:rsidRPr="00931858">
        <w:rPr>
          <w:sz w:val="24"/>
          <w:szCs w:val="24"/>
          <w:highlight w:val="white"/>
        </w:rPr>
        <w:t>According to Cal Fire</w:t>
      </w:r>
      <w:r w:rsidRPr="00931858">
        <w:rPr>
          <w:sz w:val="24"/>
          <w:szCs w:val="24"/>
          <w:highlight w:val="white"/>
          <w:vertAlign w:val="superscript"/>
        </w:rPr>
        <w:footnoteReference w:id="3"/>
      </w:r>
      <w:r w:rsidRPr="00931858">
        <w:rPr>
          <w:sz w:val="24"/>
          <w:szCs w:val="24"/>
          <w:highlight w:val="white"/>
        </w:rPr>
        <w:t>, the numbers are going to continue to increase because damage assessment teams are getting into the areas and finally getting an accurate count. Moody's</w:t>
      </w:r>
      <w:r w:rsidRPr="00931858">
        <w:rPr>
          <w:sz w:val="24"/>
          <w:szCs w:val="24"/>
          <w:highlight w:val="white"/>
          <w:vertAlign w:val="superscript"/>
        </w:rPr>
        <w:footnoteReference w:id="4"/>
      </w:r>
      <w:r w:rsidRPr="00931858">
        <w:rPr>
          <w:sz w:val="24"/>
          <w:szCs w:val="24"/>
          <w:highlight w:val="white"/>
        </w:rPr>
        <w:t xml:space="preserve"> estimated the insured losses for property and casualty insurers from</w:t>
      </w:r>
      <w:r w:rsidR="004B1D71" w:rsidRPr="00931858">
        <w:rPr>
          <w:sz w:val="24"/>
          <w:szCs w:val="24"/>
          <w:highlight w:val="white"/>
        </w:rPr>
        <w:t xml:space="preserve"> the Northern California blazes </w:t>
      </w:r>
      <w:r w:rsidRPr="00931858">
        <w:rPr>
          <w:sz w:val="24"/>
          <w:szCs w:val="24"/>
          <w:highlight w:val="white"/>
        </w:rPr>
        <w:t xml:space="preserve">"will be among the costliest wildfires on record for </w:t>
      </w:r>
      <w:r w:rsidR="004B1D71" w:rsidRPr="00931858">
        <w:rPr>
          <w:sz w:val="24"/>
          <w:szCs w:val="24"/>
          <w:highlight w:val="white"/>
        </w:rPr>
        <w:t>the United States.</w:t>
      </w:r>
      <w:r w:rsidRPr="00931858">
        <w:rPr>
          <w:sz w:val="24"/>
          <w:szCs w:val="24"/>
          <w:highlight w:val="white"/>
        </w:rPr>
        <w:t>"</w:t>
      </w:r>
      <w:r w:rsidR="004B1D71" w:rsidRPr="00931858">
        <w:rPr>
          <w:sz w:val="24"/>
          <w:szCs w:val="24"/>
          <w:highlight w:val="white"/>
        </w:rPr>
        <w:t xml:space="preserve"> </w:t>
      </w:r>
      <w:r w:rsidRPr="00931858">
        <w:rPr>
          <w:sz w:val="24"/>
          <w:szCs w:val="24"/>
          <w:highlight w:val="white"/>
        </w:rPr>
        <w:t>The credit ratings firm estimates the losses will total "$4.6 billion or higher," noting that its estimate was based on Cal Fire's earlier 5,700 structures figure.</w:t>
      </w:r>
    </w:p>
    <w:p w14:paraId="5A161BF0" w14:textId="3BD75E76" w:rsidR="007F76E5" w:rsidRPr="00931858" w:rsidRDefault="00DC4BE7">
      <w:pPr>
        <w:spacing w:line="480" w:lineRule="auto"/>
        <w:rPr>
          <w:sz w:val="24"/>
          <w:szCs w:val="24"/>
        </w:rPr>
      </w:pPr>
      <w:r w:rsidRPr="00931858">
        <w:rPr>
          <w:sz w:val="24"/>
          <w:szCs w:val="24"/>
        </w:rPr>
        <w:t>FEMA designated eight counties as the hardest hit, but these eight only represent a small section of the areas that struggled with fire and fire related</w:t>
      </w:r>
      <w:r w:rsidR="00526090">
        <w:rPr>
          <w:sz w:val="24"/>
          <w:szCs w:val="24"/>
        </w:rPr>
        <w:t xml:space="preserve"> issues</w:t>
      </w:r>
      <w:r w:rsidRPr="00931858">
        <w:rPr>
          <w:sz w:val="24"/>
          <w:szCs w:val="24"/>
        </w:rPr>
        <w:t>. The map below, provided by CAL Fire, illustrates how much of the state has been affected by fire in the 2017 year.</w:t>
      </w:r>
    </w:p>
    <w:p w14:paraId="2E793FD1" w14:textId="1BACAFE6" w:rsidR="00F63D0F" w:rsidRDefault="00DC4BE7" w:rsidP="00F63D0F">
      <w:pPr>
        <w:spacing w:after="240" w:line="480" w:lineRule="auto"/>
        <w:rPr>
          <w:sz w:val="24"/>
          <w:szCs w:val="24"/>
        </w:rPr>
      </w:pPr>
      <w:r w:rsidRPr="00931858">
        <w:rPr>
          <w:sz w:val="24"/>
          <w:szCs w:val="24"/>
          <w:highlight w:val="white"/>
        </w:rPr>
        <w:t xml:space="preserve">Beyond the fire zones, millions of Californians are facing a secondary, more insidious threat, thanks to the high winds that are fueling the fires: polluted and potentially toxic air. Those potentially deadly particles are creating unhealthy air as far as 70 miles away from fire zones, according to Bay Area Air Quality Management District spokesman Tom Flannigan. Those closer to the fire zones are even more at risk, since the air in those regions could also be tinged with toxic heavy metals like arsenic, cadmium, copper and </w:t>
      </w:r>
      <w:r w:rsidRPr="00931858">
        <w:rPr>
          <w:sz w:val="24"/>
          <w:szCs w:val="24"/>
          <w:highlight w:val="white"/>
        </w:rPr>
        <w:lastRenderedPageBreak/>
        <w:t>lead, as the smoke picks up chemicals from burned-up plastic, cars, and building materials.</w:t>
      </w:r>
    </w:p>
    <w:p w14:paraId="2A436D26" w14:textId="5E5547D6" w:rsidR="00F63D0F" w:rsidRPr="00F63D0F" w:rsidRDefault="00DC4BE7" w:rsidP="00F63D0F">
      <w:pPr>
        <w:spacing w:line="480" w:lineRule="auto"/>
        <w:rPr>
          <w:sz w:val="24"/>
          <w:szCs w:val="24"/>
        </w:rPr>
      </w:pPr>
      <w:r w:rsidRPr="00931858">
        <w:rPr>
          <w:sz w:val="24"/>
          <w:szCs w:val="24"/>
        </w:rPr>
        <w:t xml:space="preserve">The conditions created by the fires have created the need for many schools to evacuate or close due to air quality issues. The indirect impact on schools has been the loss of family homes, places of employment and displacement of those families as they begin to contemplate what rebuilding will </w:t>
      </w:r>
      <w:r w:rsidR="00A91CD0">
        <w:rPr>
          <w:sz w:val="24"/>
          <w:szCs w:val="24"/>
        </w:rPr>
        <w:t>entail</w:t>
      </w:r>
      <w:r w:rsidRPr="00931858">
        <w:rPr>
          <w:sz w:val="24"/>
          <w:szCs w:val="24"/>
        </w:rPr>
        <w:t>.</w:t>
      </w:r>
      <w:r w:rsidR="00F63D0F" w:rsidRPr="00F63D0F">
        <w:rPr>
          <w:noProof/>
          <w:sz w:val="24"/>
          <w:szCs w:val="24"/>
        </w:rPr>
        <w:t xml:space="preserve"> </w:t>
      </w:r>
      <w:r w:rsidR="00F63D0F" w:rsidRPr="00931858">
        <w:rPr>
          <w:noProof/>
          <w:sz w:val="24"/>
          <w:szCs w:val="24"/>
        </w:rPr>
        <w:drawing>
          <wp:inline distT="0" distB="0" distL="0" distR="0" wp14:anchorId="011283D6" wp14:editId="3E5858D9">
            <wp:extent cx="3514725" cy="4224655"/>
            <wp:effectExtent l="0" t="0" r="9525" b="4445"/>
            <wp:docPr id="4" name="image9.png" descr="Screen Shot 2017-10-27 at 6.14.3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descr="Screen Shot 2017-10-27 at 6.14.33 AM.png"/>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3514725" cy="4224655"/>
                    </a:xfrm>
                    <a:prstGeom prst="rect">
                      <a:avLst/>
                    </a:prstGeom>
                    <a:ln/>
                  </pic:spPr>
                </pic:pic>
              </a:graphicData>
            </a:graphic>
          </wp:inline>
        </w:drawing>
      </w:r>
    </w:p>
    <w:p w14:paraId="18818A6C" w14:textId="77777777" w:rsidR="00F63D0F" w:rsidRDefault="00F63D0F">
      <w:pPr>
        <w:rPr>
          <w:b/>
          <w:sz w:val="24"/>
          <w:szCs w:val="24"/>
        </w:rPr>
      </w:pPr>
    </w:p>
    <w:p w14:paraId="1D465FB7" w14:textId="15BE9B96" w:rsidR="00DC2B15" w:rsidRPr="00931858" w:rsidRDefault="00DC4BE7">
      <w:pPr>
        <w:rPr>
          <w:sz w:val="24"/>
          <w:szCs w:val="24"/>
        </w:rPr>
      </w:pPr>
      <w:r w:rsidRPr="00931858">
        <w:rPr>
          <w:b/>
          <w:sz w:val="24"/>
          <w:szCs w:val="24"/>
        </w:rPr>
        <w:t>Request</w:t>
      </w:r>
      <w:r w:rsidR="00146CDB">
        <w:rPr>
          <w:sz w:val="24"/>
          <w:szCs w:val="24"/>
        </w:rPr>
        <w:t xml:space="preserve"> </w:t>
      </w:r>
    </w:p>
    <w:p w14:paraId="2FD2A80D" w14:textId="77777777" w:rsidR="00DC2B15" w:rsidRPr="00931858" w:rsidRDefault="00DC2B15">
      <w:pPr>
        <w:rPr>
          <w:sz w:val="24"/>
          <w:szCs w:val="24"/>
        </w:rPr>
      </w:pPr>
    </w:p>
    <w:p w14:paraId="7E1503EF" w14:textId="0DF8F9DB" w:rsidR="00A20F72" w:rsidRDefault="005308EE">
      <w:pPr>
        <w:spacing w:line="480" w:lineRule="auto"/>
        <w:rPr>
          <w:sz w:val="24"/>
          <w:szCs w:val="24"/>
        </w:rPr>
      </w:pPr>
      <w:bookmarkStart w:id="0" w:name="_le5vkduxyw2s" w:colFirst="0" w:colLast="0"/>
      <w:bookmarkEnd w:id="0"/>
      <w:r>
        <w:rPr>
          <w:sz w:val="24"/>
          <w:szCs w:val="24"/>
        </w:rPr>
        <w:t xml:space="preserve">The areas of California that have been affected by fire is very similar to the areas of the Gulf Coast that have been affected by hurricanes, in that some schools have been completely destroyed, while other have sustained damage or have been affected by the fire debris. </w:t>
      </w:r>
      <w:r w:rsidR="00DC4BE7" w:rsidRPr="00931858">
        <w:rPr>
          <w:sz w:val="24"/>
          <w:szCs w:val="24"/>
        </w:rPr>
        <w:t xml:space="preserve">The </w:t>
      </w:r>
      <w:r w:rsidR="00DC4BE7" w:rsidRPr="00931858">
        <w:rPr>
          <w:sz w:val="24"/>
          <w:szCs w:val="24"/>
        </w:rPr>
        <w:lastRenderedPageBreak/>
        <w:t>Cal</w:t>
      </w:r>
      <w:r w:rsidR="004B1D71" w:rsidRPr="00931858">
        <w:rPr>
          <w:sz w:val="24"/>
          <w:szCs w:val="24"/>
        </w:rPr>
        <w:t>ifornia Department of Education</w:t>
      </w:r>
      <w:r>
        <w:rPr>
          <w:sz w:val="24"/>
          <w:szCs w:val="24"/>
        </w:rPr>
        <w:t xml:space="preserve"> (CDE)</w:t>
      </w:r>
      <w:r w:rsidR="00146CDB">
        <w:rPr>
          <w:sz w:val="24"/>
          <w:szCs w:val="24"/>
        </w:rPr>
        <w:t xml:space="preserve"> </w:t>
      </w:r>
      <w:r w:rsidR="00F92EF4">
        <w:rPr>
          <w:sz w:val="24"/>
          <w:szCs w:val="24"/>
        </w:rPr>
        <w:t xml:space="preserve">has identified </w:t>
      </w:r>
      <w:r w:rsidR="00FB56D9">
        <w:rPr>
          <w:sz w:val="24"/>
          <w:szCs w:val="24"/>
        </w:rPr>
        <w:t>7</w:t>
      </w:r>
      <w:r>
        <w:rPr>
          <w:sz w:val="24"/>
          <w:szCs w:val="24"/>
        </w:rPr>
        <w:t xml:space="preserve"> schools in the fire zones that have </w:t>
      </w:r>
      <w:r w:rsidR="000E4653">
        <w:rPr>
          <w:sz w:val="24"/>
          <w:szCs w:val="24"/>
        </w:rPr>
        <w:t xml:space="preserve">been damaged or destroyed and </w:t>
      </w:r>
      <w:r w:rsidR="00FB56D9">
        <w:rPr>
          <w:sz w:val="24"/>
          <w:szCs w:val="24"/>
        </w:rPr>
        <w:t>5</w:t>
      </w:r>
      <w:r>
        <w:rPr>
          <w:sz w:val="24"/>
          <w:szCs w:val="24"/>
        </w:rPr>
        <w:t xml:space="preserve"> schools in and around the fire zones that have been affected by debris. Students from these schools have been shifted to other schools. These other schools are now incurring additional expenses</w:t>
      </w:r>
      <w:r w:rsidR="000E4653">
        <w:rPr>
          <w:sz w:val="24"/>
          <w:szCs w:val="24"/>
        </w:rPr>
        <w:t xml:space="preserve"> in support of these students</w:t>
      </w:r>
      <w:r>
        <w:rPr>
          <w:sz w:val="24"/>
          <w:szCs w:val="24"/>
        </w:rPr>
        <w:t xml:space="preserve">. </w:t>
      </w:r>
      <w:r w:rsidR="004B1D71" w:rsidRPr="00931858">
        <w:rPr>
          <w:sz w:val="24"/>
          <w:szCs w:val="24"/>
        </w:rPr>
        <w:t xml:space="preserve"> </w:t>
      </w:r>
      <w:r>
        <w:rPr>
          <w:sz w:val="24"/>
          <w:szCs w:val="24"/>
        </w:rPr>
        <w:t xml:space="preserve">It is possible that additional schools have been affected by debris and smoke, but have not </w:t>
      </w:r>
      <w:r w:rsidR="000E4653">
        <w:rPr>
          <w:sz w:val="24"/>
          <w:szCs w:val="24"/>
        </w:rPr>
        <w:t xml:space="preserve">yet </w:t>
      </w:r>
      <w:r>
        <w:rPr>
          <w:sz w:val="24"/>
          <w:szCs w:val="24"/>
        </w:rPr>
        <w:t xml:space="preserve">been reported to the CDE. The CDE, </w:t>
      </w:r>
      <w:r w:rsidR="004B1D71" w:rsidRPr="00931858">
        <w:rPr>
          <w:sz w:val="24"/>
          <w:szCs w:val="24"/>
        </w:rPr>
        <w:t xml:space="preserve">on behalf of the </w:t>
      </w:r>
      <w:r w:rsidR="00DC4BE7" w:rsidRPr="00931858">
        <w:rPr>
          <w:sz w:val="24"/>
          <w:szCs w:val="24"/>
        </w:rPr>
        <w:t>schools affected by the wildfires</w:t>
      </w:r>
      <w:r w:rsidR="004B1D71" w:rsidRPr="00931858">
        <w:rPr>
          <w:sz w:val="24"/>
          <w:szCs w:val="24"/>
        </w:rPr>
        <w:t xml:space="preserve">, is requesting </w:t>
      </w:r>
      <w:r w:rsidR="000B3B0E" w:rsidRPr="00931858">
        <w:rPr>
          <w:sz w:val="24"/>
          <w:szCs w:val="24"/>
        </w:rPr>
        <w:t xml:space="preserve">those </w:t>
      </w:r>
      <w:r w:rsidR="004B1D71" w:rsidRPr="00931858">
        <w:rPr>
          <w:sz w:val="24"/>
          <w:szCs w:val="24"/>
        </w:rPr>
        <w:t xml:space="preserve">schools </w:t>
      </w:r>
      <w:r w:rsidR="00DC4BE7" w:rsidRPr="00931858">
        <w:rPr>
          <w:sz w:val="24"/>
          <w:szCs w:val="24"/>
        </w:rPr>
        <w:t xml:space="preserve">receive special consideration in securing their E-rate funds. </w:t>
      </w:r>
      <w:r w:rsidR="00A20F72">
        <w:rPr>
          <w:sz w:val="24"/>
          <w:szCs w:val="24"/>
        </w:rPr>
        <w:t xml:space="preserve">Part of this request includes “surrounding areas” in order to help the schools affected by smoke and debris as well as those who have grown in their student population as a result of </w:t>
      </w:r>
      <w:r w:rsidR="00A91CD0">
        <w:rPr>
          <w:sz w:val="24"/>
          <w:szCs w:val="24"/>
        </w:rPr>
        <w:t xml:space="preserve"> relocating  students from </w:t>
      </w:r>
      <w:r w:rsidR="00A20F72">
        <w:rPr>
          <w:sz w:val="24"/>
          <w:szCs w:val="24"/>
        </w:rPr>
        <w:t xml:space="preserve">neighboring schools that were damaged or destroyed. </w:t>
      </w:r>
    </w:p>
    <w:p w14:paraId="3F85D9E2" w14:textId="79801537" w:rsidR="00DC2B15" w:rsidRPr="00931858" w:rsidRDefault="00526090">
      <w:pPr>
        <w:spacing w:line="480" w:lineRule="auto"/>
        <w:rPr>
          <w:sz w:val="24"/>
          <w:szCs w:val="24"/>
        </w:rPr>
      </w:pPr>
      <w:r>
        <w:rPr>
          <w:sz w:val="24"/>
          <w:szCs w:val="24"/>
        </w:rPr>
        <w:t>The following relief</w:t>
      </w:r>
      <w:r w:rsidR="00DC4BE7" w:rsidRPr="00931858">
        <w:rPr>
          <w:sz w:val="24"/>
          <w:szCs w:val="24"/>
        </w:rPr>
        <w:t xml:space="preserve"> is requested</w:t>
      </w:r>
      <w:r w:rsidR="001F2A8F">
        <w:rPr>
          <w:sz w:val="24"/>
          <w:szCs w:val="24"/>
        </w:rPr>
        <w:t xml:space="preserve"> for the </w:t>
      </w:r>
      <w:r w:rsidR="00870CC3">
        <w:rPr>
          <w:sz w:val="24"/>
          <w:szCs w:val="24"/>
        </w:rPr>
        <w:t>eight counties eligible for FEMA assistance and the surround</w:t>
      </w:r>
      <w:r w:rsidR="00A91CD0">
        <w:rPr>
          <w:sz w:val="24"/>
          <w:szCs w:val="24"/>
        </w:rPr>
        <w:t>ing</w:t>
      </w:r>
      <w:r w:rsidR="00870CC3">
        <w:rPr>
          <w:sz w:val="24"/>
          <w:szCs w:val="24"/>
        </w:rPr>
        <w:t xml:space="preserve"> areas </w:t>
      </w:r>
      <w:r>
        <w:rPr>
          <w:sz w:val="24"/>
          <w:szCs w:val="24"/>
        </w:rPr>
        <w:t xml:space="preserve">of </w:t>
      </w:r>
      <w:r w:rsidR="00870CC3">
        <w:rPr>
          <w:sz w:val="24"/>
          <w:szCs w:val="24"/>
        </w:rPr>
        <w:t>Butte, Tehama, Plumas, Glenn, Colusa, Sierra, Lake, Yolo, Mendocino, Trinity, Humboldt, Napa, Solano, Marin, Nevada, Placer, Sutter, Orange, Los Angeles, San Bernardino, Riverside, San Diego, Sonoma and Yuba counties:</w:t>
      </w:r>
      <w:r w:rsidR="001F2A8F">
        <w:rPr>
          <w:sz w:val="24"/>
          <w:szCs w:val="24"/>
        </w:rPr>
        <w:t xml:space="preserve"> </w:t>
      </w:r>
    </w:p>
    <w:p w14:paraId="0D0480CE" w14:textId="4BCAB232" w:rsidR="00DC2B15" w:rsidRPr="00931858" w:rsidRDefault="00DC4BE7">
      <w:pPr>
        <w:numPr>
          <w:ilvl w:val="0"/>
          <w:numId w:val="1"/>
        </w:numPr>
        <w:spacing w:line="480" w:lineRule="auto"/>
        <w:contextualSpacing/>
        <w:rPr>
          <w:sz w:val="24"/>
          <w:szCs w:val="24"/>
        </w:rPr>
      </w:pPr>
      <w:bookmarkStart w:id="1" w:name="_n9meyyy677gy" w:colFirst="0" w:colLast="0"/>
      <w:bookmarkEnd w:id="1"/>
      <w:r w:rsidRPr="00931858">
        <w:rPr>
          <w:sz w:val="24"/>
          <w:szCs w:val="24"/>
        </w:rPr>
        <w:t>Waiver of the September 30, 2017 deadline to request an Implementation Deadline Extension</w:t>
      </w:r>
      <w:r w:rsidR="00A97808">
        <w:rPr>
          <w:sz w:val="24"/>
          <w:szCs w:val="24"/>
        </w:rPr>
        <w:t xml:space="preserve"> and associated Service Substitutions and SPIN Change Requests.</w:t>
      </w:r>
    </w:p>
    <w:p w14:paraId="00CE202D" w14:textId="3A22FEC8" w:rsidR="00DC2B15" w:rsidRPr="00931858" w:rsidRDefault="00DC4BE7">
      <w:pPr>
        <w:numPr>
          <w:ilvl w:val="0"/>
          <w:numId w:val="2"/>
        </w:numPr>
        <w:spacing w:line="480" w:lineRule="auto"/>
        <w:contextualSpacing/>
        <w:rPr>
          <w:sz w:val="24"/>
          <w:szCs w:val="24"/>
        </w:rPr>
      </w:pPr>
      <w:bookmarkStart w:id="2" w:name="_tney9o43kvo1" w:colFirst="0" w:colLast="0"/>
      <w:bookmarkEnd w:id="2"/>
      <w:r w:rsidRPr="00931858">
        <w:rPr>
          <w:sz w:val="24"/>
          <w:szCs w:val="24"/>
        </w:rPr>
        <w:t>Waiver of the deadline associated with the FCC Form 486.</w:t>
      </w:r>
    </w:p>
    <w:p w14:paraId="7EB520CE" w14:textId="6B951798" w:rsidR="00DC2B15" w:rsidRDefault="00DC4BE7">
      <w:pPr>
        <w:numPr>
          <w:ilvl w:val="0"/>
          <w:numId w:val="2"/>
        </w:numPr>
        <w:spacing w:line="480" w:lineRule="auto"/>
        <w:contextualSpacing/>
        <w:rPr>
          <w:sz w:val="24"/>
          <w:szCs w:val="24"/>
        </w:rPr>
      </w:pPr>
      <w:bookmarkStart w:id="3" w:name="_zbhdg8lhvx8g" w:colFirst="0" w:colLast="0"/>
      <w:bookmarkEnd w:id="3"/>
      <w:r w:rsidRPr="00931858">
        <w:rPr>
          <w:sz w:val="24"/>
          <w:szCs w:val="24"/>
        </w:rPr>
        <w:t>Waiver of the deadline associated with the FCC Forms 472 and 474.</w:t>
      </w:r>
    </w:p>
    <w:p w14:paraId="1434582B" w14:textId="7171C6D0" w:rsidR="00A97808" w:rsidRDefault="00A97808">
      <w:pPr>
        <w:numPr>
          <w:ilvl w:val="0"/>
          <w:numId w:val="2"/>
        </w:numPr>
        <w:spacing w:line="480" w:lineRule="auto"/>
        <w:contextualSpacing/>
        <w:rPr>
          <w:sz w:val="24"/>
          <w:szCs w:val="24"/>
        </w:rPr>
      </w:pPr>
      <w:r>
        <w:rPr>
          <w:sz w:val="24"/>
          <w:szCs w:val="24"/>
        </w:rPr>
        <w:t>Additional time to respond to PIA requests.</w:t>
      </w:r>
    </w:p>
    <w:p w14:paraId="50C9F700" w14:textId="41BAE062" w:rsidR="00870CC3" w:rsidRPr="00F63D0F" w:rsidRDefault="00A97808" w:rsidP="00A91CD0">
      <w:pPr>
        <w:numPr>
          <w:ilvl w:val="0"/>
          <w:numId w:val="2"/>
        </w:numPr>
        <w:spacing w:line="480" w:lineRule="auto"/>
        <w:contextualSpacing/>
        <w:rPr>
          <w:sz w:val="24"/>
          <w:szCs w:val="24"/>
        </w:rPr>
      </w:pPr>
      <w:r>
        <w:rPr>
          <w:sz w:val="24"/>
          <w:szCs w:val="24"/>
        </w:rPr>
        <w:t>Waiver of Appeal deadlines</w:t>
      </w:r>
      <w:r w:rsidR="00526090">
        <w:rPr>
          <w:sz w:val="24"/>
          <w:szCs w:val="24"/>
        </w:rPr>
        <w:t>.</w:t>
      </w:r>
    </w:p>
    <w:p w14:paraId="6F15AC4A" w14:textId="09F5D139" w:rsidR="00870CC3" w:rsidRPr="00931858" w:rsidRDefault="00870CC3" w:rsidP="00A91CD0">
      <w:pPr>
        <w:spacing w:line="480" w:lineRule="auto"/>
        <w:contextualSpacing/>
        <w:rPr>
          <w:sz w:val="24"/>
          <w:szCs w:val="24"/>
        </w:rPr>
      </w:pPr>
      <w:r>
        <w:rPr>
          <w:sz w:val="24"/>
          <w:szCs w:val="24"/>
        </w:rPr>
        <w:t>Additional assistance is requested f</w:t>
      </w:r>
      <w:r w:rsidR="007330FF">
        <w:rPr>
          <w:sz w:val="24"/>
          <w:szCs w:val="24"/>
        </w:rPr>
        <w:t>or the eight counties identified</w:t>
      </w:r>
      <w:r>
        <w:rPr>
          <w:sz w:val="24"/>
          <w:szCs w:val="24"/>
        </w:rPr>
        <w:t xml:space="preserve"> by FEMA: Butte, Lake, Mendocino, Napa, Nevada, Orange, Sonoma and Yuba counties:</w:t>
      </w:r>
    </w:p>
    <w:p w14:paraId="05B88377" w14:textId="023FE409" w:rsidR="00DC2B15" w:rsidRDefault="00DC4BE7">
      <w:pPr>
        <w:numPr>
          <w:ilvl w:val="0"/>
          <w:numId w:val="2"/>
        </w:numPr>
        <w:spacing w:line="480" w:lineRule="auto"/>
        <w:contextualSpacing/>
        <w:rPr>
          <w:sz w:val="24"/>
          <w:szCs w:val="24"/>
        </w:rPr>
      </w:pPr>
      <w:bookmarkStart w:id="4" w:name="_fai1wl253euf" w:colFirst="0" w:colLast="0"/>
      <w:bookmarkEnd w:id="4"/>
      <w:r w:rsidRPr="00931858">
        <w:rPr>
          <w:sz w:val="24"/>
          <w:szCs w:val="24"/>
        </w:rPr>
        <w:lastRenderedPageBreak/>
        <w:t>Waiver of the document retention policy for school and libraries that have suffered significant damage to their facilities.</w:t>
      </w:r>
      <w:r w:rsidR="00146CDB">
        <w:rPr>
          <w:sz w:val="24"/>
          <w:szCs w:val="24"/>
        </w:rPr>
        <w:t xml:space="preserve"> </w:t>
      </w:r>
      <w:r w:rsidR="00526090">
        <w:rPr>
          <w:sz w:val="24"/>
          <w:szCs w:val="24"/>
        </w:rPr>
        <w:t>Here is</w:t>
      </w:r>
      <w:r w:rsidR="00146CDB">
        <w:rPr>
          <w:sz w:val="24"/>
          <w:szCs w:val="24"/>
        </w:rPr>
        <w:t xml:space="preserve"> a list of kno</w:t>
      </w:r>
      <w:r w:rsidR="00A91CD0">
        <w:rPr>
          <w:sz w:val="24"/>
          <w:szCs w:val="24"/>
        </w:rPr>
        <w:t>w</w:t>
      </w:r>
      <w:r w:rsidR="00146CDB">
        <w:rPr>
          <w:sz w:val="24"/>
          <w:szCs w:val="24"/>
        </w:rPr>
        <w:t>n facilities with significant damage:</w:t>
      </w:r>
    </w:p>
    <w:p w14:paraId="382FFBFA" w14:textId="77777777" w:rsidR="00146CDB" w:rsidRDefault="00146CDB" w:rsidP="00A91CD0">
      <w:pPr>
        <w:pStyle w:val="NormalWeb"/>
        <w:numPr>
          <w:ilvl w:val="1"/>
          <w:numId w:val="2"/>
        </w:numPr>
        <w:shd w:val="clear" w:color="auto" w:fill="FFFFFF"/>
        <w:rPr>
          <w:rFonts w:ascii="Calibri" w:hAnsi="Calibri"/>
          <w:color w:val="000000"/>
        </w:rPr>
      </w:pPr>
      <w:r>
        <w:rPr>
          <w:rFonts w:ascii="Calibri" w:hAnsi="Calibri"/>
          <w:color w:val="000000"/>
          <w:u w:val="single"/>
        </w:rPr>
        <w:t>Destroyed: </w:t>
      </w:r>
    </w:p>
    <w:p w14:paraId="23E27CAA" w14:textId="77777777" w:rsidR="00146CDB" w:rsidRDefault="00146CDB" w:rsidP="00A91CD0">
      <w:pPr>
        <w:pStyle w:val="NormalWeb"/>
        <w:numPr>
          <w:ilvl w:val="1"/>
          <w:numId w:val="3"/>
        </w:numPr>
        <w:shd w:val="clear" w:color="auto" w:fill="FFFFFF"/>
        <w:ind w:left="1800"/>
        <w:rPr>
          <w:rFonts w:ascii="Calibri" w:hAnsi="Calibri"/>
          <w:color w:val="000000"/>
        </w:rPr>
      </w:pPr>
      <w:r>
        <w:rPr>
          <w:rFonts w:ascii="Calibri" w:hAnsi="Calibri"/>
          <w:color w:val="000000"/>
        </w:rPr>
        <w:t>Hidden Valley Elementary (Satellite campus), Santa Rosa City Schools</w:t>
      </w:r>
    </w:p>
    <w:p w14:paraId="42D54D3D" w14:textId="77777777" w:rsidR="00146CDB" w:rsidRDefault="00146CDB" w:rsidP="00A91CD0">
      <w:pPr>
        <w:pStyle w:val="NormalWeb"/>
        <w:numPr>
          <w:ilvl w:val="1"/>
          <w:numId w:val="3"/>
        </w:numPr>
        <w:shd w:val="clear" w:color="auto" w:fill="FFFFFF"/>
        <w:ind w:left="1800"/>
        <w:rPr>
          <w:rFonts w:ascii="Calibri" w:hAnsi="Calibri"/>
          <w:color w:val="000000"/>
        </w:rPr>
      </w:pPr>
      <w:proofErr w:type="spellStart"/>
      <w:r>
        <w:rPr>
          <w:rFonts w:ascii="Calibri" w:hAnsi="Calibri"/>
          <w:color w:val="000000"/>
        </w:rPr>
        <w:t>Anova</w:t>
      </w:r>
      <w:proofErr w:type="spellEnd"/>
      <w:r>
        <w:rPr>
          <w:rFonts w:ascii="Calibri" w:hAnsi="Calibri"/>
          <w:color w:val="000000"/>
        </w:rPr>
        <w:t xml:space="preserve"> (private, special education)</w:t>
      </w:r>
    </w:p>
    <w:p w14:paraId="1DB439CB" w14:textId="6299168C" w:rsidR="00146CDB" w:rsidRPr="00146CDB" w:rsidRDefault="00146CDB" w:rsidP="00A91CD0">
      <w:pPr>
        <w:pStyle w:val="NormalWeb"/>
        <w:numPr>
          <w:ilvl w:val="1"/>
          <w:numId w:val="3"/>
        </w:numPr>
        <w:shd w:val="clear" w:color="auto" w:fill="FFFFFF"/>
        <w:spacing w:after="120"/>
        <w:ind w:left="1800"/>
        <w:rPr>
          <w:rFonts w:ascii="Calibri" w:hAnsi="Calibri"/>
          <w:color w:val="000000"/>
        </w:rPr>
      </w:pPr>
      <w:r>
        <w:rPr>
          <w:rFonts w:ascii="Calibri" w:hAnsi="Calibri"/>
          <w:color w:val="000000"/>
        </w:rPr>
        <w:t>Redwood Adventist (private)</w:t>
      </w:r>
    </w:p>
    <w:p w14:paraId="2619DFEA" w14:textId="77777777" w:rsidR="00146CDB" w:rsidRDefault="00146CDB" w:rsidP="00A91CD0">
      <w:pPr>
        <w:pStyle w:val="NormalWeb"/>
        <w:numPr>
          <w:ilvl w:val="1"/>
          <w:numId w:val="2"/>
        </w:numPr>
        <w:shd w:val="clear" w:color="auto" w:fill="FFFFFF"/>
        <w:rPr>
          <w:rFonts w:ascii="Calibri" w:hAnsi="Calibri"/>
          <w:color w:val="000000"/>
        </w:rPr>
      </w:pPr>
      <w:r>
        <w:rPr>
          <w:rFonts w:ascii="Calibri" w:hAnsi="Calibri"/>
          <w:color w:val="000000"/>
          <w:u w:val="single"/>
        </w:rPr>
        <w:t>Damaged:</w:t>
      </w:r>
    </w:p>
    <w:p w14:paraId="49AFCC34" w14:textId="77777777" w:rsidR="00146CDB" w:rsidRDefault="00146CDB" w:rsidP="00A91CD0">
      <w:pPr>
        <w:pStyle w:val="NormalWeb"/>
        <w:numPr>
          <w:ilvl w:val="1"/>
          <w:numId w:val="4"/>
        </w:numPr>
        <w:shd w:val="clear" w:color="auto" w:fill="FFFFFF"/>
        <w:ind w:left="1800"/>
        <w:rPr>
          <w:rFonts w:ascii="Calibri" w:hAnsi="Calibri"/>
          <w:color w:val="000000"/>
        </w:rPr>
      </w:pPr>
      <w:proofErr w:type="spellStart"/>
      <w:r>
        <w:rPr>
          <w:rFonts w:ascii="Calibri" w:hAnsi="Calibri"/>
          <w:color w:val="000000"/>
        </w:rPr>
        <w:t>Riebli</w:t>
      </w:r>
      <w:proofErr w:type="spellEnd"/>
      <w:r>
        <w:rPr>
          <w:rFonts w:ascii="Calibri" w:hAnsi="Calibri"/>
          <w:color w:val="000000"/>
        </w:rPr>
        <w:t xml:space="preserve"> Elementary, Mark West</w:t>
      </w:r>
    </w:p>
    <w:p w14:paraId="7839C991" w14:textId="77777777" w:rsidR="00146CDB" w:rsidRDefault="00146CDB" w:rsidP="00A91CD0">
      <w:pPr>
        <w:pStyle w:val="NormalWeb"/>
        <w:numPr>
          <w:ilvl w:val="1"/>
          <w:numId w:val="4"/>
        </w:numPr>
        <w:shd w:val="clear" w:color="auto" w:fill="FFFFFF"/>
        <w:ind w:left="1800"/>
        <w:rPr>
          <w:rFonts w:ascii="Calibri" w:hAnsi="Calibri"/>
          <w:color w:val="000000"/>
        </w:rPr>
      </w:pPr>
      <w:r>
        <w:rPr>
          <w:rFonts w:ascii="Calibri" w:hAnsi="Calibri"/>
          <w:color w:val="000000"/>
        </w:rPr>
        <w:t>Roseland Collegiate Prep (charter)</w:t>
      </w:r>
    </w:p>
    <w:p w14:paraId="5BF6C858" w14:textId="77777777" w:rsidR="00146CDB" w:rsidRDefault="00146CDB" w:rsidP="00A91CD0">
      <w:pPr>
        <w:pStyle w:val="NormalWeb"/>
        <w:numPr>
          <w:ilvl w:val="1"/>
          <w:numId w:val="4"/>
        </w:numPr>
        <w:shd w:val="clear" w:color="auto" w:fill="FFFFFF"/>
        <w:ind w:left="1800"/>
        <w:rPr>
          <w:rFonts w:ascii="Calibri" w:hAnsi="Calibri"/>
          <w:color w:val="000000"/>
        </w:rPr>
      </w:pPr>
      <w:r>
        <w:rPr>
          <w:rFonts w:ascii="Calibri" w:hAnsi="Calibri"/>
          <w:color w:val="000000"/>
        </w:rPr>
        <w:t>Cardinal Newman High School (private)</w:t>
      </w:r>
    </w:p>
    <w:p w14:paraId="110E5C1D" w14:textId="37669D42" w:rsidR="00146CDB" w:rsidRPr="001B1212" w:rsidRDefault="00146CDB" w:rsidP="001B1212">
      <w:pPr>
        <w:pStyle w:val="NormalWeb"/>
        <w:numPr>
          <w:ilvl w:val="1"/>
          <w:numId w:val="4"/>
        </w:numPr>
        <w:shd w:val="clear" w:color="auto" w:fill="FFFFFF"/>
        <w:spacing w:after="240"/>
        <w:ind w:left="1800"/>
        <w:rPr>
          <w:rFonts w:ascii="Calibri" w:hAnsi="Calibri"/>
          <w:color w:val="000000"/>
        </w:rPr>
      </w:pPr>
      <w:r>
        <w:rPr>
          <w:rFonts w:ascii="Calibri" w:hAnsi="Calibri"/>
          <w:color w:val="000000"/>
        </w:rPr>
        <w:t>St. Rose (private)</w:t>
      </w:r>
    </w:p>
    <w:p w14:paraId="4590F531" w14:textId="1DF4FFE3" w:rsidR="001B1212" w:rsidRDefault="00DC4BE7" w:rsidP="001B1212">
      <w:pPr>
        <w:numPr>
          <w:ilvl w:val="0"/>
          <w:numId w:val="2"/>
        </w:numPr>
        <w:spacing w:line="480" w:lineRule="auto"/>
        <w:contextualSpacing/>
        <w:rPr>
          <w:sz w:val="24"/>
          <w:szCs w:val="24"/>
        </w:rPr>
      </w:pPr>
      <w:bookmarkStart w:id="5" w:name="_npcw9strwkcf" w:colFirst="0" w:colLast="0"/>
      <w:bookmarkStart w:id="6" w:name="_GoBack"/>
      <w:bookmarkEnd w:id="5"/>
      <w:r w:rsidRPr="00931858">
        <w:rPr>
          <w:sz w:val="24"/>
          <w:szCs w:val="24"/>
        </w:rPr>
        <w:t>Provide additional Category 2 funds for schools and libraries that suffered damage to their facilities so that they may recover more quickly.</w:t>
      </w:r>
      <w:bookmarkEnd w:id="6"/>
      <w:r w:rsidR="00526090">
        <w:rPr>
          <w:sz w:val="24"/>
          <w:szCs w:val="24"/>
        </w:rPr>
        <w:t xml:space="preserve"> Here is</w:t>
      </w:r>
      <w:r w:rsidR="001B1212">
        <w:rPr>
          <w:sz w:val="24"/>
          <w:szCs w:val="24"/>
        </w:rPr>
        <w:t xml:space="preserve"> a list of known fa</w:t>
      </w:r>
      <w:r w:rsidR="00526090">
        <w:rPr>
          <w:sz w:val="24"/>
          <w:szCs w:val="24"/>
        </w:rPr>
        <w:t>cilities with significant damage</w:t>
      </w:r>
      <w:r w:rsidR="001B1212">
        <w:rPr>
          <w:sz w:val="24"/>
          <w:szCs w:val="24"/>
        </w:rPr>
        <w:t>:</w:t>
      </w:r>
    </w:p>
    <w:p w14:paraId="651B4299" w14:textId="77777777" w:rsidR="001B1212" w:rsidRDefault="001B1212" w:rsidP="001B1212">
      <w:pPr>
        <w:pStyle w:val="NormalWeb"/>
        <w:numPr>
          <w:ilvl w:val="1"/>
          <w:numId w:val="2"/>
        </w:numPr>
        <w:shd w:val="clear" w:color="auto" w:fill="FFFFFF"/>
        <w:rPr>
          <w:rFonts w:ascii="Calibri" w:hAnsi="Calibri"/>
          <w:color w:val="000000"/>
        </w:rPr>
      </w:pPr>
      <w:r>
        <w:rPr>
          <w:rFonts w:ascii="Calibri" w:hAnsi="Calibri"/>
          <w:color w:val="000000"/>
          <w:u w:val="single"/>
        </w:rPr>
        <w:t>Destroyed: </w:t>
      </w:r>
    </w:p>
    <w:p w14:paraId="61D6D3B4" w14:textId="77777777" w:rsidR="001B1212" w:rsidRDefault="001B1212" w:rsidP="001B1212">
      <w:pPr>
        <w:pStyle w:val="NormalWeb"/>
        <w:numPr>
          <w:ilvl w:val="1"/>
          <w:numId w:val="3"/>
        </w:numPr>
        <w:shd w:val="clear" w:color="auto" w:fill="FFFFFF"/>
        <w:ind w:left="1800"/>
        <w:rPr>
          <w:rFonts w:ascii="Calibri" w:hAnsi="Calibri"/>
          <w:color w:val="000000"/>
        </w:rPr>
      </w:pPr>
      <w:r>
        <w:rPr>
          <w:rFonts w:ascii="Calibri" w:hAnsi="Calibri"/>
          <w:color w:val="000000"/>
        </w:rPr>
        <w:t>Hidden Valley Elementary (Satellite campus), Santa Rosa City Schools</w:t>
      </w:r>
    </w:p>
    <w:p w14:paraId="09847E5B" w14:textId="77777777" w:rsidR="001B1212" w:rsidRDefault="001B1212" w:rsidP="001B1212">
      <w:pPr>
        <w:pStyle w:val="NormalWeb"/>
        <w:numPr>
          <w:ilvl w:val="1"/>
          <w:numId w:val="3"/>
        </w:numPr>
        <w:shd w:val="clear" w:color="auto" w:fill="FFFFFF"/>
        <w:ind w:left="1800"/>
        <w:rPr>
          <w:rFonts w:ascii="Calibri" w:hAnsi="Calibri"/>
          <w:color w:val="000000"/>
        </w:rPr>
      </w:pPr>
      <w:proofErr w:type="spellStart"/>
      <w:r>
        <w:rPr>
          <w:rFonts w:ascii="Calibri" w:hAnsi="Calibri"/>
          <w:color w:val="000000"/>
        </w:rPr>
        <w:t>Anova</w:t>
      </w:r>
      <w:proofErr w:type="spellEnd"/>
      <w:r>
        <w:rPr>
          <w:rFonts w:ascii="Calibri" w:hAnsi="Calibri"/>
          <w:color w:val="000000"/>
        </w:rPr>
        <w:t xml:space="preserve"> (private, special education)</w:t>
      </w:r>
    </w:p>
    <w:p w14:paraId="3AF013FE" w14:textId="77777777" w:rsidR="001B1212" w:rsidRPr="00146CDB" w:rsidRDefault="001B1212" w:rsidP="001B1212">
      <w:pPr>
        <w:pStyle w:val="NormalWeb"/>
        <w:numPr>
          <w:ilvl w:val="1"/>
          <w:numId w:val="3"/>
        </w:numPr>
        <w:shd w:val="clear" w:color="auto" w:fill="FFFFFF"/>
        <w:spacing w:after="120"/>
        <w:ind w:left="1800"/>
        <w:rPr>
          <w:rFonts w:ascii="Calibri" w:hAnsi="Calibri"/>
          <w:color w:val="000000"/>
        </w:rPr>
      </w:pPr>
      <w:r>
        <w:rPr>
          <w:rFonts w:ascii="Calibri" w:hAnsi="Calibri"/>
          <w:color w:val="000000"/>
        </w:rPr>
        <w:t>Redwood Adventist (private)</w:t>
      </w:r>
    </w:p>
    <w:p w14:paraId="273BD430" w14:textId="77777777" w:rsidR="001B1212" w:rsidRDefault="001B1212" w:rsidP="001B1212">
      <w:pPr>
        <w:pStyle w:val="NormalWeb"/>
        <w:numPr>
          <w:ilvl w:val="1"/>
          <w:numId w:val="2"/>
        </w:numPr>
        <w:shd w:val="clear" w:color="auto" w:fill="FFFFFF"/>
        <w:rPr>
          <w:rFonts w:ascii="Calibri" w:hAnsi="Calibri"/>
          <w:color w:val="000000"/>
        </w:rPr>
      </w:pPr>
      <w:r>
        <w:rPr>
          <w:rFonts w:ascii="Calibri" w:hAnsi="Calibri"/>
          <w:color w:val="000000"/>
          <w:u w:val="single"/>
        </w:rPr>
        <w:t>Damaged:</w:t>
      </w:r>
    </w:p>
    <w:p w14:paraId="3D47F1E8" w14:textId="77777777" w:rsidR="001B1212" w:rsidRDefault="001B1212" w:rsidP="001B1212">
      <w:pPr>
        <w:pStyle w:val="NormalWeb"/>
        <w:numPr>
          <w:ilvl w:val="1"/>
          <w:numId w:val="4"/>
        </w:numPr>
        <w:shd w:val="clear" w:color="auto" w:fill="FFFFFF"/>
        <w:ind w:left="1800"/>
        <w:rPr>
          <w:rFonts w:ascii="Calibri" w:hAnsi="Calibri"/>
          <w:color w:val="000000"/>
        </w:rPr>
      </w:pPr>
      <w:proofErr w:type="spellStart"/>
      <w:r>
        <w:rPr>
          <w:rFonts w:ascii="Calibri" w:hAnsi="Calibri"/>
          <w:color w:val="000000"/>
        </w:rPr>
        <w:t>Riebli</w:t>
      </w:r>
      <w:proofErr w:type="spellEnd"/>
      <w:r>
        <w:rPr>
          <w:rFonts w:ascii="Calibri" w:hAnsi="Calibri"/>
          <w:color w:val="000000"/>
        </w:rPr>
        <w:t xml:space="preserve"> Elementary, Mark West</w:t>
      </w:r>
    </w:p>
    <w:p w14:paraId="0C181B2A" w14:textId="77777777" w:rsidR="001B1212" w:rsidRDefault="001B1212" w:rsidP="001B1212">
      <w:pPr>
        <w:pStyle w:val="NormalWeb"/>
        <w:numPr>
          <w:ilvl w:val="1"/>
          <w:numId w:val="4"/>
        </w:numPr>
        <w:shd w:val="clear" w:color="auto" w:fill="FFFFFF"/>
        <w:ind w:left="1800"/>
        <w:rPr>
          <w:rFonts w:ascii="Calibri" w:hAnsi="Calibri"/>
          <w:color w:val="000000"/>
        </w:rPr>
      </w:pPr>
      <w:r>
        <w:rPr>
          <w:rFonts w:ascii="Calibri" w:hAnsi="Calibri"/>
          <w:color w:val="000000"/>
        </w:rPr>
        <w:t>Roseland Collegiate Prep (charter)</w:t>
      </w:r>
    </w:p>
    <w:p w14:paraId="13D6D17C" w14:textId="77777777" w:rsidR="001B1212" w:rsidRDefault="001B1212" w:rsidP="001B1212">
      <w:pPr>
        <w:pStyle w:val="NormalWeb"/>
        <w:numPr>
          <w:ilvl w:val="1"/>
          <w:numId w:val="4"/>
        </w:numPr>
        <w:shd w:val="clear" w:color="auto" w:fill="FFFFFF"/>
        <w:ind w:left="1800"/>
        <w:rPr>
          <w:rFonts w:ascii="Calibri" w:hAnsi="Calibri"/>
          <w:color w:val="000000"/>
        </w:rPr>
      </w:pPr>
      <w:r>
        <w:rPr>
          <w:rFonts w:ascii="Calibri" w:hAnsi="Calibri"/>
          <w:color w:val="000000"/>
        </w:rPr>
        <w:t>Cardinal Newman High School (private)</w:t>
      </w:r>
    </w:p>
    <w:p w14:paraId="332F3081" w14:textId="77777777" w:rsidR="001B1212" w:rsidRDefault="001B1212" w:rsidP="001B1212">
      <w:pPr>
        <w:pStyle w:val="NormalWeb"/>
        <w:numPr>
          <w:ilvl w:val="1"/>
          <w:numId w:val="4"/>
        </w:numPr>
        <w:shd w:val="clear" w:color="auto" w:fill="FFFFFF"/>
        <w:spacing w:after="120"/>
        <w:ind w:left="1800"/>
        <w:rPr>
          <w:rFonts w:ascii="Calibri" w:hAnsi="Calibri"/>
          <w:color w:val="000000"/>
        </w:rPr>
      </w:pPr>
      <w:r>
        <w:rPr>
          <w:rFonts w:ascii="Calibri" w:hAnsi="Calibri"/>
          <w:color w:val="000000"/>
        </w:rPr>
        <w:t>St. Rose (private)</w:t>
      </w:r>
    </w:p>
    <w:p w14:paraId="34649004" w14:textId="77777777" w:rsidR="001B1212" w:rsidRDefault="001B1212" w:rsidP="001B1212">
      <w:pPr>
        <w:pStyle w:val="NormalWeb"/>
        <w:numPr>
          <w:ilvl w:val="1"/>
          <w:numId w:val="2"/>
        </w:numPr>
        <w:shd w:val="clear" w:color="auto" w:fill="FFFFFF"/>
        <w:rPr>
          <w:rFonts w:ascii="Calibri" w:hAnsi="Calibri"/>
          <w:color w:val="000000"/>
        </w:rPr>
      </w:pPr>
      <w:r>
        <w:rPr>
          <w:rFonts w:ascii="Calibri" w:hAnsi="Calibri"/>
          <w:color w:val="000000"/>
          <w:u w:val="single"/>
        </w:rPr>
        <w:t>Surrounded (debris issues):</w:t>
      </w:r>
    </w:p>
    <w:p w14:paraId="10F5CA6A" w14:textId="77777777" w:rsidR="001B1212" w:rsidRDefault="001B1212" w:rsidP="001B1212">
      <w:pPr>
        <w:pStyle w:val="NormalWeb"/>
        <w:numPr>
          <w:ilvl w:val="1"/>
          <w:numId w:val="5"/>
        </w:numPr>
        <w:shd w:val="clear" w:color="auto" w:fill="FFFFFF"/>
        <w:ind w:left="1800"/>
        <w:rPr>
          <w:rFonts w:ascii="Calibri" w:hAnsi="Calibri"/>
          <w:color w:val="000000"/>
        </w:rPr>
      </w:pPr>
      <w:r>
        <w:rPr>
          <w:rFonts w:ascii="Calibri" w:hAnsi="Calibri"/>
          <w:color w:val="000000"/>
        </w:rPr>
        <w:t xml:space="preserve">Schaefer Elementary, </w:t>
      </w:r>
      <w:proofErr w:type="spellStart"/>
      <w:r>
        <w:rPr>
          <w:rFonts w:ascii="Calibri" w:hAnsi="Calibri"/>
          <w:color w:val="000000"/>
        </w:rPr>
        <w:t>Piner</w:t>
      </w:r>
      <w:proofErr w:type="spellEnd"/>
      <w:r>
        <w:rPr>
          <w:rFonts w:ascii="Calibri" w:hAnsi="Calibri"/>
          <w:color w:val="000000"/>
        </w:rPr>
        <w:t xml:space="preserve"> Olivet</w:t>
      </w:r>
    </w:p>
    <w:p w14:paraId="4062F9A2" w14:textId="77777777" w:rsidR="001B1212" w:rsidRDefault="001B1212" w:rsidP="001B1212">
      <w:pPr>
        <w:pStyle w:val="NormalWeb"/>
        <w:numPr>
          <w:ilvl w:val="1"/>
          <w:numId w:val="5"/>
        </w:numPr>
        <w:shd w:val="clear" w:color="auto" w:fill="FFFFFF"/>
        <w:ind w:left="1800"/>
        <w:rPr>
          <w:rFonts w:ascii="Calibri" w:hAnsi="Calibri"/>
          <w:color w:val="000000"/>
        </w:rPr>
      </w:pPr>
      <w:r>
        <w:rPr>
          <w:rFonts w:ascii="Calibri" w:hAnsi="Calibri"/>
          <w:color w:val="000000"/>
        </w:rPr>
        <w:t>Hidden Valley Elementary (main campus), Santa Rosa City Schools</w:t>
      </w:r>
    </w:p>
    <w:p w14:paraId="300F8D60" w14:textId="77777777" w:rsidR="001B1212" w:rsidRDefault="001B1212" w:rsidP="001B1212">
      <w:pPr>
        <w:pStyle w:val="NormalWeb"/>
        <w:numPr>
          <w:ilvl w:val="1"/>
          <w:numId w:val="5"/>
        </w:numPr>
        <w:shd w:val="clear" w:color="auto" w:fill="FFFFFF"/>
        <w:ind w:left="1800"/>
        <w:rPr>
          <w:rFonts w:ascii="Calibri" w:hAnsi="Calibri"/>
          <w:color w:val="000000"/>
        </w:rPr>
      </w:pPr>
      <w:r>
        <w:rPr>
          <w:rFonts w:ascii="Calibri" w:hAnsi="Calibri"/>
          <w:color w:val="000000"/>
        </w:rPr>
        <w:t>Rincon Valley Middle, Santa Rosa City Schools</w:t>
      </w:r>
    </w:p>
    <w:p w14:paraId="5FAF6754" w14:textId="77777777" w:rsidR="001B1212" w:rsidRDefault="001B1212" w:rsidP="001B1212">
      <w:pPr>
        <w:pStyle w:val="NormalWeb"/>
        <w:numPr>
          <w:ilvl w:val="1"/>
          <w:numId w:val="5"/>
        </w:numPr>
        <w:shd w:val="clear" w:color="auto" w:fill="FFFFFF"/>
        <w:ind w:left="1800"/>
        <w:rPr>
          <w:rFonts w:ascii="Calibri" w:hAnsi="Calibri"/>
          <w:color w:val="000000"/>
        </w:rPr>
      </w:pPr>
      <w:r>
        <w:rPr>
          <w:rFonts w:ascii="Calibri" w:hAnsi="Calibri"/>
          <w:color w:val="000000"/>
        </w:rPr>
        <w:t>Dunbar Elementary, Sonoma Valley Unified</w:t>
      </w:r>
    </w:p>
    <w:p w14:paraId="671BD7FB" w14:textId="77777777" w:rsidR="001B1212" w:rsidRDefault="001B1212" w:rsidP="001B1212">
      <w:pPr>
        <w:pStyle w:val="NormalWeb"/>
        <w:numPr>
          <w:ilvl w:val="1"/>
          <w:numId w:val="5"/>
        </w:numPr>
        <w:shd w:val="clear" w:color="auto" w:fill="FFFFFF"/>
        <w:ind w:left="1800"/>
        <w:rPr>
          <w:rFonts w:ascii="Calibri" w:hAnsi="Calibri"/>
        </w:rPr>
      </w:pPr>
      <w:r>
        <w:rPr>
          <w:rFonts w:ascii="Calibri" w:hAnsi="Calibri"/>
          <w:color w:val="000000"/>
        </w:rPr>
        <w:t>Rincon Valley Christian (private)</w:t>
      </w:r>
    </w:p>
    <w:p w14:paraId="25687BC9" w14:textId="77777777" w:rsidR="00F63D0F" w:rsidRDefault="00F63D0F">
      <w:pPr>
        <w:rPr>
          <w:b/>
          <w:sz w:val="24"/>
          <w:szCs w:val="24"/>
        </w:rPr>
      </w:pPr>
      <w:r>
        <w:rPr>
          <w:b/>
          <w:sz w:val="24"/>
          <w:szCs w:val="24"/>
        </w:rPr>
        <w:br w:type="page"/>
      </w:r>
    </w:p>
    <w:p w14:paraId="12981837" w14:textId="3BCDF9E6" w:rsidR="00DC2B15" w:rsidRDefault="00526090" w:rsidP="001B1212">
      <w:pPr>
        <w:spacing w:line="480" w:lineRule="auto"/>
        <w:contextualSpacing/>
        <w:rPr>
          <w:b/>
          <w:sz w:val="24"/>
          <w:szCs w:val="24"/>
        </w:rPr>
      </w:pPr>
      <w:r>
        <w:rPr>
          <w:b/>
          <w:sz w:val="24"/>
          <w:szCs w:val="24"/>
        </w:rPr>
        <w:lastRenderedPageBreak/>
        <w:t>Visual Evidence of Damage</w:t>
      </w:r>
    </w:p>
    <w:p w14:paraId="4B18114D" w14:textId="755CA5DD" w:rsidR="001B1212" w:rsidRPr="001B1212" w:rsidRDefault="001B1212" w:rsidP="001B1212">
      <w:pPr>
        <w:spacing w:after="120"/>
        <w:rPr>
          <w:sz w:val="24"/>
          <w:szCs w:val="24"/>
        </w:rPr>
      </w:pPr>
      <w:proofErr w:type="spellStart"/>
      <w:r w:rsidRPr="001B1212">
        <w:rPr>
          <w:sz w:val="24"/>
          <w:szCs w:val="24"/>
        </w:rPr>
        <w:t>Exibit</w:t>
      </w:r>
      <w:proofErr w:type="spellEnd"/>
      <w:r w:rsidRPr="001B1212">
        <w:rPr>
          <w:sz w:val="24"/>
          <w:szCs w:val="24"/>
        </w:rPr>
        <w:t xml:space="preserve"> 1: School in Santa Rosa, CA</w:t>
      </w:r>
    </w:p>
    <w:p w14:paraId="6FE5C15B" w14:textId="77777777" w:rsidR="00DC2B15" w:rsidRPr="00931858" w:rsidRDefault="00DC4BE7" w:rsidP="001B1212">
      <w:pPr>
        <w:spacing w:line="480" w:lineRule="auto"/>
        <w:ind w:left="900"/>
        <w:rPr>
          <w:sz w:val="24"/>
          <w:szCs w:val="24"/>
        </w:rPr>
      </w:pPr>
      <w:bookmarkStart w:id="7" w:name="_q1qj23z8w1cg" w:colFirst="0" w:colLast="0"/>
      <w:bookmarkEnd w:id="7"/>
      <w:r w:rsidRPr="00931858">
        <w:rPr>
          <w:noProof/>
          <w:sz w:val="24"/>
          <w:szCs w:val="24"/>
        </w:rPr>
        <w:drawing>
          <wp:inline distT="114300" distB="114300" distL="114300" distR="114300" wp14:anchorId="00C25853" wp14:editId="392B2857">
            <wp:extent cx="5391150" cy="3676650"/>
            <wp:effectExtent l="0" t="0" r="0" b="0"/>
            <wp:docPr id="1" name="image2.jpg" descr="Santa Rosa School.jpg"/>
            <wp:cNvGraphicFramePr/>
            <a:graphic xmlns:a="http://schemas.openxmlformats.org/drawingml/2006/main">
              <a:graphicData uri="http://schemas.openxmlformats.org/drawingml/2006/picture">
                <pic:pic xmlns:pic="http://schemas.openxmlformats.org/drawingml/2006/picture">
                  <pic:nvPicPr>
                    <pic:cNvPr id="0" name="image2.jpg" descr="Santa Rosa School.jpg"/>
                    <pic:cNvPicPr preferRelativeResize="0"/>
                  </pic:nvPicPr>
                  <pic:blipFill>
                    <a:blip r:embed="rId9"/>
                    <a:srcRect/>
                    <a:stretch>
                      <a:fillRect/>
                    </a:stretch>
                  </pic:blipFill>
                  <pic:spPr>
                    <a:xfrm>
                      <a:off x="0" y="0"/>
                      <a:ext cx="5391150" cy="3676650"/>
                    </a:xfrm>
                    <a:prstGeom prst="rect">
                      <a:avLst/>
                    </a:prstGeom>
                    <a:ln/>
                  </pic:spPr>
                </pic:pic>
              </a:graphicData>
            </a:graphic>
          </wp:inline>
        </w:drawing>
      </w:r>
    </w:p>
    <w:p w14:paraId="55B181E3" w14:textId="77777777" w:rsidR="001B1212" w:rsidRDefault="001B1212" w:rsidP="001B1212">
      <w:pPr>
        <w:spacing w:after="120"/>
        <w:rPr>
          <w:sz w:val="24"/>
          <w:szCs w:val="24"/>
        </w:rPr>
      </w:pPr>
      <w:bookmarkStart w:id="8" w:name="_5w2pz6soo28v" w:colFirst="0" w:colLast="0"/>
      <w:bookmarkStart w:id="9" w:name="_gimynr1b591x" w:colFirst="0" w:colLast="0"/>
      <w:bookmarkEnd w:id="8"/>
      <w:bookmarkEnd w:id="9"/>
      <w:proofErr w:type="spellStart"/>
      <w:r w:rsidRPr="001B1212">
        <w:rPr>
          <w:sz w:val="24"/>
          <w:szCs w:val="24"/>
        </w:rPr>
        <w:t>Exibit</w:t>
      </w:r>
      <w:proofErr w:type="spellEnd"/>
      <w:r w:rsidRPr="001B1212">
        <w:rPr>
          <w:sz w:val="24"/>
          <w:szCs w:val="24"/>
        </w:rPr>
        <w:t xml:space="preserve"> </w:t>
      </w:r>
      <w:r>
        <w:rPr>
          <w:sz w:val="24"/>
          <w:szCs w:val="24"/>
        </w:rPr>
        <w:t>2</w:t>
      </w:r>
      <w:r w:rsidRPr="001B1212">
        <w:rPr>
          <w:sz w:val="24"/>
          <w:szCs w:val="24"/>
        </w:rPr>
        <w:t xml:space="preserve">: </w:t>
      </w:r>
      <w:r w:rsidRPr="00931858">
        <w:rPr>
          <w:sz w:val="24"/>
          <w:szCs w:val="24"/>
        </w:rPr>
        <w:t>Neighborhood in Santa Rosa, CA</w:t>
      </w:r>
    </w:p>
    <w:p w14:paraId="604AEDEF" w14:textId="15D0C6B2" w:rsidR="00DC2B15" w:rsidRDefault="00DC4BE7" w:rsidP="001B1212">
      <w:pPr>
        <w:spacing w:after="120"/>
        <w:ind w:left="900"/>
        <w:rPr>
          <w:sz w:val="24"/>
          <w:szCs w:val="24"/>
        </w:rPr>
      </w:pPr>
      <w:r w:rsidRPr="00931858">
        <w:rPr>
          <w:noProof/>
          <w:sz w:val="24"/>
          <w:szCs w:val="24"/>
        </w:rPr>
        <w:drawing>
          <wp:inline distT="114300" distB="114300" distL="114300" distR="114300" wp14:anchorId="694CE991" wp14:editId="46A943DB">
            <wp:extent cx="5157216" cy="2832061"/>
            <wp:effectExtent l="0" t="0" r="0" b="0"/>
            <wp:docPr id="3" name="image7.jpg" descr="Santa Rose 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jpg" descr="Santa Rose CA.jpg"/>
                    <pic:cNvPicPr preferRelativeResize="0"/>
                  </pic:nvPicPr>
                  <pic:blipFill>
                    <a:blip r:embed="rId10"/>
                    <a:srcRect/>
                    <a:stretch>
                      <a:fillRect/>
                    </a:stretch>
                  </pic:blipFill>
                  <pic:spPr>
                    <a:xfrm>
                      <a:off x="0" y="0"/>
                      <a:ext cx="5157216" cy="2832061"/>
                    </a:xfrm>
                    <a:prstGeom prst="rect">
                      <a:avLst/>
                    </a:prstGeom>
                    <a:ln/>
                  </pic:spPr>
                </pic:pic>
              </a:graphicData>
            </a:graphic>
          </wp:inline>
        </w:drawing>
      </w:r>
    </w:p>
    <w:p w14:paraId="0B3F5B3B" w14:textId="77777777" w:rsidR="001B1212" w:rsidRDefault="001B1212" w:rsidP="001B1212">
      <w:pPr>
        <w:spacing w:after="120"/>
        <w:rPr>
          <w:sz w:val="24"/>
          <w:szCs w:val="24"/>
        </w:rPr>
      </w:pPr>
    </w:p>
    <w:p w14:paraId="0630E8AD" w14:textId="31A66CE8" w:rsidR="001B1212" w:rsidRPr="00931858" w:rsidRDefault="001B1212" w:rsidP="001B1212">
      <w:pPr>
        <w:spacing w:after="120"/>
        <w:rPr>
          <w:sz w:val="24"/>
          <w:szCs w:val="24"/>
        </w:rPr>
      </w:pPr>
      <w:proofErr w:type="spellStart"/>
      <w:r w:rsidRPr="001B1212">
        <w:rPr>
          <w:sz w:val="24"/>
          <w:szCs w:val="24"/>
        </w:rPr>
        <w:lastRenderedPageBreak/>
        <w:t>Exibit</w:t>
      </w:r>
      <w:proofErr w:type="spellEnd"/>
      <w:r w:rsidRPr="001B1212">
        <w:rPr>
          <w:sz w:val="24"/>
          <w:szCs w:val="24"/>
        </w:rPr>
        <w:t xml:space="preserve"> </w:t>
      </w:r>
      <w:r>
        <w:rPr>
          <w:sz w:val="24"/>
          <w:szCs w:val="24"/>
        </w:rPr>
        <w:t>3</w:t>
      </w:r>
      <w:r w:rsidRPr="001B1212">
        <w:rPr>
          <w:sz w:val="24"/>
          <w:szCs w:val="24"/>
        </w:rPr>
        <w:t xml:space="preserve">: </w:t>
      </w:r>
      <w:r w:rsidRPr="00931858">
        <w:rPr>
          <w:sz w:val="24"/>
          <w:szCs w:val="24"/>
          <w:highlight w:val="white"/>
        </w:rPr>
        <w:t>Heavy smoke on Hwy 299 between Helena and Junction</w:t>
      </w:r>
      <w:r>
        <w:rPr>
          <w:sz w:val="24"/>
          <w:szCs w:val="24"/>
        </w:rPr>
        <w:t xml:space="preserve"> City</w:t>
      </w:r>
    </w:p>
    <w:p w14:paraId="5E34ED76" w14:textId="77777777" w:rsidR="00DC2B15" w:rsidRPr="00931858" w:rsidRDefault="00DC4BE7" w:rsidP="001B1212">
      <w:pPr>
        <w:spacing w:line="480" w:lineRule="auto"/>
        <w:ind w:left="900"/>
        <w:rPr>
          <w:sz w:val="24"/>
          <w:szCs w:val="24"/>
          <w:highlight w:val="white"/>
        </w:rPr>
      </w:pPr>
      <w:bookmarkStart w:id="10" w:name="_8yljktrpjwuj" w:colFirst="0" w:colLast="0"/>
      <w:bookmarkStart w:id="11" w:name="_bbkgj3timilx" w:colFirst="0" w:colLast="0"/>
      <w:bookmarkStart w:id="12" w:name="_2aaorxuglmyl" w:colFirst="0" w:colLast="0"/>
      <w:bookmarkStart w:id="13" w:name="_lo3qnajqv7g1" w:colFirst="0" w:colLast="0"/>
      <w:bookmarkEnd w:id="10"/>
      <w:bookmarkEnd w:id="11"/>
      <w:bookmarkEnd w:id="12"/>
      <w:bookmarkEnd w:id="13"/>
      <w:r w:rsidRPr="00931858">
        <w:rPr>
          <w:noProof/>
          <w:sz w:val="24"/>
          <w:szCs w:val="24"/>
          <w:highlight w:val="white"/>
        </w:rPr>
        <w:drawing>
          <wp:inline distT="114300" distB="114300" distL="114300" distR="114300" wp14:anchorId="7816A53C" wp14:editId="565B19ED">
            <wp:extent cx="5537835" cy="4066540"/>
            <wp:effectExtent l="0" t="0" r="0" b="0"/>
            <wp:docPr id="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1"/>
                    <a:srcRect/>
                    <a:stretch>
                      <a:fillRect/>
                    </a:stretch>
                  </pic:blipFill>
                  <pic:spPr>
                    <a:xfrm>
                      <a:off x="0" y="0"/>
                      <a:ext cx="5537835" cy="4066540"/>
                    </a:xfrm>
                    <a:prstGeom prst="rect">
                      <a:avLst/>
                    </a:prstGeom>
                    <a:ln/>
                  </pic:spPr>
                </pic:pic>
              </a:graphicData>
            </a:graphic>
          </wp:inline>
        </w:drawing>
      </w:r>
    </w:p>
    <w:p w14:paraId="2F86AC1F" w14:textId="58ACD254" w:rsidR="00DC2B15" w:rsidRDefault="00DC2B15">
      <w:pPr>
        <w:spacing w:line="480" w:lineRule="auto"/>
        <w:rPr>
          <w:sz w:val="24"/>
          <w:szCs w:val="24"/>
          <w:highlight w:val="white"/>
        </w:rPr>
      </w:pPr>
      <w:bookmarkStart w:id="14" w:name="_1fob9te" w:colFirst="0" w:colLast="0"/>
      <w:bookmarkEnd w:id="14"/>
    </w:p>
    <w:p w14:paraId="73B022FE" w14:textId="77777777" w:rsidR="002D0760" w:rsidRDefault="002D0760" w:rsidP="002D0760">
      <w:pPr>
        <w:rPr>
          <w:sz w:val="24"/>
          <w:szCs w:val="24"/>
          <w:highlight w:val="white"/>
        </w:rPr>
      </w:pPr>
      <w:r>
        <w:rPr>
          <w:sz w:val="24"/>
          <w:szCs w:val="24"/>
          <w:highlight w:val="white"/>
        </w:rPr>
        <w:t>Submitted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2D0760" w14:paraId="49B10004" w14:textId="77777777" w:rsidTr="002D0760">
        <w:tc>
          <w:tcPr>
            <w:tcW w:w="4675" w:type="dxa"/>
          </w:tcPr>
          <w:p w14:paraId="59F8DCEB" w14:textId="77777777" w:rsidR="002D0760" w:rsidRDefault="002D0760" w:rsidP="002D0760">
            <w:pPr>
              <w:rPr>
                <w:sz w:val="24"/>
                <w:szCs w:val="24"/>
                <w:highlight w:val="white"/>
              </w:rPr>
            </w:pPr>
          </w:p>
          <w:p w14:paraId="5E0B6AF3" w14:textId="77777777" w:rsidR="002D0760" w:rsidRDefault="002D0760" w:rsidP="002D0760">
            <w:pPr>
              <w:rPr>
                <w:sz w:val="24"/>
                <w:szCs w:val="24"/>
                <w:highlight w:val="white"/>
              </w:rPr>
            </w:pPr>
            <w:r>
              <w:rPr>
                <w:sz w:val="24"/>
                <w:szCs w:val="24"/>
                <w:highlight w:val="white"/>
              </w:rPr>
              <w:t>Keith Smith</w:t>
            </w:r>
          </w:p>
          <w:p w14:paraId="7712CEA8" w14:textId="77777777" w:rsidR="002D0760" w:rsidRDefault="002D0760" w:rsidP="002D0760">
            <w:pPr>
              <w:rPr>
                <w:sz w:val="24"/>
                <w:szCs w:val="24"/>
                <w:highlight w:val="white"/>
              </w:rPr>
            </w:pPr>
            <w:r>
              <w:rPr>
                <w:sz w:val="24"/>
                <w:szCs w:val="24"/>
                <w:highlight w:val="white"/>
              </w:rPr>
              <w:t>California State E-Rate Coordinator</w:t>
            </w:r>
          </w:p>
          <w:p w14:paraId="278EEFD4" w14:textId="77777777" w:rsidR="002D0760" w:rsidRDefault="002D0760" w:rsidP="002D0760">
            <w:pPr>
              <w:rPr>
                <w:sz w:val="24"/>
                <w:szCs w:val="24"/>
                <w:highlight w:val="white"/>
              </w:rPr>
            </w:pPr>
            <w:r>
              <w:rPr>
                <w:sz w:val="24"/>
                <w:szCs w:val="24"/>
                <w:highlight w:val="white"/>
              </w:rPr>
              <w:t>California Department of Education</w:t>
            </w:r>
          </w:p>
          <w:p w14:paraId="319367F7" w14:textId="77777777" w:rsidR="002D0760" w:rsidRDefault="00497493" w:rsidP="002D0760">
            <w:pPr>
              <w:rPr>
                <w:sz w:val="24"/>
                <w:szCs w:val="24"/>
                <w:highlight w:val="white"/>
              </w:rPr>
            </w:pPr>
            <w:hyperlink r:id="rId12" w:history="1">
              <w:r w:rsidR="002D0760" w:rsidRPr="00075BAC">
                <w:rPr>
                  <w:rStyle w:val="Hyperlink"/>
                  <w:sz w:val="24"/>
                  <w:szCs w:val="24"/>
                  <w:highlight w:val="white"/>
                </w:rPr>
                <w:t>Kpsmith@cde.ca.gov</w:t>
              </w:r>
            </w:hyperlink>
          </w:p>
          <w:p w14:paraId="7371DEB6" w14:textId="7ABE0741" w:rsidR="002D0760" w:rsidRDefault="002D0760" w:rsidP="002D0760">
            <w:pPr>
              <w:rPr>
                <w:sz w:val="24"/>
                <w:szCs w:val="24"/>
                <w:highlight w:val="white"/>
              </w:rPr>
            </w:pPr>
            <w:r>
              <w:rPr>
                <w:sz w:val="24"/>
                <w:szCs w:val="24"/>
                <w:highlight w:val="white"/>
              </w:rPr>
              <w:t>916-319-0317</w:t>
            </w:r>
          </w:p>
        </w:tc>
        <w:tc>
          <w:tcPr>
            <w:tcW w:w="4675" w:type="dxa"/>
          </w:tcPr>
          <w:p w14:paraId="3B401364" w14:textId="77777777" w:rsidR="002D0760" w:rsidRDefault="002D0760" w:rsidP="002D0760">
            <w:pPr>
              <w:pBdr>
                <w:top w:val="none" w:sz="0" w:space="0" w:color="auto"/>
                <w:left w:val="none" w:sz="0" w:space="0" w:color="auto"/>
                <w:bottom w:val="none" w:sz="0" w:space="0" w:color="auto"/>
                <w:right w:val="none" w:sz="0" w:space="0" w:color="auto"/>
                <w:between w:val="none" w:sz="0" w:space="0" w:color="auto"/>
              </w:pBdr>
              <w:rPr>
                <w:sz w:val="24"/>
                <w:szCs w:val="24"/>
                <w:highlight w:val="white"/>
              </w:rPr>
            </w:pPr>
          </w:p>
          <w:p w14:paraId="6729322F" w14:textId="77777777" w:rsidR="002D0760" w:rsidRDefault="002D0760" w:rsidP="002D0760">
            <w:pPr>
              <w:pBdr>
                <w:top w:val="none" w:sz="0" w:space="0" w:color="auto"/>
                <w:left w:val="none" w:sz="0" w:space="0" w:color="auto"/>
                <w:bottom w:val="none" w:sz="0" w:space="0" w:color="auto"/>
                <w:right w:val="none" w:sz="0" w:space="0" w:color="auto"/>
                <w:between w:val="none" w:sz="0" w:space="0" w:color="auto"/>
              </w:pBdr>
              <w:rPr>
                <w:sz w:val="24"/>
                <w:szCs w:val="24"/>
                <w:highlight w:val="white"/>
              </w:rPr>
            </w:pPr>
            <w:r>
              <w:rPr>
                <w:sz w:val="24"/>
                <w:szCs w:val="24"/>
                <w:highlight w:val="white"/>
              </w:rPr>
              <w:t>Rachel White</w:t>
            </w:r>
          </w:p>
          <w:p w14:paraId="13B7A9E9" w14:textId="77777777" w:rsidR="002D0760" w:rsidRDefault="002D0760" w:rsidP="002D0760">
            <w:pPr>
              <w:rPr>
                <w:sz w:val="24"/>
                <w:szCs w:val="24"/>
                <w:highlight w:val="white"/>
              </w:rPr>
            </w:pPr>
            <w:r>
              <w:rPr>
                <w:sz w:val="24"/>
                <w:szCs w:val="24"/>
                <w:highlight w:val="white"/>
              </w:rPr>
              <w:t>California State E-Rate Coordinator</w:t>
            </w:r>
          </w:p>
          <w:p w14:paraId="41831718" w14:textId="7BFBA6DC" w:rsidR="002D0760" w:rsidRDefault="002D0760" w:rsidP="002D0760">
            <w:pPr>
              <w:pBdr>
                <w:top w:val="none" w:sz="0" w:space="0" w:color="auto"/>
                <w:left w:val="none" w:sz="0" w:space="0" w:color="auto"/>
                <w:bottom w:val="none" w:sz="0" w:space="0" w:color="auto"/>
                <w:right w:val="none" w:sz="0" w:space="0" w:color="auto"/>
                <w:between w:val="none" w:sz="0" w:space="0" w:color="auto"/>
              </w:pBdr>
              <w:rPr>
                <w:sz w:val="24"/>
                <w:szCs w:val="24"/>
                <w:highlight w:val="white"/>
              </w:rPr>
            </w:pPr>
            <w:hyperlink r:id="rId13" w:history="1">
              <w:r w:rsidRPr="00075BAC">
                <w:rPr>
                  <w:rStyle w:val="Hyperlink"/>
                  <w:sz w:val="24"/>
                  <w:szCs w:val="24"/>
                  <w:highlight w:val="white"/>
                </w:rPr>
                <w:t>rwhite@bcoe.org</w:t>
              </w:r>
            </w:hyperlink>
          </w:p>
          <w:p w14:paraId="7279E772" w14:textId="003D4D3F" w:rsidR="002D0760" w:rsidRDefault="002D0760" w:rsidP="002D0760">
            <w:pPr>
              <w:pBdr>
                <w:top w:val="none" w:sz="0" w:space="0" w:color="auto"/>
                <w:left w:val="none" w:sz="0" w:space="0" w:color="auto"/>
                <w:bottom w:val="none" w:sz="0" w:space="0" w:color="auto"/>
                <w:right w:val="none" w:sz="0" w:space="0" w:color="auto"/>
                <w:between w:val="none" w:sz="0" w:space="0" w:color="auto"/>
              </w:pBdr>
              <w:rPr>
                <w:sz w:val="24"/>
                <w:szCs w:val="24"/>
                <w:highlight w:val="white"/>
              </w:rPr>
            </w:pPr>
            <w:r>
              <w:rPr>
                <w:sz w:val="24"/>
                <w:szCs w:val="24"/>
                <w:highlight w:val="white"/>
              </w:rPr>
              <w:t>530-532-5678</w:t>
            </w:r>
          </w:p>
        </w:tc>
      </w:tr>
    </w:tbl>
    <w:p w14:paraId="4E848FA7" w14:textId="5D19C444" w:rsidR="002D0760" w:rsidRDefault="002D0760" w:rsidP="002D0760">
      <w:pPr>
        <w:rPr>
          <w:sz w:val="24"/>
          <w:szCs w:val="24"/>
          <w:highlight w:val="white"/>
        </w:rPr>
      </w:pPr>
    </w:p>
    <w:p w14:paraId="785A8E09" w14:textId="4AC91F29" w:rsidR="002D0760" w:rsidRPr="00931858" w:rsidRDefault="002D0760" w:rsidP="002D0760">
      <w:pPr>
        <w:rPr>
          <w:sz w:val="24"/>
          <w:szCs w:val="24"/>
          <w:highlight w:val="white"/>
        </w:rPr>
      </w:pPr>
    </w:p>
    <w:sectPr w:rsidR="002D0760" w:rsidRPr="00931858">
      <w:footerReference w:type="default" r:id="rId14"/>
      <w:pgSz w:w="12240" w:h="15840"/>
      <w:pgMar w:top="1440" w:right="1440" w:bottom="1440" w:left="1440" w:header="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670B23" w16cid:durableId="1DA5A0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926FB" w14:textId="77777777" w:rsidR="00497493" w:rsidRDefault="00497493">
      <w:r>
        <w:separator/>
      </w:r>
    </w:p>
  </w:endnote>
  <w:endnote w:type="continuationSeparator" w:id="0">
    <w:p w14:paraId="40B1358B" w14:textId="77777777" w:rsidR="00497493" w:rsidRDefault="00497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D666E" w14:textId="111C1012" w:rsidR="00DC2B15" w:rsidRDefault="00DC4BE7">
    <w:pPr>
      <w:pBdr>
        <w:top w:val="single" w:sz="4" w:space="1" w:color="D9D9D9"/>
      </w:pBdr>
      <w:tabs>
        <w:tab w:val="center" w:pos="4680"/>
        <w:tab w:val="right" w:pos="9360"/>
      </w:tabs>
      <w:rPr>
        <w:color w:val="7F7F7F"/>
      </w:rPr>
    </w:pPr>
    <w:r>
      <w:fldChar w:fldCharType="begin"/>
    </w:r>
    <w:r>
      <w:instrText>PAGE</w:instrText>
    </w:r>
    <w:r>
      <w:fldChar w:fldCharType="separate"/>
    </w:r>
    <w:r w:rsidR="00091DD5">
      <w:rPr>
        <w:noProof/>
      </w:rPr>
      <w:t>1</w:t>
    </w:r>
    <w:r>
      <w:fldChar w:fldCharType="end"/>
    </w:r>
    <w:r>
      <w:rPr>
        <w:b/>
      </w:rPr>
      <w:t xml:space="preserve"> | </w:t>
    </w:r>
    <w:r>
      <w:rPr>
        <w:color w:val="7F7F7F"/>
      </w:rPr>
      <w:t>Page</w:t>
    </w:r>
    <w:r>
      <w:rPr>
        <w:noProof/>
      </w:rPr>
      <mc:AlternateContent>
        <mc:Choice Requires="wps">
          <w:drawing>
            <wp:anchor distT="0" distB="0" distL="114300" distR="114300" simplePos="0" relativeHeight="251658240" behindDoc="0" locked="0" layoutInCell="1" hidden="0" allowOverlap="1" wp14:anchorId="66B6A7B5" wp14:editId="084CC7AA">
              <wp:simplePos x="0" y="0"/>
              <wp:positionH relativeFrom="margin">
                <wp:posOffset>1473200</wp:posOffset>
              </wp:positionH>
              <wp:positionV relativeFrom="paragraph">
                <wp:posOffset>-38099</wp:posOffset>
              </wp:positionV>
              <wp:extent cx="4660900" cy="370214"/>
              <wp:effectExtent l="0" t="0" r="0" b="0"/>
              <wp:wrapNone/>
              <wp:docPr id="6" name="Rectangle 6"/>
              <wp:cNvGraphicFramePr/>
              <a:graphic xmlns:a="http://schemas.openxmlformats.org/drawingml/2006/main">
                <a:graphicData uri="http://schemas.microsoft.com/office/word/2010/wordprocessingShape">
                  <wps:wsp>
                    <wps:cNvSpPr/>
                    <wps:spPr>
                      <a:xfrm>
                        <a:off x="3015550" y="3630775"/>
                        <a:ext cx="4660900" cy="298450"/>
                      </a:xfrm>
                      <a:prstGeom prst="rect">
                        <a:avLst/>
                      </a:prstGeom>
                      <a:solidFill>
                        <a:schemeClr val="lt1"/>
                      </a:solidFill>
                      <a:ln>
                        <a:noFill/>
                      </a:ln>
                    </wps:spPr>
                    <wps:txbx>
                      <w:txbxContent>
                        <w:p w14:paraId="65F1E386" w14:textId="77777777" w:rsidR="00DC2B15" w:rsidRDefault="00DC4BE7">
                          <w:pPr>
                            <w:jc w:val="right"/>
                            <w:textDirection w:val="btLr"/>
                          </w:pPr>
                          <w:r>
                            <w:rPr>
                              <w:sz w:val="20"/>
                            </w:rPr>
                            <w:t>California Department of Education</w:t>
                          </w:r>
                        </w:p>
                        <w:p w14:paraId="0BB275A2" w14:textId="77777777" w:rsidR="00DC2B15" w:rsidRDefault="00DC2B15">
                          <w:pPr>
                            <w:textDirection w:val="btLr"/>
                          </w:pPr>
                        </w:p>
                      </w:txbxContent>
                    </wps:txbx>
                    <wps:bodyPr wrap="square" lIns="91425" tIns="45700" rIns="91425" bIns="45700" anchor="t" anchorCtr="0"/>
                  </wps:wsp>
                </a:graphicData>
              </a:graphic>
            </wp:anchor>
          </w:drawing>
        </mc:Choice>
        <mc:Fallback xmlns:w15="http://schemas.microsoft.com/office/word/2012/wordml">
          <w:pict>
            <v:rect w14:anchorId="66B6A7B5" id="Rectangle 6" o:spid="_x0000_s1026" style="position:absolute;margin-left:116pt;margin-top:-3pt;width:367pt;height:29.1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" fillcolor="white [3201]" stroked="f">
              <v:textbox inset="2.53958mm,1.2694mm,2.53958mm,1.2694mm">
                <w:txbxContent>
                  <w:p w14:paraId="65F1E386" w14:textId="77777777" w:rsidR="00DC2B15" w:rsidRDefault="00DC4BE7">
                    <w:pPr>
                      <w:jc w:val="right"/>
                      <w:textDirection w:val="btLr"/>
                    </w:pPr>
                    <w:r>
                      <w:rPr>
                        <w:sz w:val="20"/>
                      </w:rPr>
                      <w:t>California Department of Education</w:t>
                    </w:r>
                  </w:p>
                  <w:p w14:paraId="0BB275A2" w14:textId="77777777" w:rsidR="00DC2B15" w:rsidRDefault="00DC2B15">
                    <w:pPr>
                      <w:textDirection w:val="btLr"/>
                    </w:pPr>
                  </w:p>
                </w:txbxContent>
              </v:textbox>
              <w10:wrap anchorx="margin"/>
            </v:rect>
          </w:pict>
        </mc:Fallback>
      </mc:AlternateContent>
    </w:r>
  </w:p>
  <w:p w14:paraId="4DDF81C5" w14:textId="77777777" w:rsidR="00DC2B15" w:rsidRDefault="00DC2B15">
    <w:pPr>
      <w:tabs>
        <w:tab w:val="center" w:pos="4680"/>
        <w:tab w:val="right" w:pos="9360"/>
      </w:tabs>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B9825" w14:textId="77777777" w:rsidR="00497493" w:rsidRDefault="00497493">
      <w:r>
        <w:separator/>
      </w:r>
    </w:p>
  </w:footnote>
  <w:footnote w:type="continuationSeparator" w:id="0">
    <w:p w14:paraId="2867B278" w14:textId="77777777" w:rsidR="00497493" w:rsidRDefault="00497493">
      <w:r>
        <w:continuationSeparator/>
      </w:r>
    </w:p>
  </w:footnote>
  <w:footnote w:id="1">
    <w:p w14:paraId="0494705F" w14:textId="77777777" w:rsidR="00DC2B15" w:rsidRDefault="00DC4BE7">
      <w:pPr>
        <w:rPr>
          <w:sz w:val="20"/>
          <w:szCs w:val="20"/>
        </w:rPr>
      </w:pPr>
      <w:r>
        <w:rPr>
          <w:vertAlign w:val="superscript"/>
        </w:rPr>
        <w:footnoteRef/>
      </w:r>
      <w:r>
        <w:rPr>
          <w:sz w:val="20"/>
          <w:szCs w:val="20"/>
        </w:rPr>
        <w:t xml:space="preserve"> http://cdfdata.fire.ca.gov/incidents/incidents_stats?year=2017</w:t>
      </w:r>
    </w:p>
  </w:footnote>
  <w:footnote w:id="2">
    <w:p w14:paraId="4DA7950C" w14:textId="77777777" w:rsidR="00DC2B15" w:rsidRDefault="00DC4BE7">
      <w:pPr>
        <w:rPr>
          <w:sz w:val="20"/>
          <w:szCs w:val="20"/>
        </w:rPr>
      </w:pPr>
      <w:r>
        <w:rPr>
          <w:vertAlign w:val="superscript"/>
        </w:rPr>
        <w:footnoteRef/>
      </w:r>
      <w:r>
        <w:rPr>
          <w:sz w:val="20"/>
          <w:szCs w:val="20"/>
        </w:rPr>
        <w:t xml:space="preserve"> See in general </w:t>
      </w:r>
      <w:hyperlink r:id="rId1">
        <w:r>
          <w:rPr>
            <w:color w:val="1155CC"/>
            <w:sz w:val="20"/>
            <w:szCs w:val="20"/>
            <w:u w:val="single"/>
          </w:rPr>
          <w:t>https://www.fema.gov/</w:t>
        </w:r>
      </w:hyperlink>
      <w:r>
        <w:rPr>
          <w:sz w:val="20"/>
          <w:szCs w:val="20"/>
        </w:rPr>
        <w:t xml:space="preserve"> </w:t>
      </w:r>
    </w:p>
  </w:footnote>
  <w:footnote w:id="3">
    <w:p w14:paraId="310DD177" w14:textId="77777777" w:rsidR="00DC2B15" w:rsidRDefault="00DC4BE7">
      <w:pPr>
        <w:rPr>
          <w:sz w:val="20"/>
          <w:szCs w:val="20"/>
        </w:rPr>
      </w:pPr>
      <w:r>
        <w:rPr>
          <w:vertAlign w:val="superscript"/>
        </w:rPr>
        <w:footnoteRef/>
      </w:r>
      <w:r>
        <w:rPr>
          <w:sz w:val="20"/>
          <w:szCs w:val="20"/>
        </w:rPr>
        <w:t xml:space="preserve"> </w:t>
      </w:r>
      <w:r>
        <w:rPr>
          <w:color w:val="222222"/>
          <w:sz w:val="20"/>
          <w:szCs w:val="20"/>
          <w:highlight w:val="white"/>
        </w:rPr>
        <w:t xml:space="preserve">The California Department of Forestry and </w:t>
      </w:r>
      <w:r>
        <w:rPr>
          <w:b/>
          <w:color w:val="222222"/>
          <w:sz w:val="20"/>
          <w:szCs w:val="20"/>
          <w:highlight w:val="white"/>
        </w:rPr>
        <w:t>Fire</w:t>
      </w:r>
      <w:r>
        <w:rPr>
          <w:color w:val="222222"/>
          <w:sz w:val="20"/>
          <w:szCs w:val="20"/>
          <w:highlight w:val="white"/>
        </w:rPr>
        <w:t xml:space="preserve"> Protection (</w:t>
      </w:r>
      <w:r>
        <w:rPr>
          <w:b/>
          <w:color w:val="222222"/>
          <w:sz w:val="20"/>
          <w:szCs w:val="20"/>
          <w:highlight w:val="white"/>
        </w:rPr>
        <w:t>CAL FIRE</w:t>
      </w:r>
      <w:r>
        <w:rPr>
          <w:color w:val="222222"/>
          <w:sz w:val="20"/>
          <w:szCs w:val="20"/>
          <w:highlight w:val="white"/>
        </w:rPr>
        <w:t xml:space="preserve">) is the State of California's agency responsible for </w:t>
      </w:r>
      <w:r>
        <w:rPr>
          <w:b/>
          <w:color w:val="222222"/>
          <w:sz w:val="20"/>
          <w:szCs w:val="20"/>
          <w:highlight w:val="white"/>
        </w:rPr>
        <w:t xml:space="preserve">fire </w:t>
      </w:r>
      <w:r>
        <w:rPr>
          <w:color w:val="222222"/>
          <w:sz w:val="20"/>
          <w:szCs w:val="20"/>
          <w:highlight w:val="white"/>
        </w:rPr>
        <w:t>protection in State Responsibility Areas of California totaling 31 million acres, as well as the administration of the state's private and public forests.</w:t>
      </w:r>
    </w:p>
  </w:footnote>
  <w:footnote w:id="4">
    <w:p w14:paraId="7A298F7A" w14:textId="77777777" w:rsidR="00DC2B15" w:rsidRDefault="00DC4BE7">
      <w:pPr>
        <w:rPr>
          <w:sz w:val="20"/>
          <w:szCs w:val="20"/>
        </w:rPr>
      </w:pPr>
      <w:r>
        <w:rPr>
          <w:vertAlign w:val="superscript"/>
        </w:rPr>
        <w:footnoteRef/>
      </w:r>
      <w:r>
        <w:rPr>
          <w:sz w:val="20"/>
          <w:szCs w:val="20"/>
        </w:rPr>
        <w:t xml:space="preserve"> See in general </w:t>
      </w:r>
      <w:hyperlink r:id="rId2">
        <w:r>
          <w:rPr>
            <w:color w:val="1155CC"/>
            <w:sz w:val="20"/>
            <w:szCs w:val="20"/>
            <w:u w:val="single"/>
          </w:rPr>
          <w:t>https://www.moodys.com/Pages/atc002.aspx</w:t>
        </w:r>
      </w:hyperlink>
      <w:r>
        <w:rPr>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95857"/>
    <w:multiLevelType w:val="multilevel"/>
    <w:tmpl w:val="90DCC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6A226487"/>
    <w:multiLevelType w:val="multilevel"/>
    <w:tmpl w:val="B79EC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6CE01571"/>
    <w:multiLevelType w:val="multilevel"/>
    <w:tmpl w:val="8728973A"/>
    <w:lvl w:ilvl="0">
      <w:start w:val="1"/>
      <w:numFmt w:val="bullet"/>
      <w:lvlText w:val="●"/>
      <w:lvlJc w:val="left"/>
      <w:pPr>
        <w:ind w:left="720" w:hanging="360"/>
      </w:pPr>
      <w:rPr>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77791F99"/>
    <w:multiLevelType w:val="multilevel"/>
    <w:tmpl w:val="D6120F34"/>
    <w:lvl w:ilvl="0">
      <w:start w:val="1"/>
      <w:numFmt w:val="bullet"/>
      <w:lvlText w:val="●"/>
      <w:lvlJc w:val="left"/>
      <w:pPr>
        <w:ind w:left="720" w:hanging="360"/>
      </w:pPr>
      <w:rPr>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7A457D55"/>
    <w:multiLevelType w:val="multilevel"/>
    <w:tmpl w:val="043A839A"/>
    <w:lvl w:ilvl="0">
      <w:start w:val="1"/>
      <w:numFmt w:val="bullet"/>
      <w:lvlText w:val="●"/>
      <w:lvlJc w:val="left"/>
      <w:pPr>
        <w:ind w:left="720" w:hanging="360"/>
      </w:pPr>
      <w:rPr>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B15"/>
    <w:rsid w:val="00091DD5"/>
    <w:rsid w:val="000A2206"/>
    <w:rsid w:val="000B3B0E"/>
    <w:rsid w:val="000E4653"/>
    <w:rsid w:val="000F16FE"/>
    <w:rsid w:val="0010187D"/>
    <w:rsid w:val="00124B8B"/>
    <w:rsid w:val="00146CDB"/>
    <w:rsid w:val="001B1212"/>
    <w:rsid w:val="001F2A8F"/>
    <w:rsid w:val="002714DD"/>
    <w:rsid w:val="002D0760"/>
    <w:rsid w:val="002F7D43"/>
    <w:rsid w:val="003705ED"/>
    <w:rsid w:val="00383E14"/>
    <w:rsid w:val="00497493"/>
    <w:rsid w:val="004A2F66"/>
    <w:rsid w:val="004B1D71"/>
    <w:rsid w:val="00526090"/>
    <w:rsid w:val="005308EE"/>
    <w:rsid w:val="00537149"/>
    <w:rsid w:val="0070263B"/>
    <w:rsid w:val="007330FF"/>
    <w:rsid w:val="007F76E5"/>
    <w:rsid w:val="00870CC3"/>
    <w:rsid w:val="00931858"/>
    <w:rsid w:val="009B4C68"/>
    <w:rsid w:val="00A20F72"/>
    <w:rsid w:val="00A91CD0"/>
    <w:rsid w:val="00A97808"/>
    <w:rsid w:val="00D127CF"/>
    <w:rsid w:val="00DC2B15"/>
    <w:rsid w:val="00DC4BE7"/>
    <w:rsid w:val="00E408FF"/>
    <w:rsid w:val="00F10467"/>
    <w:rsid w:val="00F63D0F"/>
    <w:rsid w:val="00F92EF4"/>
    <w:rsid w:val="00FB5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69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2"/>
        <w:szCs w:val="22"/>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ind w:left="720" w:hanging="720"/>
      <w:outlineLvl w:val="0"/>
    </w:pPr>
    <w:rPr>
      <w:b/>
      <w:sz w:val="24"/>
      <w:szCs w:val="24"/>
    </w:rPr>
  </w:style>
  <w:style w:type="paragraph" w:styleId="Heading2">
    <w:name w:val="heading 2"/>
    <w:basedOn w:val="Normal"/>
    <w:next w:val="Normal"/>
    <w:pPr>
      <w:keepNext/>
      <w:keepLines/>
      <w:ind w:left="1440" w:hanging="720"/>
      <w:outlineLvl w:val="1"/>
    </w:pPr>
    <w:rPr>
      <w:i/>
    </w:rPr>
  </w:style>
  <w:style w:type="paragraph" w:styleId="Heading3">
    <w:name w:val="heading 3"/>
    <w:basedOn w:val="Normal"/>
    <w:next w:val="Normal"/>
    <w:pPr>
      <w:keepNext/>
      <w:keepLines/>
      <w:spacing w:before="40"/>
      <w:ind w:left="2160" w:hanging="720"/>
      <w:outlineLvl w:val="2"/>
    </w:pPr>
    <w:rPr>
      <w:u w:val="single"/>
    </w:rPr>
  </w:style>
  <w:style w:type="paragraph" w:styleId="Heading4">
    <w:name w:val="heading 4"/>
    <w:basedOn w:val="Normal"/>
    <w:next w:val="Normal"/>
    <w:pPr>
      <w:keepNext/>
      <w:keepLines/>
      <w:spacing w:before="40"/>
      <w:ind w:left="2160"/>
      <w:outlineLvl w:val="3"/>
    </w:pPr>
    <w:rPr>
      <w:rFonts w:ascii="Calibri" w:eastAsia="Calibri" w:hAnsi="Calibri" w:cs="Calibri"/>
      <w:i/>
      <w:color w:val="2E75B5"/>
    </w:rPr>
  </w:style>
  <w:style w:type="paragraph" w:styleId="Heading5">
    <w:name w:val="heading 5"/>
    <w:basedOn w:val="Normal"/>
    <w:next w:val="Normal"/>
    <w:pPr>
      <w:keepNext/>
      <w:keepLines/>
      <w:spacing w:before="40"/>
      <w:ind w:left="2880"/>
      <w:outlineLvl w:val="4"/>
    </w:pPr>
    <w:rPr>
      <w:rFonts w:ascii="Calibri" w:eastAsia="Calibri" w:hAnsi="Calibri" w:cs="Calibri"/>
      <w:color w:val="2E75B5"/>
    </w:rPr>
  </w:style>
  <w:style w:type="paragraph" w:styleId="Heading6">
    <w:name w:val="heading 6"/>
    <w:basedOn w:val="Normal"/>
    <w:next w:val="Normal"/>
    <w:pPr>
      <w:keepNext/>
      <w:keepLines/>
      <w:spacing w:before="40"/>
      <w:ind w:left="3600"/>
      <w:outlineLvl w:val="5"/>
    </w:pPr>
    <w:rPr>
      <w:rFonts w:ascii="Calibri" w:eastAsia="Calibri" w:hAnsi="Calibri" w:cs="Calibri"/>
      <w:color w:val="1E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1F2A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F2A8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70CC3"/>
    <w:rPr>
      <w:sz w:val="18"/>
      <w:szCs w:val="18"/>
    </w:rPr>
  </w:style>
  <w:style w:type="paragraph" w:styleId="CommentText">
    <w:name w:val="annotation text"/>
    <w:basedOn w:val="Normal"/>
    <w:link w:val="CommentTextChar"/>
    <w:uiPriority w:val="99"/>
    <w:semiHidden/>
    <w:unhideWhenUsed/>
    <w:rsid w:val="00870CC3"/>
    <w:rPr>
      <w:sz w:val="24"/>
      <w:szCs w:val="24"/>
    </w:rPr>
  </w:style>
  <w:style w:type="character" w:customStyle="1" w:styleId="CommentTextChar">
    <w:name w:val="Comment Text Char"/>
    <w:basedOn w:val="DefaultParagraphFont"/>
    <w:link w:val="CommentText"/>
    <w:uiPriority w:val="99"/>
    <w:semiHidden/>
    <w:rsid w:val="00870CC3"/>
    <w:rPr>
      <w:sz w:val="24"/>
      <w:szCs w:val="24"/>
    </w:rPr>
  </w:style>
  <w:style w:type="paragraph" w:styleId="CommentSubject">
    <w:name w:val="annotation subject"/>
    <w:basedOn w:val="CommentText"/>
    <w:next w:val="CommentText"/>
    <w:link w:val="CommentSubjectChar"/>
    <w:uiPriority w:val="99"/>
    <w:semiHidden/>
    <w:unhideWhenUsed/>
    <w:rsid w:val="00870CC3"/>
    <w:rPr>
      <w:b/>
      <w:bCs/>
      <w:sz w:val="20"/>
      <w:szCs w:val="20"/>
    </w:rPr>
  </w:style>
  <w:style w:type="character" w:customStyle="1" w:styleId="CommentSubjectChar">
    <w:name w:val="Comment Subject Char"/>
    <w:basedOn w:val="CommentTextChar"/>
    <w:link w:val="CommentSubject"/>
    <w:uiPriority w:val="99"/>
    <w:semiHidden/>
    <w:rsid w:val="00870CC3"/>
    <w:rPr>
      <w:b/>
      <w:bCs/>
      <w:sz w:val="20"/>
      <w:szCs w:val="20"/>
    </w:rPr>
  </w:style>
  <w:style w:type="paragraph" w:styleId="NormalWeb">
    <w:name w:val="Normal (Web)"/>
    <w:basedOn w:val="Normal"/>
    <w:uiPriority w:val="99"/>
    <w:unhideWhenUsed/>
    <w:rsid w:val="00146CDB"/>
    <w:pPr>
      <w:widowControl/>
      <w:pBdr>
        <w:top w:val="none" w:sz="0" w:space="0" w:color="auto"/>
        <w:left w:val="none" w:sz="0" w:space="0" w:color="auto"/>
        <w:bottom w:val="none" w:sz="0" w:space="0" w:color="auto"/>
        <w:right w:val="none" w:sz="0" w:space="0" w:color="auto"/>
        <w:between w:val="none" w:sz="0" w:space="0" w:color="auto"/>
      </w:pBdr>
    </w:pPr>
    <w:rPr>
      <w:rFonts w:ascii="Times New Roman" w:eastAsiaTheme="minorHAnsi" w:hAnsi="Times New Roman" w:cs="Times New Roman"/>
      <w:color w:val="auto"/>
      <w:sz w:val="24"/>
      <w:szCs w:val="24"/>
    </w:rPr>
  </w:style>
  <w:style w:type="paragraph" w:styleId="Revision">
    <w:name w:val="Revision"/>
    <w:hidden/>
    <w:uiPriority w:val="99"/>
    <w:semiHidden/>
    <w:rsid w:val="00146CDB"/>
    <w:pPr>
      <w:widowControl/>
      <w:pBdr>
        <w:top w:val="none" w:sz="0" w:space="0" w:color="auto"/>
        <w:left w:val="none" w:sz="0" w:space="0" w:color="auto"/>
        <w:bottom w:val="none" w:sz="0" w:space="0" w:color="auto"/>
        <w:right w:val="none" w:sz="0" w:space="0" w:color="auto"/>
        <w:between w:val="none" w:sz="0" w:space="0" w:color="auto"/>
      </w:pBdr>
    </w:pPr>
  </w:style>
  <w:style w:type="character" w:styleId="Hyperlink">
    <w:name w:val="Hyperlink"/>
    <w:basedOn w:val="DefaultParagraphFont"/>
    <w:uiPriority w:val="99"/>
    <w:unhideWhenUsed/>
    <w:rsid w:val="002D0760"/>
    <w:rPr>
      <w:color w:val="0563C1" w:themeColor="hyperlink"/>
      <w:u w:val="single"/>
    </w:rPr>
  </w:style>
  <w:style w:type="table" w:styleId="TableGrid">
    <w:name w:val="Table Grid"/>
    <w:basedOn w:val="TableNormal"/>
    <w:uiPriority w:val="39"/>
    <w:rsid w:val="002D0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2"/>
        <w:szCs w:val="22"/>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ind w:left="720" w:hanging="720"/>
      <w:outlineLvl w:val="0"/>
    </w:pPr>
    <w:rPr>
      <w:b/>
      <w:sz w:val="24"/>
      <w:szCs w:val="24"/>
    </w:rPr>
  </w:style>
  <w:style w:type="paragraph" w:styleId="Heading2">
    <w:name w:val="heading 2"/>
    <w:basedOn w:val="Normal"/>
    <w:next w:val="Normal"/>
    <w:pPr>
      <w:keepNext/>
      <w:keepLines/>
      <w:ind w:left="1440" w:hanging="720"/>
      <w:outlineLvl w:val="1"/>
    </w:pPr>
    <w:rPr>
      <w:i/>
    </w:rPr>
  </w:style>
  <w:style w:type="paragraph" w:styleId="Heading3">
    <w:name w:val="heading 3"/>
    <w:basedOn w:val="Normal"/>
    <w:next w:val="Normal"/>
    <w:pPr>
      <w:keepNext/>
      <w:keepLines/>
      <w:spacing w:before="40"/>
      <w:ind w:left="2160" w:hanging="720"/>
      <w:outlineLvl w:val="2"/>
    </w:pPr>
    <w:rPr>
      <w:u w:val="single"/>
    </w:rPr>
  </w:style>
  <w:style w:type="paragraph" w:styleId="Heading4">
    <w:name w:val="heading 4"/>
    <w:basedOn w:val="Normal"/>
    <w:next w:val="Normal"/>
    <w:pPr>
      <w:keepNext/>
      <w:keepLines/>
      <w:spacing w:before="40"/>
      <w:ind w:left="2160"/>
      <w:outlineLvl w:val="3"/>
    </w:pPr>
    <w:rPr>
      <w:rFonts w:ascii="Calibri" w:eastAsia="Calibri" w:hAnsi="Calibri" w:cs="Calibri"/>
      <w:i/>
      <w:color w:val="2E75B5"/>
    </w:rPr>
  </w:style>
  <w:style w:type="paragraph" w:styleId="Heading5">
    <w:name w:val="heading 5"/>
    <w:basedOn w:val="Normal"/>
    <w:next w:val="Normal"/>
    <w:pPr>
      <w:keepNext/>
      <w:keepLines/>
      <w:spacing w:before="40"/>
      <w:ind w:left="2880"/>
      <w:outlineLvl w:val="4"/>
    </w:pPr>
    <w:rPr>
      <w:rFonts w:ascii="Calibri" w:eastAsia="Calibri" w:hAnsi="Calibri" w:cs="Calibri"/>
      <w:color w:val="2E75B5"/>
    </w:rPr>
  </w:style>
  <w:style w:type="paragraph" w:styleId="Heading6">
    <w:name w:val="heading 6"/>
    <w:basedOn w:val="Normal"/>
    <w:next w:val="Normal"/>
    <w:pPr>
      <w:keepNext/>
      <w:keepLines/>
      <w:spacing w:before="40"/>
      <w:ind w:left="3600"/>
      <w:outlineLvl w:val="5"/>
    </w:pPr>
    <w:rPr>
      <w:rFonts w:ascii="Calibri" w:eastAsia="Calibri" w:hAnsi="Calibri" w:cs="Calibri"/>
      <w:color w:val="1E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1F2A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F2A8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70CC3"/>
    <w:rPr>
      <w:sz w:val="18"/>
      <w:szCs w:val="18"/>
    </w:rPr>
  </w:style>
  <w:style w:type="paragraph" w:styleId="CommentText">
    <w:name w:val="annotation text"/>
    <w:basedOn w:val="Normal"/>
    <w:link w:val="CommentTextChar"/>
    <w:uiPriority w:val="99"/>
    <w:semiHidden/>
    <w:unhideWhenUsed/>
    <w:rsid w:val="00870CC3"/>
    <w:rPr>
      <w:sz w:val="24"/>
      <w:szCs w:val="24"/>
    </w:rPr>
  </w:style>
  <w:style w:type="character" w:customStyle="1" w:styleId="CommentTextChar">
    <w:name w:val="Comment Text Char"/>
    <w:basedOn w:val="DefaultParagraphFont"/>
    <w:link w:val="CommentText"/>
    <w:uiPriority w:val="99"/>
    <w:semiHidden/>
    <w:rsid w:val="00870CC3"/>
    <w:rPr>
      <w:sz w:val="24"/>
      <w:szCs w:val="24"/>
    </w:rPr>
  </w:style>
  <w:style w:type="paragraph" w:styleId="CommentSubject">
    <w:name w:val="annotation subject"/>
    <w:basedOn w:val="CommentText"/>
    <w:next w:val="CommentText"/>
    <w:link w:val="CommentSubjectChar"/>
    <w:uiPriority w:val="99"/>
    <w:semiHidden/>
    <w:unhideWhenUsed/>
    <w:rsid w:val="00870CC3"/>
    <w:rPr>
      <w:b/>
      <w:bCs/>
      <w:sz w:val="20"/>
      <w:szCs w:val="20"/>
    </w:rPr>
  </w:style>
  <w:style w:type="character" w:customStyle="1" w:styleId="CommentSubjectChar">
    <w:name w:val="Comment Subject Char"/>
    <w:basedOn w:val="CommentTextChar"/>
    <w:link w:val="CommentSubject"/>
    <w:uiPriority w:val="99"/>
    <w:semiHidden/>
    <w:rsid w:val="00870CC3"/>
    <w:rPr>
      <w:b/>
      <w:bCs/>
      <w:sz w:val="20"/>
      <w:szCs w:val="20"/>
    </w:rPr>
  </w:style>
  <w:style w:type="paragraph" w:styleId="NormalWeb">
    <w:name w:val="Normal (Web)"/>
    <w:basedOn w:val="Normal"/>
    <w:uiPriority w:val="99"/>
    <w:unhideWhenUsed/>
    <w:rsid w:val="00146CDB"/>
    <w:pPr>
      <w:widowControl/>
      <w:pBdr>
        <w:top w:val="none" w:sz="0" w:space="0" w:color="auto"/>
        <w:left w:val="none" w:sz="0" w:space="0" w:color="auto"/>
        <w:bottom w:val="none" w:sz="0" w:space="0" w:color="auto"/>
        <w:right w:val="none" w:sz="0" w:space="0" w:color="auto"/>
        <w:between w:val="none" w:sz="0" w:space="0" w:color="auto"/>
      </w:pBdr>
    </w:pPr>
    <w:rPr>
      <w:rFonts w:ascii="Times New Roman" w:eastAsiaTheme="minorHAnsi" w:hAnsi="Times New Roman" w:cs="Times New Roman"/>
      <w:color w:val="auto"/>
      <w:sz w:val="24"/>
      <w:szCs w:val="24"/>
    </w:rPr>
  </w:style>
  <w:style w:type="paragraph" w:styleId="Revision">
    <w:name w:val="Revision"/>
    <w:hidden/>
    <w:uiPriority w:val="99"/>
    <w:semiHidden/>
    <w:rsid w:val="00146CDB"/>
    <w:pPr>
      <w:widowControl/>
      <w:pBdr>
        <w:top w:val="none" w:sz="0" w:space="0" w:color="auto"/>
        <w:left w:val="none" w:sz="0" w:space="0" w:color="auto"/>
        <w:bottom w:val="none" w:sz="0" w:space="0" w:color="auto"/>
        <w:right w:val="none" w:sz="0" w:space="0" w:color="auto"/>
        <w:between w:val="none" w:sz="0" w:space="0" w:color="auto"/>
      </w:pBdr>
    </w:pPr>
  </w:style>
  <w:style w:type="character" w:styleId="Hyperlink">
    <w:name w:val="Hyperlink"/>
    <w:basedOn w:val="DefaultParagraphFont"/>
    <w:uiPriority w:val="99"/>
    <w:unhideWhenUsed/>
    <w:rsid w:val="002D0760"/>
    <w:rPr>
      <w:color w:val="0563C1" w:themeColor="hyperlink"/>
      <w:u w:val="single"/>
    </w:rPr>
  </w:style>
  <w:style w:type="table" w:styleId="TableGrid">
    <w:name w:val="Table Grid"/>
    <w:basedOn w:val="TableNormal"/>
    <w:uiPriority w:val="39"/>
    <w:rsid w:val="002D0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724860">
      <w:bodyDiv w:val="1"/>
      <w:marLeft w:val="0"/>
      <w:marRight w:val="0"/>
      <w:marTop w:val="0"/>
      <w:marBottom w:val="0"/>
      <w:divBdr>
        <w:top w:val="none" w:sz="0" w:space="0" w:color="auto"/>
        <w:left w:val="none" w:sz="0" w:space="0" w:color="auto"/>
        <w:bottom w:val="none" w:sz="0" w:space="0" w:color="auto"/>
        <w:right w:val="none" w:sz="0" w:space="0" w:color="auto"/>
      </w:divBdr>
    </w:div>
    <w:div w:id="1838692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white@bcoe.org" TargetMode="External"/><Relationship Id="rId1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psmith@cde.ca.go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moodys.com/Pages/atc002.aspx" TargetMode="External"/><Relationship Id="rId1" Type="http://schemas.openxmlformats.org/officeDocument/2006/relationships/hyperlink" Target="https://www.fem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Butte County Office of Ed</Company>
  <LinksUpToDate>false</LinksUpToDate>
  <CharactersWithSpaces>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 Edwards</dc:creator>
  <cp:lastModifiedBy>Candy Amos</cp:lastModifiedBy>
  <cp:revision>2</cp:revision>
  <dcterms:created xsi:type="dcterms:W3CDTF">2018-01-10T22:56:00Z</dcterms:created>
  <dcterms:modified xsi:type="dcterms:W3CDTF">2018-01-10T22:56:00Z</dcterms:modified>
</cp:coreProperties>
</file>