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6BFC7" w14:textId="77777777" w:rsidR="00572343" w:rsidRPr="00B05C96" w:rsidRDefault="00572343" w:rsidP="00572343">
      <w:pPr>
        <w:spacing w:line="270" w:lineRule="exact"/>
        <w:jc w:val="center"/>
        <w:rPr>
          <w:b/>
          <w:w w:val="105"/>
          <w:sz w:val="24"/>
        </w:rPr>
      </w:pPr>
      <w:r w:rsidRPr="00B05C96">
        <w:rPr>
          <w:b/>
          <w:w w:val="105"/>
          <w:sz w:val="24"/>
        </w:rPr>
        <w:t>Before the</w:t>
      </w:r>
    </w:p>
    <w:p w14:paraId="5F9831F9" w14:textId="77777777" w:rsidR="00572343" w:rsidRDefault="00572343" w:rsidP="00572343">
      <w:pPr>
        <w:spacing w:line="270" w:lineRule="exact"/>
        <w:jc w:val="center"/>
        <w:rPr>
          <w:b/>
          <w:w w:val="105"/>
          <w:sz w:val="24"/>
        </w:rPr>
      </w:pPr>
      <w:r>
        <w:rPr>
          <w:b/>
          <w:w w:val="105"/>
          <w:sz w:val="24"/>
        </w:rPr>
        <w:t xml:space="preserve">Federal Communications Commission </w:t>
      </w:r>
    </w:p>
    <w:p w14:paraId="6CC200E2" w14:textId="77777777" w:rsidR="00572343" w:rsidRPr="00B05C96" w:rsidRDefault="00572343" w:rsidP="00572343">
      <w:pPr>
        <w:spacing w:line="270" w:lineRule="exact"/>
        <w:jc w:val="center"/>
        <w:rPr>
          <w:b/>
          <w:w w:val="105"/>
          <w:sz w:val="24"/>
        </w:rPr>
      </w:pPr>
      <w:r w:rsidRPr="00B05C96">
        <w:rPr>
          <w:b/>
          <w:w w:val="105"/>
          <w:sz w:val="24"/>
        </w:rPr>
        <w:t>Washington, DC 20554</w:t>
      </w:r>
    </w:p>
    <w:p w14:paraId="69A8DFBA" w14:textId="77777777" w:rsidR="00572343" w:rsidRPr="00B05C96" w:rsidRDefault="00572343" w:rsidP="00572343">
      <w:pPr>
        <w:spacing w:before="90" w:line="270" w:lineRule="exact"/>
        <w:ind w:left="2496" w:right="2494"/>
        <w:jc w:val="center"/>
        <w:rPr>
          <w:b/>
          <w:w w:val="105"/>
          <w:sz w:val="24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384"/>
        <w:gridCol w:w="4585"/>
      </w:tblGrid>
      <w:tr w:rsidR="00572343" w14:paraId="06DFE589" w14:textId="77777777" w:rsidTr="00EC23F3">
        <w:tc>
          <w:tcPr>
            <w:tcW w:w="4386" w:type="dxa"/>
          </w:tcPr>
          <w:p w14:paraId="0E9BC5B4" w14:textId="77777777" w:rsidR="00572343" w:rsidRPr="00B05C96" w:rsidRDefault="00572343" w:rsidP="00EC23F3">
            <w:pPr>
              <w:spacing w:before="90" w:line="270" w:lineRule="exact"/>
              <w:ind w:right="720"/>
              <w:rPr>
                <w:bCs/>
                <w:w w:val="105"/>
                <w:sz w:val="24"/>
              </w:rPr>
            </w:pPr>
            <w:r w:rsidRPr="00B05C96">
              <w:rPr>
                <w:bCs/>
                <w:w w:val="105"/>
                <w:sz w:val="24"/>
              </w:rPr>
              <w:t>In the Matter of:</w:t>
            </w:r>
          </w:p>
          <w:p w14:paraId="08FC49C9" w14:textId="77777777" w:rsidR="00572343" w:rsidRPr="00B05C96" w:rsidRDefault="00572343" w:rsidP="00EC23F3">
            <w:pPr>
              <w:spacing w:before="90" w:line="270" w:lineRule="exact"/>
              <w:ind w:right="720"/>
              <w:rPr>
                <w:bCs/>
                <w:w w:val="105"/>
                <w:sz w:val="24"/>
              </w:rPr>
            </w:pPr>
          </w:p>
          <w:p w14:paraId="51A74AC2" w14:textId="77777777" w:rsidR="00572343" w:rsidRPr="00B05C96" w:rsidRDefault="00572343" w:rsidP="00EC23F3">
            <w:pPr>
              <w:spacing w:before="90" w:line="270" w:lineRule="exact"/>
              <w:rPr>
                <w:bCs/>
                <w:w w:val="105"/>
                <w:sz w:val="24"/>
              </w:rPr>
            </w:pPr>
            <w:r>
              <w:rPr>
                <w:bCs/>
                <w:w w:val="105"/>
                <w:sz w:val="24"/>
              </w:rPr>
              <w:t>Boulder Regional Emergency Telephone Service Authority Petitions</w:t>
            </w:r>
          </w:p>
          <w:p w14:paraId="19EBCACC" w14:textId="77777777" w:rsidR="00572343" w:rsidRDefault="00572343" w:rsidP="00EC23F3">
            <w:pPr>
              <w:spacing w:before="90" w:line="270" w:lineRule="exact"/>
              <w:ind w:right="2494"/>
              <w:jc w:val="center"/>
              <w:rPr>
                <w:b/>
                <w:w w:val="105"/>
                <w:sz w:val="24"/>
              </w:rPr>
            </w:pPr>
          </w:p>
        </w:tc>
        <w:tc>
          <w:tcPr>
            <w:tcW w:w="384" w:type="dxa"/>
          </w:tcPr>
          <w:p w14:paraId="05CFB12E" w14:textId="77777777" w:rsidR="00572343" w:rsidRPr="00B05C96" w:rsidRDefault="00572343" w:rsidP="00EC23F3">
            <w:pPr>
              <w:spacing w:before="90" w:line="270" w:lineRule="exact"/>
              <w:ind w:right="2494"/>
              <w:jc w:val="center"/>
              <w:rPr>
                <w:bCs/>
                <w:w w:val="105"/>
                <w:sz w:val="24"/>
              </w:rPr>
            </w:pPr>
            <w:r w:rsidRPr="00B05C96">
              <w:rPr>
                <w:bCs/>
                <w:w w:val="105"/>
                <w:sz w:val="24"/>
              </w:rPr>
              <w:t>)</w:t>
            </w:r>
          </w:p>
          <w:p w14:paraId="0BCCE69D" w14:textId="77777777" w:rsidR="00572343" w:rsidRPr="00B05C96" w:rsidRDefault="00572343" w:rsidP="00EC23F3">
            <w:pPr>
              <w:spacing w:before="90" w:line="270" w:lineRule="exact"/>
              <w:ind w:right="2494"/>
              <w:jc w:val="center"/>
              <w:rPr>
                <w:bCs/>
                <w:w w:val="105"/>
                <w:sz w:val="24"/>
              </w:rPr>
            </w:pPr>
            <w:r w:rsidRPr="00B05C96">
              <w:rPr>
                <w:bCs/>
                <w:w w:val="105"/>
                <w:sz w:val="24"/>
              </w:rPr>
              <w:t>)</w:t>
            </w:r>
          </w:p>
          <w:p w14:paraId="4EB7D1A7" w14:textId="77777777" w:rsidR="00572343" w:rsidRPr="00B05C96" w:rsidRDefault="00572343" w:rsidP="00EC23F3">
            <w:pPr>
              <w:spacing w:before="90" w:line="270" w:lineRule="exact"/>
              <w:ind w:right="2494"/>
              <w:jc w:val="center"/>
              <w:rPr>
                <w:bCs/>
                <w:w w:val="105"/>
                <w:sz w:val="24"/>
              </w:rPr>
            </w:pPr>
            <w:r w:rsidRPr="00B05C96">
              <w:rPr>
                <w:bCs/>
                <w:w w:val="105"/>
                <w:sz w:val="24"/>
              </w:rPr>
              <w:t>)</w:t>
            </w:r>
          </w:p>
          <w:p w14:paraId="7CF2CB7B" w14:textId="77777777" w:rsidR="00572343" w:rsidRPr="00B05C96" w:rsidRDefault="00572343" w:rsidP="00EC23F3">
            <w:pPr>
              <w:spacing w:before="90" w:line="270" w:lineRule="exact"/>
              <w:ind w:right="2494"/>
              <w:jc w:val="center"/>
              <w:rPr>
                <w:bCs/>
                <w:w w:val="105"/>
                <w:sz w:val="24"/>
              </w:rPr>
            </w:pPr>
            <w:r w:rsidRPr="00B05C96">
              <w:rPr>
                <w:bCs/>
                <w:w w:val="105"/>
                <w:sz w:val="24"/>
              </w:rPr>
              <w:t>)</w:t>
            </w:r>
          </w:p>
          <w:p w14:paraId="09752965" w14:textId="77777777" w:rsidR="00572343" w:rsidRPr="00B05C96" w:rsidRDefault="00572343" w:rsidP="00EC23F3">
            <w:pPr>
              <w:spacing w:before="90" w:line="270" w:lineRule="exact"/>
              <w:ind w:right="2494"/>
              <w:jc w:val="center"/>
              <w:rPr>
                <w:bCs/>
                <w:w w:val="105"/>
                <w:sz w:val="24"/>
              </w:rPr>
            </w:pPr>
            <w:r w:rsidRPr="00B05C96">
              <w:rPr>
                <w:bCs/>
                <w:w w:val="105"/>
                <w:sz w:val="24"/>
              </w:rPr>
              <w:t>)</w:t>
            </w:r>
          </w:p>
          <w:p w14:paraId="6EC1B6F8" w14:textId="77777777" w:rsidR="00572343" w:rsidRPr="00B05C96" w:rsidRDefault="00572343" w:rsidP="00EC23F3">
            <w:pPr>
              <w:spacing w:before="90" w:line="270" w:lineRule="exact"/>
              <w:ind w:right="2494"/>
              <w:jc w:val="center"/>
              <w:rPr>
                <w:bCs/>
                <w:w w:val="105"/>
                <w:sz w:val="24"/>
              </w:rPr>
            </w:pPr>
            <w:r w:rsidRPr="00B05C96">
              <w:rPr>
                <w:bCs/>
                <w:w w:val="105"/>
                <w:sz w:val="24"/>
              </w:rPr>
              <w:t>)</w:t>
            </w:r>
          </w:p>
          <w:p w14:paraId="1895398A" w14:textId="77777777" w:rsidR="00572343" w:rsidRPr="00B05C96" w:rsidRDefault="00572343" w:rsidP="00EC23F3">
            <w:pPr>
              <w:spacing w:before="90" w:line="270" w:lineRule="exact"/>
              <w:ind w:right="2494"/>
              <w:jc w:val="center"/>
              <w:rPr>
                <w:bCs/>
                <w:w w:val="105"/>
                <w:sz w:val="24"/>
              </w:rPr>
            </w:pPr>
            <w:r w:rsidRPr="00B05C96">
              <w:rPr>
                <w:bCs/>
                <w:w w:val="105"/>
                <w:sz w:val="24"/>
              </w:rPr>
              <w:t>)</w:t>
            </w:r>
          </w:p>
          <w:p w14:paraId="2FCD16E9" w14:textId="77777777" w:rsidR="00572343" w:rsidRPr="00B05C96" w:rsidRDefault="00572343" w:rsidP="00EC23F3">
            <w:pPr>
              <w:spacing w:before="90" w:line="270" w:lineRule="exact"/>
              <w:ind w:right="2494"/>
              <w:jc w:val="center"/>
              <w:rPr>
                <w:bCs/>
                <w:w w:val="105"/>
                <w:sz w:val="24"/>
              </w:rPr>
            </w:pPr>
            <w:r w:rsidRPr="00B05C96">
              <w:rPr>
                <w:bCs/>
                <w:w w:val="105"/>
                <w:sz w:val="24"/>
              </w:rPr>
              <w:t>)</w:t>
            </w:r>
          </w:p>
        </w:tc>
        <w:tc>
          <w:tcPr>
            <w:tcW w:w="4585" w:type="dxa"/>
          </w:tcPr>
          <w:p w14:paraId="69F4AFD3" w14:textId="77777777" w:rsidR="00572343" w:rsidRDefault="00572343" w:rsidP="00EC23F3">
            <w:pPr>
              <w:spacing w:before="90" w:line="270" w:lineRule="exact"/>
              <w:ind w:right="2494"/>
              <w:jc w:val="center"/>
              <w:rPr>
                <w:b/>
                <w:w w:val="105"/>
                <w:sz w:val="24"/>
              </w:rPr>
            </w:pPr>
          </w:p>
          <w:p w14:paraId="6B0A20EB" w14:textId="77777777" w:rsidR="00572343" w:rsidRDefault="00572343" w:rsidP="00EC23F3">
            <w:pPr>
              <w:spacing w:before="90" w:line="270" w:lineRule="exact"/>
              <w:ind w:right="2494"/>
              <w:rPr>
                <w:b/>
                <w:w w:val="105"/>
                <w:sz w:val="24"/>
              </w:rPr>
            </w:pPr>
          </w:p>
          <w:p w14:paraId="7E9DCD74" w14:textId="77777777" w:rsidR="00572343" w:rsidRPr="00B05C96" w:rsidRDefault="00572343" w:rsidP="00EC23F3">
            <w:pPr>
              <w:spacing w:before="90" w:line="270" w:lineRule="exact"/>
              <w:ind w:left="720"/>
              <w:rPr>
                <w:bCs/>
                <w:w w:val="105"/>
                <w:sz w:val="24"/>
              </w:rPr>
            </w:pPr>
            <w:r w:rsidRPr="0052692E">
              <w:rPr>
                <w:bCs/>
                <w:w w:val="105"/>
                <w:sz w:val="24"/>
              </w:rPr>
              <w:t>PS Docket 19-254</w:t>
            </w:r>
          </w:p>
        </w:tc>
      </w:tr>
    </w:tbl>
    <w:p w14:paraId="56757F20" w14:textId="77777777" w:rsidR="00572343" w:rsidRPr="00117298" w:rsidRDefault="00572343" w:rsidP="00572343">
      <w:pPr>
        <w:spacing w:before="240" w:line="270" w:lineRule="exact"/>
        <w:ind w:left="720" w:right="720"/>
        <w:jc w:val="center"/>
        <w:rPr>
          <w:b/>
          <w:sz w:val="24"/>
          <w:szCs w:val="24"/>
        </w:rPr>
      </w:pPr>
      <w:r w:rsidRPr="00117298">
        <w:rPr>
          <w:b/>
          <w:w w:val="105"/>
          <w:sz w:val="24"/>
          <w:szCs w:val="24"/>
        </w:rPr>
        <w:t>COMMENTS OF</w:t>
      </w:r>
    </w:p>
    <w:p w14:paraId="749ADDF7" w14:textId="77777777" w:rsidR="00572343" w:rsidRPr="00B05C96" w:rsidRDefault="00572343" w:rsidP="00572343">
      <w:pPr>
        <w:spacing w:line="270" w:lineRule="exact"/>
        <w:jc w:val="center"/>
        <w:rPr>
          <w:b/>
          <w:sz w:val="24"/>
          <w:szCs w:val="24"/>
        </w:rPr>
      </w:pPr>
      <w:r w:rsidRPr="00117298">
        <w:rPr>
          <w:b/>
          <w:w w:val="105"/>
          <w:sz w:val="24"/>
          <w:szCs w:val="24"/>
        </w:rPr>
        <w:t>Ryan Poltermann</w:t>
      </w:r>
    </w:p>
    <w:p w14:paraId="744249C8" w14:textId="77777777" w:rsidR="00572343" w:rsidRDefault="00572343" w:rsidP="00572343">
      <w:pPr>
        <w:rPr>
          <w:rFonts w:eastAsia="Times New Roman"/>
        </w:rPr>
      </w:pPr>
    </w:p>
    <w:p w14:paraId="0DF5BD8D" w14:textId="6D0D9408" w:rsidR="00572343" w:rsidRDefault="002F2B18" w:rsidP="007409DA">
      <w:pPr>
        <w:spacing w:after="120"/>
        <w:rPr>
          <w:rFonts w:eastAsia="Times New Roman"/>
        </w:rPr>
      </w:pPr>
      <w:r>
        <w:rPr>
          <w:rFonts w:eastAsia="Times New Roman"/>
        </w:rPr>
        <w:t xml:space="preserve">While the </w:t>
      </w:r>
      <w:r w:rsidRPr="00032D63">
        <w:rPr>
          <w:rFonts w:eastAsia="Times New Roman"/>
          <w:i/>
        </w:rPr>
        <w:t>Spectrum Act</w:t>
      </w:r>
      <w:r>
        <w:rPr>
          <w:rFonts w:eastAsia="Times New Roman"/>
        </w:rPr>
        <w:t xml:space="preserve"> establishes</w:t>
      </w:r>
      <w:r w:rsidR="007409DA">
        <w:rPr>
          <w:rFonts w:eastAsia="Times New Roman"/>
        </w:rPr>
        <w:t xml:space="preserve"> a nationwide service,</w:t>
      </w:r>
      <w:r w:rsidR="00572343">
        <w:rPr>
          <w:rFonts w:eastAsia="Times New Roman"/>
        </w:rPr>
        <w:t xml:space="preserve"> both the </w:t>
      </w:r>
      <w:r w:rsidR="00572343" w:rsidRPr="00572343">
        <w:rPr>
          <w:rFonts w:eastAsia="Times New Roman"/>
          <w:i/>
        </w:rPr>
        <w:t>Recommended Minimum Technical Requirements to Ensure Nationwide Interoperability for the Nationwide Public Safety Broadband Network</w:t>
      </w:r>
      <w:r w:rsidR="00572343">
        <w:rPr>
          <w:rFonts w:eastAsia="Times New Roman"/>
        </w:rPr>
        <w:t xml:space="preserve"> and the express designs of the </w:t>
      </w:r>
      <w:r w:rsidR="00572343" w:rsidRPr="00572343">
        <w:rPr>
          <w:rFonts w:eastAsia="Times New Roman"/>
          <w:i/>
        </w:rPr>
        <w:t>Spectrum Act</w:t>
      </w:r>
      <w:r w:rsidR="007409DA">
        <w:rPr>
          <w:rFonts w:eastAsia="Times New Roman"/>
          <w:i/>
        </w:rPr>
        <w:t xml:space="preserve"> </w:t>
      </w:r>
      <w:r w:rsidR="007409DA">
        <w:rPr>
          <w:rFonts w:eastAsia="Times New Roman"/>
        </w:rPr>
        <w:t>facilitate carrier interoperability</w:t>
      </w:r>
      <w:r w:rsidR="00572343">
        <w:rPr>
          <w:rFonts w:eastAsia="Times New Roman"/>
        </w:rPr>
        <w:t xml:space="preserve">.   To quote the </w:t>
      </w:r>
      <w:r w:rsidR="00572343">
        <w:rPr>
          <w:rFonts w:eastAsia="Times New Roman"/>
          <w:i/>
        </w:rPr>
        <w:t>Recommended Minimum Requirements</w:t>
      </w:r>
      <w:r w:rsidR="00572343">
        <w:rPr>
          <w:rFonts w:eastAsia="Times New Roman"/>
        </w:rPr>
        <w:t>, Section 4.5.3 entitled “Roaming from NPSBN onto Commercial Mobile Networks” (emphasis added):</w:t>
      </w:r>
    </w:p>
    <w:p w14:paraId="68549583" w14:textId="69D12550" w:rsidR="00572343" w:rsidRDefault="00572343" w:rsidP="007409DA">
      <w:pPr>
        <w:spacing w:after="120"/>
        <w:rPr>
          <w:rFonts w:eastAsia="Times New Roman"/>
        </w:rPr>
      </w:pPr>
      <w:r>
        <w:rPr>
          <w:rFonts w:eastAsia="Times New Roman"/>
        </w:rPr>
        <w:t>“</w:t>
      </w:r>
      <w:r w:rsidRPr="00572343">
        <w:rPr>
          <w:rFonts w:eastAsia="Times New Roman"/>
          <w:b/>
        </w:rPr>
        <w:t>Sections 6206 and 6211 of the Spectrum Act clearly identify roaming to commercial networks as a key capability required in the NPSBN.</w:t>
      </w:r>
      <w:r w:rsidRPr="00572343">
        <w:rPr>
          <w:rFonts w:eastAsia="Times New Roman"/>
        </w:rPr>
        <w:t xml:space="preserve"> It will be especially important during the initial phases of deployment when Band 14 coverage is not yet ubiquitous.</w:t>
      </w:r>
      <w:r>
        <w:rPr>
          <w:rFonts w:eastAsia="Times New Roman"/>
        </w:rPr>
        <w:t>”</w:t>
      </w:r>
    </w:p>
    <w:p w14:paraId="6083D7C9" w14:textId="15C7AAEC" w:rsidR="00572343" w:rsidRDefault="00572343" w:rsidP="007409DA">
      <w:pPr>
        <w:spacing w:after="120"/>
        <w:rPr>
          <w:rFonts w:eastAsia="Times New Roman"/>
        </w:rPr>
      </w:pPr>
      <w:r>
        <w:rPr>
          <w:rFonts w:eastAsia="Times New Roman"/>
        </w:rPr>
        <w:t xml:space="preserve">Both sections of the </w:t>
      </w:r>
      <w:r w:rsidRPr="00EB673F">
        <w:rPr>
          <w:rFonts w:eastAsia="Times New Roman"/>
          <w:i/>
        </w:rPr>
        <w:t>Spectrum Act</w:t>
      </w:r>
      <w:r>
        <w:rPr>
          <w:rFonts w:eastAsia="Times New Roman"/>
        </w:rPr>
        <w:t xml:space="preserve"> are explicit in their intention.  Here is Section 6206, for reference (emphasis added): </w:t>
      </w:r>
    </w:p>
    <w:p w14:paraId="3230B3A6" w14:textId="60BEC087" w:rsidR="00572343" w:rsidRDefault="00572343" w:rsidP="007409DA">
      <w:pPr>
        <w:spacing w:after="120"/>
        <w:rPr>
          <w:rFonts w:eastAsia="Times New Roman"/>
        </w:rPr>
      </w:pPr>
      <w:r>
        <w:rPr>
          <w:rFonts w:eastAsia="Times New Roman"/>
        </w:rPr>
        <w:t>“</w:t>
      </w:r>
      <w:r w:rsidRPr="00572343">
        <w:rPr>
          <w:rFonts w:eastAsia="Times New Roman"/>
        </w:rPr>
        <w:t>(5) ROAMING AGREEMENTS.—The First Responder Network Authority shall negotiate and enter into, as it determines appropriate, roaming agreements with commercial network providers to allow the nationwide public safety broadband network to </w:t>
      </w:r>
      <w:r w:rsidRPr="00572343">
        <w:rPr>
          <w:rFonts w:eastAsia="Times New Roman"/>
          <w:b/>
          <w:bCs/>
          <w:i/>
          <w:iCs/>
        </w:rPr>
        <w:t>roam onto commercial networks and gain prioritization of public safety communications over such networks </w:t>
      </w:r>
      <w:r w:rsidRPr="00572343">
        <w:rPr>
          <w:rFonts w:eastAsia="Times New Roman"/>
          <w:b/>
          <w:i/>
          <w:iCs/>
        </w:rPr>
        <w:t>in times of an emergency</w:t>
      </w:r>
      <w:r w:rsidRPr="00572343">
        <w:rPr>
          <w:rFonts w:eastAsia="Times New Roman"/>
        </w:rPr>
        <w:t>.”</w:t>
      </w:r>
    </w:p>
    <w:p w14:paraId="053FD2AD" w14:textId="10ECE106" w:rsidR="00856EA5" w:rsidRDefault="00572343" w:rsidP="007409DA">
      <w:pPr>
        <w:spacing w:after="120"/>
        <w:rPr>
          <w:rFonts w:eastAsia="Times New Roman"/>
        </w:rPr>
      </w:pPr>
      <w:r>
        <w:rPr>
          <w:rFonts w:eastAsia="Times New Roman"/>
        </w:rPr>
        <w:t>Section 6211</w:t>
      </w:r>
      <w:r w:rsidR="00F93BC5">
        <w:rPr>
          <w:rFonts w:eastAsia="Times New Roman"/>
        </w:rPr>
        <w:t>, Public Safety Roaming and Priority Access, is quoted in its entirety (emphasis added):</w:t>
      </w:r>
    </w:p>
    <w:p w14:paraId="630D9EF3" w14:textId="37DE5A83" w:rsidR="005A361F" w:rsidRDefault="00F93BC5" w:rsidP="007409DA">
      <w:pPr>
        <w:spacing w:after="120"/>
        <w:rPr>
          <w:rFonts w:eastAsia="Times New Roman"/>
        </w:rPr>
      </w:pPr>
      <w:r w:rsidRPr="00F93BC5">
        <w:rPr>
          <w:rFonts w:eastAsia="Times New Roman"/>
        </w:rPr>
        <w:t xml:space="preserve">"The Commission may adopt rules, </w:t>
      </w:r>
      <w:r w:rsidRPr="00F93BC5">
        <w:rPr>
          <w:rFonts w:eastAsia="Times New Roman"/>
          <w:b/>
        </w:rPr>
        <w:t>if necessary in the public interest, to improve the ability of public safety networks to roam onto commercial networks and to gain priority access to commercial networks in an emergency</w:t>
      </w:r>
      <w:r w:rsidRPr="00F93BC5">
        <w:rPr>
          <w:rFonts w:eastAsia="Times New Roman"/>
        </w:rPr>
        <w:t xml:space="preserve"> if— (1) the public safety entity equipment is technically compatible with the commercial network; (2) the commercial network is reasonably compensated; and (3) such access does not preempt or otherwise terminate or degrade all existing voice conversations or data sessions."</w:t>
      </w:r>
    </w:p>
    <w:p w14:paraId="029F647A" w14:textId="6A725151" w:rsidR="005A361F" w:rsidRDefault="005A361F" w:rsidP="007409DA">
      <w:pPr>
        <w:spacing w:after="120"/>
        <w:rPr>
          <w:rFonts w:eastAsia="Times New Roman"/>
        </w:rPr>
      </w:pPr>
      <w:r>
        <w:rPr>
          <w:rFonts w:eastAsia="Times New Roman"/>
        </w:rPr>
        <w:t>Interoperability falls squarely within public interest</w:t>
      </w:r>
      <w:r w:rsidR="003D6B9B">
        <w:rPr>
          <w:rFonts w:eastAsia="Times New Roman"/>
        </w:rPr>
        <w:t>, particularly in disaster scenarios</w:t>
      </w:r>
      <w:r>
        <w:rPr>
          <w:rFonts w:eastAsia="Times New Roman"/>
        </w:rPr>
        <w:t>. It was</w:t>
      </w:r>
      <w:r w:rsidR="00E5146A">
        <w:rPr>
          <w:rFonts w:eastAsia="Times New Roman"/>
        </w:rPr>
        <w:t xml:space="preserve"> also</w:t>
      </w:r>
      <w:r>
        <w:rPr>
          <w:rFonts w:eastAsia="Times New Roman"/>
        </w:rPr>
        <w:t xml:space="preserve"> the expectation that FirstNet would use the Recommended Minimum Technical Requirements to design the NPSBN structure</w:t>
      </w:r>
      <w:r w:rsidR="00B87BE6">
        <w:rPr>
          <w:rFonts w:eastAsia="Times New Roman"/>
        </w:rPr>
        <w:t xml:space="preserve"> (emphasis added)</w:t>
      </w:r>
      <w:r>
        <w:rPr>
          <w:rFonts w:eastAsia="Times New Roman"/>
        </w:rPr>
        <w:t>:</w:t>
      </w:r>
    </w:p>
    <w:p w14:paraId="33AB9389" w14:textId="1B4E9A2A" w:rsidR="005A361F" w:rsidRDefault="005A361F" w:rsidP="007409DA">
      <w:pPr>
        <w:spacing w:after="120"/>
        <w:rPr>
          <w:rFonts w:eastAsia="Times New Roman"/>
        </w:rPr>
      </w:pPr>
      <w:r>
        <w:rPr>
          <w:rFonts w:eastAsia="Times New Roman"/>
        </w:rPr>
        <w:t>“</w:t>
      </w:r>
      <w:r w:rsidRPr="005A361F">
        <w:rPr>
          <w:rFonts w:eastAsia="Times New Roman"/>
        </w:rPr>
        <w:t xml:space="preserve">The report of the Interoperability Board specifies the </w:t>
      </w:r>
      <w:r w:rsidR="00E5146A">
        <w:rPr>
          <w:rFonts w:eastAsia="Times New Roman"/>
        </w:rPr>
        <w:t>“</w:t>
      </w:r>
      <w:r w:rsidRPr="005A361F">
        <w:rPr>
          <w:rFonts w:eastAsia="Times New Roman"/>
        </w:rPr>
        <w:t>Minimum Technical Requirements</w:t>
      </w:r>
      <w:r w:rsidR="00E5146A">
        <w:rPr>
          <w:rFonts w:eastAsia="Times New Roman"/>
        </w:rPr>
        <w:t>”</w:t>
      </w:r>
      <w:r w:rsidRPr="005A361F">
        <w:rPr>
          <w:rFonts w:eastAsia="Times New Roman"/>
        </w:rPr>
        <w:t xml:space="preserve"> necessary to achieve a national interoperable broadband network for our nation‘s first responders. </w:t>
      </w:r>
      <w:r w:rsidRPr="005A361F">
        <w:rPr>
          <w:rFonts w:eastAsia="Times New Roman"/>
          <w:b/>
        </w:rPr>
        <w:t>As specified in the Spectrum Act, FirstNet will use these recommendations to help develop and maintain the NPSBN,</w:t>
      </w:r>
      <w:r w:rsidRPr="005A361F">
        <w:rPr>
          <w:rFonts w:eastAsia="Times New Roman"/>
        </w:rPr>
        <w:t xml:space="preserve"> </w:t>
      </w:r>
      <w:r w:rsidRPr="005A361F">
        <w:rPr>
          <w:rFonts w:eastAsia="Times New Roman"/>
        </w:rPr>
        <w:lastRenderedPageBreak/>
        <w:t>a goal which can only be met with through extensive and on-going cooperation among States and communities.</w:t>
      </w:r>
      <w:r>
        <w:rPr>
          <w:rFonts w:eastAsia="Times New Roman"/>
        </w:rPr>
        <w:t>”</w:t>
      </w:r>
      <w:r w:rsidRPr="005A361F">
        <w:rPr>
          <w:rFonts w:eastAsia="Times New Roman"/>
        </w:rPr>
        <w:t xml:space="preserve"> </w:t>
      </w:r>
    </w:p>
    <w:p w14:paraId="077F8721" w14:textId="7EDB457F" w:rsidR="00F93BC5" w:rsidRDefault="00E5146A" w:rsidP="007409DA">
      <w:pPr>
        <w:spacing w:after="120"/>
        <w:rPr>
          <w:rFonts w:eastAsia="Times New Roman"/>
        </w:rPr>
      </w:pPr>
      <w:r>
        <w:rPr>
          <w:rFonts w:eastAsia="Times New Roman"/>
        </w:rPr>
        <w:t>Secure a</w:t>
      </w:r>
      <w:r w:rsidR="002F2B18">
        <w:rPr>
          <w:rFonts w:eastAsia="Times New Roman"/>
        </w:rPr>
        <w:t>ccess to alternative networks is</w:t>
      </w:r>
      <w:r>
        <w:rPr>
          <w:rFonts w:eastAsia="Times New Roman"/>
        </w:rPr>
        <w:t xml:space="preserve"> a challenge but</w:t>
      </w:r>
      <w:r w:rsidR="002F2B18">
        <w:rPr>
          <w:rFonts w:eastAsia="Times New Roman"/>
        </w:rPr>
        <w:t xml:space="preserve"> not impossible</w:t>
      </w:r>
      <w:r>
        <w:rPr>
          <w:rFonts w:eastAsia="Times New Roman"/>
        </w:rPr>
        <w:t>, and this was expressly considered</w:t>
      </w:r>
      <w:r w:rsidR="003D6B9B">
        <w:rPr>
          <w:rFonts w:eastAsia="Times New Roman"/>
        </w:rPr>
        <w:t xml:space="preserve"> by the Technical Advisory Board</w:t>
      </w:r>
      <w:r>
        <w:rPr>
          <w:rFonts w:eastAsia="Times New Roman"/>
        </w:rPr>
        <w:t xml:space="preserve"> (see </w:t>
      </w:r>
      <w:r w:rsidRPr="00EB673F">
        <w:rPr>
          <w:rFonts w:eastAsia="Times New Roman"/>
          <w:i/>
        </w:rPr>
        <w:t>Technical Requirements</w:t>
      </w:r>
      <w:r>
        <w:rPr>
          <w:rFonts w:eastAsia="Times New Roman"/>
        </w:rPr>
        <w:t xml:space="preserve"> Section 4.8.5).</w:t>
      </w:r>
      <w:r w:rsidR="002F2B18">
        <w:rPr>
          <w:rFonts w:eastAsia="Times New Roman"/>
        </w:rPr>
        <w:t xml:space="preserve"> </w:t>
      </w:r>
      <w:r>
        <w:rPr>
          <w:rFonts w:eastAsia="Times New Roman"/>
        </w:rPr>
        <w:t>Other nations face the same issue and are moving forward with solutions</w:t>
      </w:r>
      <w:r w:rsidR="00AE6B78">
        <w:rPr>
          <w:rFonts w:eastAsia="Times New Roman"/>
        </w:rPr>
        <w:t xml:space="preserve">: </w:t>
      </w:r>
      <w:r w:rsidR="002F2B18">
        <w:rPr>
          <w:rFonts w:eastAsia="Times New Roman"/>
        </w:rPr>
        <w:t>South Korea</w:t>
      </w:r>
      <w:r w:rsidR="005A361F">
        <w:rPr>
          <w:rFonts w:eastAsia="Times New Roman"/>
        </w:rPr>
        <w:t xml:space="preserve"> will use</w:t>
      </w:r>
      <w:r w:rsidR="002F2B18">
        <w:rPr>
          <w:rFonts w:eastAsia="Times New Roman"/>
        </w:rPr>
        <w:t xml:space="preserve"> two carriers for their nationwide network and </w:t>
      </w:r>
      <w:r w:rsidR="007409DA">
        <w:rPr>
          <w:rFonts w:eastAsia="Times New Roman"/>
        </w:rPr>
        <w:t>indications are that Canada will use multiple carriers as well</w:t>
      </w:r>
      <w:r>
        <w:rPr>
          <w:rFonts w:eastAsia="Times New Roman"/>
        </w:rPr>
        <w:t xml:space="preserve"> for their everyday operations</w:t>
      </w:r>
      <w:r w:rsidR="007409DA">
        <w:rPr>
          <w:rFonts w:eastAsia="Times New Roman"/>
        </w:rPr>
        <w:t xml:space="preserve">.  Hurricanes, tornadoes, and wildfires do not </w:t>
      </w:r>
      <w:r w:rsidR="005A361F">
        <w:rPr>
          <w:rFonts w:eastAsia="Times New Roman"/>
        </w:rPr>
        <w:t>have an interest in who owns which sites</w:t>
      </w:r>
      <w:r>
        <w:rPr>
          <w:rFonts w:eastAsia="Times New Roman"/>
        </w:rPr>
        <w:t>, and first responders in the United States deserve the ability to communicate in disasters</w:t>
      </w:r>
      <w:bookmarkStart w:id="0" w:name="_GoBack"/>
      <w:bookmarkEnd w:id="0"/>
      <w:r>
        <w:rPr>
          <w:rFonts w:eastAsia="Times New Roman"/>
        </w:rPr>
        <w:t>.</w:t>
      </w:r>
    </w:p>
    <w:p w14:paraId="516FDB4C" w14:textId="77777777" w:rsidR="00F93BC5" w:rsidRDefault="00F93BC5" w:rsidP="00572343">
      <w:pPr>
        <w:rPr>
          <w:rFonts w:eastAsia="Times New Roman"/>
        </w:rPr>
      </w:pPr>
    </w:p>
    <w:p w14:paraId="0FF8AB6B" w14:textId="77777777" w:rsidR="00572343" w:rsidRDefault="00572343" w:rsidP="00572343">
      <w:r>
        <w:t>Submitted Respectfully,</w:t>
      </w:r>
    </w:p>
    <w:p w14:paraId="51D4DFC4" w14:textId="77777777" w:rsidR="00572343" w:rsidRDefault="00572343" w:rsidP="00572343"/>
    <w:p w14:paraId="6E994F5F" w14:textId="77777777" w:rsidR="00572343" w:rsidRDefault="00572343" w:rsidP="00572343">
      <w:r>
        <w:t>Ryan Poltermann</w:t>
      </w:r>
    </w:p>
    <w:p w14:paraId="0A86E24E" w14:textId="77777777" w:rsidR="00BB456B" w:rsidRDefault="00BB456B"/>
    <w:sectPr w:rsidR="00BB4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E4683A"/>
    <w:multiLevelType w:val="multilevel"/>
    <w:tmpl w:val="83CCA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343"/>
    <w:rsid w:val="00032D63"/>
    <w:rsid w:val="000C74A1"/>
    <w:rsid w:val="00112EB7"/>
    <w:rsid w:val="002F2B18"/>
    <w:rsid w:val="003D6B9B"/>
    <w:rsid w:val="00572343"/>
    <w:rsid w:val="005A361F"/>
    <w:rsid w:val="007409DA"/>
    <w:rsid w:val="00856EA5"/>
    <w:rsid w:val="00864616"/>
    <w:rsid w:val="00A70188"/>
    <w:rsid w:val="00AE6B78"/>
    <w:rsid w:val="00B87BE6"/>
    <w:rsid w:val="00BB456B"/>
    <w:rsid w:val="00E5146A"/>
    <w:rsid w:val="00EB673F"/>
    <w:rsid w:val="00F93BC5"/>
    <w:rsid w:val="00FC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ED4DC8"/>
  <w15:chartTrackingRefBased/>
  <w15:docId w15:val="{59CC951F-D6D7-E243-AE82-2EEDA0AF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2343"/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234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7234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8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0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2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9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Poltermann</dc:creator>
  <cp:keywords/>
  <dc:description/>
  <cp:lastModifiedBy>Ryan Poltermann</cp:lastModifiedBy>
  <cp:revision>12</cp:revision>
  <dcterms:created xsi:type="dcterms:W3CDTF">2019-10-11T17:42:00Z</dcterms:created>
  <dcterms:modified xsi:type="dcterms:W3CDTF">2019-10-11T18:14:00Z</dcterms:modified>
</cp:coreProperties>
</file>