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C8225" w14:textId="56B5AAAB" w:rsidR="00A656CF" w:rsidRDefault="000B7949" w:rsidP="00E60A36">
      <w:pPr>
        <w:suppressAutoHyphens/>
      </w:pPr>
      <w:r w:rsidRPr="00387BEF">
        <w:rPr>
          <w:noProof/>
        </w:rPr>
        <w:drawing>
          <wp:anchor distT="0" distB="0" distL="118745" distR="118745" simplePos="0" relativeHeight="251659264" behindDoc="0" locked="0" layoutInCell="1" allowOverlap="1" wp14:anchorId="5377CB53" wp14:editId="5833B826">
            <wp:simplePos x="0" y="0"/>
            <wp:positionH relativeFrom="column">
              <wp:posOffset>0</wp:posOffset>
            </wp:positionH>
            <wp:positionV relativeFrom="page">
              <wp:posOffset>557884</wp:posOffset>
            </wp:positionV>
            <wp:extent cx="2615565" cy="781050"/>
            <wp:effectExtent l="0" t="0" r="635" b="6350"/>
            <wp:wrapThrough wrapText="bothSides">
              <wp:wrapPolygon edited="0">
                <wp:start x="0" y="0"/>
                <wp:lineTo x="0" y="21424"/>
                <wp:lineTo x="21500" y="21424"/>
                <wp:lineTo x="21500" y="0"/>
                <wp:lineTo x="0" y="0"/>
              </wp:wrapPolygon>
            </wp:wrapThrough>
            <wp:docPr id="1" name="Picture 1" descr="Letterhead_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_Header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556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6877A8" w14:textId="6F3B72F2" w:rsidR="00A656CF" w:rsidRDefault="00A656CF" w:rsidP="00E60A36">
      <w:pPr>
        <w:suppressAutoHyphens/>
      </w:pPr>
    </w:p>
    <w:p w14:paraId="00497128" w14:textId="77777777" w:rsidR="00A656CF" w:rsidRDefault="00A656CF" w:rsidP="00E60A36">
      <w:pPr>
        <w:suppressAutoHyphens/>
      </w:pPr>
    </w:p>
    <w:p w14:paraId="75218683" w14:textId="77777777" w:rsidR="00A656CF" w:rsidRDefault="00A656CF" w:rsidP="00E60A36">
      <w:pPr>
        <w:suppressAutoHyphens/>
      </w:pPr>
    </w:p>
    <w:p w14:paraId="1D1F8945" w14:textId="1C86A981" w:rsidR="00BA1456" w:rsidRPr="00BA1456" w:rsidRDefault="00BA1456" w:rsidP="00E60A36">
      <w:pPr>
        <w:suppressAutoHyphens/>
      </w:pPr>
      <w:r>
        <w:t xml:space="preserve">Ms. Marlene H. Dortch, </w:t>
      </w:r>
      <w:r>
        <w:rPr>
          <w:i/>
        </w:rPr>
        <w:t>Secretary</w:t>
      </w:r>
    </w:p>
    <w:p w14:paraId="5DE1DDC7" w14:textId="77777777" w:rsidR="00AC19A6" w:rsidRDefault="00AC19A6" w:rsidP="00E60A36">
      <w:pPr>
        <w:suppressAutoHyphens/>
      </w:pPr>
      <w:r>
        <w:t>Federal Communications Commission</w:t>
      </w:r>
    </w:p>
    <w:p w14:paraId="3D060099" w14:textId="77777777" w:rsidR="00AC19A6" w:rsidRDefault="00AC19A6" w:rsidP="00E60A36">
      <w:pPr>
        <w:suppressAutoHyphens/>
      </w:pPr>
      <w:r>
        <w:t>445 12</w:t>
      </w:r>
      <w:r w:rsidRPr="00AC19A6">
        <w:rPr>
          <w:vertAlign w:val="superscript"/>
        </w:rPr>
        <w:t>th</w:t>
      </w:r>
      <w:r>
        <w:t xml:space="preserve"> Street SW</w:t>
      </w:r>
    </w:p>
    <w:p w14:paraId="2A51B73D" w14:textId="77777777" w:rsidR="00AC19A6" w:rsidRDefault="00AC19A6" w:rsidP="00E60A36">
      <w:pPr>
        <w:suppressAutoHyphens/>
      </w:pPr>
      <w:r>
        <w:t>Washington, D.C. 20554</w:t>
      </w:r>
    </w:p>
    <w:p w14:paraId="1BEF67D8" w14:textId="77777777" w:rsidR="00AC19A6" w:rsidRDefault="00AC19A6" w:rsidP="00E60A36">
      <w:pPr>
        <w:suppressAutoHyphens/>
      </w:pPr>
    </w:p>
    <w:p w14:paraId="4A6F844A" w14:textId="77777777" w:rsidR="002F416D" w:rsidRDefault="002F416D" w:rsidP="00E60A36">
      <w:pPr>
        <w:suppressAutoHyphens/>
        <w:jc w:val="center"/>
      </w:pPr>
    </w:p>
    <w:p w14:paraId="3332D4EA" w14:textId="1C23011E" w:rsidR="00AC19A6" w:rsidRDefault="00C66579" w:rsidP="00E60A36">
      <w:pPr>
        <w:suppressAutoHyphens/>
      </w:pPr>
      <w:r>
        <w:t xml:space="preserve">October </w:t>
      </w:r>
      <w:r w:rsidR="0050369C">
        <w:t>11</w:t>
      </w:r>
      <w:r w:rsidR="009D1612">
        <w:t xml:space="preserve">, </w:t>
      </w:r>
      <w:r>
        <w:t>2019</w:t>
      </w:r>
    </w:p>
    <w:p w14:paraId="401EDA2B" w14:textId="055A6CA0" w:rsidR="00AC19A6" w:rsidRDefault="00AC19A6" w:rsidP="00E60A36">
      <w:pPr>
        <w:suppressAutoHyphens/>
        <w:jc w:val="left"/>
      </w:pPr>
    </w:p>
    <w:p w14:paraId="7905FC54" w14:textId="77777777" w:rsidR="009F5809" w:rsidRDefault="009F5809" w:rsidP="00E60A36">
      <w:pPr>
        <w:suppressAutoHyphens/>
        <w:jc w:val="left"/>
      </w:pPr>
    </w:p>
    <w:p w14:paraId="7AA47032" w14:textId="7711D7B8" w:rsidR="002F416D" w:rsidRPr="002F416D" w:rsidRDefault="002F416D" w:rsidP="00E60A36">
      <w:pPr>
        <w:suppressAutoHyphens/>
        <w:ind w:left="360" w:hanging="360"/>
        <w:jc w:val="left"/>
      </w:pPr>
      <w:r>
        <w:rPr>
          <w:i/>
        </w:rPr>
        <w:t>In re</w:t>
      </w:r>
      <w:r>
        <w:t xml:space="preserve"> </w:t>
      </w:r>
      <w:r w:rsidR="00C66579" w:rsidRPr="00C66579">
        <w:t>Revision of the Commission's Rules to Ensure Compatibility with Enhanced 911 Emergency Calling System</w:t>
      </w:r>
      <w:r w:rsidR="00C66579">
        <w:t>s</w:t>
      </w:r>
      <w:r w:rsidR="009D1612">
        <w:t xml:space="preserve">. PS Docket No. </w:t>
      </w:r>
      <w:r w:rsidR="00C66579">
        <w:t>07-114</w:t>
      </w:r>
      <w:r w:rsidR="009D1612">
        <w:t>.</w:t>
      </w:r>
    </w:p>
    <w:p w14:paraId="1171206F" w14:textId="77777777" w:rsidR="002F416D" w:rsidRDefault="002F416D" w:rsidP="00E60A36">
      <w:pPr>
        <w:suppressAutoHyphens/>
        <w:jc w:val="center"/>
      </w:pPr>
    </w:p>
    <w:p w14:paraId="3BF5F5F3" w14:textId="77777777" w:rsidR="00AC19A6" w:rsidRDefault="00AC19A6" w:rsidP="00E60A36">
      <w:pPr>
        <w:suppressAutoHyphens/>
        <w:jc w:val="left"/>
      </w:pPr>
      <w:r>
        <w:t xml:space="preserve">Dear </w:t>
      </w:r>
      <w:r w:rsidR="009D1612">
        <w:t>Ms. Dortch</w:t>
      </w:r>
      <w:r>
        <w:t>:</w:t>
      </w:r>
    </w:p>
    <w:p w14:paraId="76C81232" w14:textId="55479A12" w:rsidR="007E20A2" w:rsidRPr="009D1612" w:rsidRDefault="00BA1456" w:rsidP="00E60A36">
      <w:pPr>
        <w:suppressAutoHyphens/>
        <w:ind w:firstLine="360"/>
      </w:pPr>
      <w:r>
        <w:t xml:space="preserve">On </w:t>
      </w:r>
      <w:r w:rsidR="0050369C">
        <w:t>October 9</w:t>
      </w:r>
      <w:r w:rsidR="0050369C" w:rsidRPr="0050369C">
        <w:rPr>
          <w:vertAlign w:val="superscript"/>
        </w:rPr>
        <w:t>th</w:t>
      </w:r>
      <w:r w:rsidR="0050369C">
        <w:t>, 2019</w:t>
      </w:r>
      <w:r w:rsidR="009D1612">
        <w:t xml:space="preserve">, the undersigned, </w:t>
      </w:r>
      <w:r w:rsidR="007E20A2">
        <w:t>Daniel Henry</w:t>
      </w:r>
      <w:r w:rsidR="009D1612">
        <w:t xml:space="preserve">, Director of Government Affairs, along with NENA CEO Dr. Brian Fontes and </w:t>
      </w:r>
      <w:r w:rsidR="007E20A2">
        <w:t>NENA Director of Technical Issues Brandon Abley</w:t>
      </w:r>
      <w:r w:rsidR="00E92E07">
        <w:t>,</w:t>
      </w:r>
      <w:r w:rsidR="007E20A2">
        <w:t xml:space="preserve"> </w:t>
      </w:r>
      <w:r w:rsidR="009D1612">
        <w:t xml:space="preserve">made an </w:t>
      </w:r>
      <w:r w:rsidR="009D1612">
        <w:rPr>
          <w:i/>
        </w:rPr>
        <w:t>ex parte</w:t>
      </w:r>
      <w:r w:rsidR="009D1612">
        <w:t xml:space="preserve"> presentation to representatives of the Commission’s Public Safety and Homeland Security Bureau with respect to the above-captioned proceedings. Present on behalf of the Bureau were </w:t>
      </w:r>
      <w:r w:rsidR="00505FFF" w:rsidRPr="00505FFF">
        <w:t>Ken Carlberg</w:t>
      </w:r>
      <w:r w:rsidR="007E20A2">
        <w:t xml:space="preserve">, John Evanoff, </w:t>
      </w:r>
      <w:r w:rsidR="0030648B">
        <w:t xml:space="preserve">Nellie Foosaner, </w:t>
      </w:r>
      <w:r w:rsidR="007E20A2">
        <w:t>David Furth, Erika Olsen, and Dr. Rasoul Safavian.</w:t>
      </w:r>
    </w:p>
    <w:p w14:paraId="41EAB79D" w14:textId="06FA71A9" w:rsidR="009D1612" w:rsidRDefault="009D1612" w:rsidP="00E60A36">
      <w:pPr>
        <w:suppressAutoHyphens/>
        <w:ind w:firstLine="360"/>
      </w:pPr>
      <w:r>
        <w:t xml:space="preserve">During our presentation, </w:t>
      </w:r>
      <w:r w:rsidR="007E20A2">
        <w:t xml:space="preserve">we </w:t>
      </w:r>
      <w:r w:rsidR="00861DA5">
        <w:t xml:space="preserve">discussed </w:t>
      </w:r>
      <w:r w:rsidR="00505FFF">
        <w:t>9-1-1</w:t>
      </w:r>
      <w:r w:rsidR="00E92E07">
        <w:t>’s</w:t>
      </w:r>
      <w:r w:rsidR="00505FFF">
        <w:t xml:space="preserve"> </w:t>
      </w:r>
      <w:r w:rsidR="00E92E07">
        <w:t xml:space="preserve">requirements </w:t>
      </w:r>
      <w:r w:rsidR="00133821">
        <w:t xml:space="preserve">for vertical (“Z-axis”) </w:t>
      </w:r>
      <w:r w:rsidR="00505FFF">
        <w:t xml:space="preserve">location accuracy, and expressed opposition to the “phased-in approach” to implementing the </w:t>
      </w:r>
      <w:r w:rsidR="00133821">
        <w:t>z</w:t>
      </w:r>
      <w:r w:rsidR="00505FFF">
        <w:t>-axis location accuracy benchmarks suggested by CTIA in their August ex parte filing.</w:t>
      </w:r>
      <w:r w:rsidR="00505FFF">
        <w:rPr>
          <w:rStyle w:val="FootnoteReference"/>
        </w:rPr>
        <w:footnoteReference w:id="1"/>
      </w:r>
      <w:r w:rsidR="00505FFF">
        <w:t xml:space="preserve"> </w:t>
      </w:r>
      <w:r w:rsidR="00133821">
        <w:t>Emphasizing</w:t>
      </w:r>
      <w:r w:rsidR="00505FFF">
        <w:t xml:space="preserve"> public safety’s sensitivity to timeline slip, we </w:t>
      </w:r>
      <w:r w:rsidR="00133821">
        <w:t xml:space="preserve">noted </w:t>
      </w:r>
      <w:r w:rsidR="00505FFF">
        <w:t xml:space="preserve">that the proposed benchmarks have been in place since the Commission’s 2015 Roadmap, and that </w:t>
      </w:r>
      <w:r w:rsidR="00133821">
        <w:t>— contrary to CTIA’s claim that commercially-available vertical location solutions are still in a “nascent state”</w:t>
      </w:r>
      <w:r w:rsidR="00133821" w:rsidRPr="00133821">
        <w:rPr>
          <w:rStyle w:val="FootnoteReference"/>
        </w:rPr>
        <w:t xml:space="preserve"> </w:t>
      </w:r>
      <w:r w:rsidR="00133821">
        <w:rPr>
          <w:rStyle w:val="FootnoteReference"/>
        </w:rPr>
        <w:footnoteReference w:id="2"/>
      </w:r>
      <w:r w:rsidR="00133821">
        <w:t xml:space="preserve"> — solutions </w:t>
      </w:r>
      <w:r w:rsidR="00505FFF">
        <w:t xml:space="preserve">capable of meeting the Commission’s </w:t>
      </w:r>
      <w:r w:rsidR="00E92E07">
        <w:t xml:space="preserve">2021 </w:t>
      </w:r>
      <w:r w:rsidR="00505FFF">
        <w:t xml:space="preserve">requirements </w:t>
      </w:r>
      <w:r w:rsidR="00133821">
        <w:t xml:space="preserve">have existed </w:t>
      </w:r>
      <w:r w:rsidR="00505FFF">
        <w:t>since CSRIC III</w:t>
      </w:r>
      <w:r w:rsidR="00133821">
        <w:t>.</w:t>
      </w:r>
      <w:r w:rsidR="00505FFF">
        <w:rPr>
          <w:rStyle w:val="FootnoteReference"/>
        </w:rPr>
        <w:footnoteReference w:id="3"/>
      </w:r>
    </w:p>
    <w:p w14:paraId="07CD2B05" w14:textId="0B7DA5BF" w:rsidR="00133821" w:rsidRDefault="00505FFF" w:rsidP="00E60A36">
      <w:pPr>
        <w:suppressAutoHyphens/>
        <w:ind w:firstLine="360"/>
      </w:pPr>
      <w:r>
        <w:t xml:space="preserve">In response to questions regarding market penetration of </w:t>
      </w:r>
      <w:r w:rsidR="00084BDE">
        <w:t xml:space="preserve">cellular </w:t>
      </w:r>
      <w:r>
        <w:t>handset barometric pressure (“BP”) sensors</w:t>
      </w:r>
      <w:r w:rsidR="00084BDE">
        <w:t xml:space="preserve"> </w:t>
      </w:r>
      <w:r w:rsidR="009E0D33">
        <w:t>(</w:t>
      </w:r>
      <w:r w:rsidR="00084BDE">
        <w:t>in the context that barometric pressure is used when measuring altitude on a smartphone</w:t>
      </w:r>
      <w:r w:rsidR="009E0D33">
        <w:t>)</w:t>
      </w:r>
      <w:r>
        <w:t xml:space="preserve">, we </w:t>
      </w:r>
      <w:r w:rsidR="00E92E07">
        <w:t xml:space="preserve">note a number of factors that speak to the prevalence of BP sensors in </w:t>
      </w:r>
      <w:r w:rsidR="001958A2">
        <w:t xml:space="preserve">the majority of </w:t>
      </w:r>
      <w:r w:rsidR="009E0D33">
        <w:t>these handsets</w:t>
      </w:r>
      <w:r w:rsidR="00E92E07">
        <w:t>.</w:t>
      </w:r>
      <w:r>
        <w:t xml:space="preserve"> </w:t>
      </w:r>
      <w:r w:rsidR="00FE0D41">
        <w:t xml:space="preserve">Historically speaking, </w:t>
      </w:r>
      <w:r>
        <w:t xml:space="preserve">BP </w:t>
      </w:r>
      <w:r w:rsidR="00375559">
        <w:t>sensors have been present in Android handsets since as early as 2011,</w:t>
      </w:r>
      <w:r w:rsidR="00375559">
        <w:rPr>
          <w:rStyle w:val="FootnoteReference"/>
        </w:rPr>
        <w:footnoteReference w:id="4"/>
      </w:r>
      <w:r w:rsidR="00375559">
        <w:t xml:space="preserve"> and in Apple handsets dating to 2014.</w:t>
      </w:r>
      <w:r w:rsidR="00375559">
        <w:rPr>
          <w:rStyle w:val="FootnoteReference"/>
        </w:rPr>
        <w:footnoteReference w:id="5"/>
      </w:r>
      <w:r w:rsidR="00375559">
        <w:t xml:space="preserve"> </w:t>
      </w:r>
      <w:r w:rsidR="00FE0D41">
        <w:t xml:space="preserve">In more recent years (from </w:t>
      </w:r>
      <w:r w:rsidR="000D6087">
        <w:t>2017 to 2Q2019</w:t>
      </w:r>
      <w:r w:rsidR="00FE0D41">
        <w:t>),</w:t>
      </w:r>
      <w:r w:rsidR="00375559">
        <w:t xml:space="preserve"> Apple</w:t>
      </w:r>
      <w:r w:rsidR="00FE0D41">
        <w:t xml:space="preserve"> and</w:t>
      </w:r>
      <w:r w:rsidR="00E92E07">
        <w:t xml:space="preserve"> </w:t>
      </w:r>
      <w:r w:rsidR="00375559">
        <w:t xml:space="preserve">Samsung </w:t>
      </w:r>
      <w:r w:rsidR="00133821">
        <w:t xml:space="preserve">together </w:t>
      </w:r>
      <w:r w:rsidR="000D6087">
        <w:t xml:space="preserve">comprised an average of </w:t>
      </w:r>
      <w:r w:rsidR="00FE0D41">
        <w:t>62</w:t>
      </w:r>
      <w:r w:rsidR="00375559">
        <w:t>% of U.S. smartphone sale</w:t>
      </w:r>
      <w:r w:rsidR="00E92E07">
        <w:t>s</w:t>
      </w:r>
      <w:r w:rsidR="00133821">
        <w:t>.</w:t>
      </w:r>
      <w:r w:rsidR="00133821">
        <w:rPr>
          <w:rStyle w:val="FootnoteReference"/>
        </w:rPr>
        <w:footnoteReference w:id="6"/>
      </w:r>
      <w:r w:rsidR="00133821">
        <w:t xml:space="preserve"> While these </w:t>
      </w:r>
      <w:r w:rsidR="00FE0D41">
        <w:t xml:space="preserve">two </w:t>
      </w:r>
      <w:r w:rsidR="00133821">
        <w:t xml:space="preserve">manufacturers alone do not represent the totality of the U.S. </w:t>
      </w:r>
      <w:r w:rsidR="00E92E07">
        <w:t xml:space="preserve">smartphone </w:t>
      </w:r>
      <w:r w:rsidR="00133821">
        <w:t xml:space="preserve">marketplace, they do </w:t>
      </w:r>
      <w:r w:rsidR="00B321B6">
        <w:t>constitute</w:t>
      </w:r>
      <w:r w:rsidR="00133821">
        <w:t xml:space="preserve"> a substantial portion of the handsets purchased by consumers during the past three years, and provide a </w:t>
      </w:r>
      <w:r w:rsidR="000B7949">
        <w:t>solid</w:t>
      </w:r>
      <w:r w:rsidR="00133821">
        <w:t xml:space="preserve"> basis on which to </w:t>
      </w:r>
      <w:r w:rsidR="000B7949">
        <w:t>make a rough assessment of BP sensors’</w:t>
      </w:r>
      <w:r w:rsidR="00133821">
        <w:t xml:space="preserve"> market penetration.</w:t>
      </w:r>
    </w:p>
    <w:p w14:paraId="7630FE2A" w14:textId="5D063373" w:rsidR="00505FFF" w:rsidRDefault="00B321B6" w:rsidP="00E60A36">
      <w:pPr>
        <w:suppressAutoHyphens/>
        <w:ind w:firstLine="360"/>
      </w:pPr>
      <w:r>
        <w:t>I</w:t>
      </w:r>
      <w:r w:rsidR="00FE0D41">
        <w:t xml:space="preserve">n our research, we were unable to find a single Apple or Samsung handset </w:t>
      </w:r>
      <w:r w:rsidR="00084BDE">
        <w:t xml:space="preserve">manufactured since 2014 </w:t>
      </w:r>
      <w:r w:rsidR="00FE0D41">
        <w:t>that lacked BP sensor hardware. Further, d</w:t>
      </w:r>
      <w:r w:rsidR="00BF2429">
        <w:t xml:space="preserve">espite the multitude of </w:t>
      </w:r>
      <w:r w:rsidR="00836647">
        <w:t>Android</w:t>
      </w:r>
      <w:r w:rsidR="00BF2429">
        <w:t xml:space="preserve"> handset models</w:t>
      </w:r>
      <w:r>
        <w:t xml:space="preserve"> across numerous manufacturers</w:t>
      </w:r>
      <w:r w:rsidR="00BF2429">
        <w:t xml:space="preserve">, </w:t>
      </w:r>
      <w:r>
        <w:t xml:space="preserve">we </w:t>
      </w:r>
      <w:r>
        <w:lastRenderedPageBreak/>
        <w:t xml:space="preserve">found that </w:t>
      </w:r>
      <w:r w:rsidR="00644EE0">
        <w:t xml:space="preserve">most </w:t>
      </w:r>
      <w:r w:rsidR="00BF2429">
        <w:t xml:space="preserve">models </w:t>
      </w:r>
      <w:r w:rsidR="00E10B53">
        <w:t xml:space="preserve">contain </w:t>
      </w:r>
      <w:r w:rsidR="00084BDE">
        <w:t xml:space="preserve">one of a small group of </w:t>
      </w:r>
      <w:r w:rsidR="00A272DD">
        <w:t>chipset</w:t>
      </w:r>
      <w:r w:rsidR="000B7949">
        <w:t>s</w:t>
      </w:r>
      <w:r w:rsidR="0026066D">
        <w:t xml:space="preserve"> such </w:t>
      </w:r>
      <w:bookmarkStart w:id="0" w:name="_GoBack"/>
      <w:bookmarkEnd w:id="0"/>
      <w:r w:rsidR="0026066D">
        <w:t xml:space="preserve">as </w:t>
      </w:r>
      <w:r w:rsidR="000B7949">
        <w:t xml:space="preserve">those in the </w:t>
      </w:r>
      <w:r w:rsidR="0026066D">
        <w:t>Qualcomm Snapdragon</w:t>
      </w:r>
      <w:r w:rsidR="00B05AFE">
        <w:t xml:space="preserve"> family</w:t>
      </w:r>
      <w:r w:rsidR="00E10B53">
        <w:t>,</w:t>
      </w:r>
      <w:r w:rsidR="00B05AFE">
        <w:rPr>
          <w:rStyle w:val="FootnoteReference"/>
        </w:rPr>
        <w:footnoteReference w:id="7"/>
      </w:r>
      <w:r w:rsidR="00E10B53">
        <w:t xml:space="preserve"> which make use of BP sensors like those produced by Bosch Sensortec. While results were mixed for LG, the third leading handset manufacturer in the U.S. (comprising 10–15% of handsets sold in the past three years), i</w:t>
      </w:r>
      <w:r w:rsidR="007A6CCE">
        <w:t xml:space="preserve">t is safe to assume that a </w:t>
      </w:r>
      <w:r w:rsidR="00E10B53">
        <w:t xml:space="preserve">comparatively </w:t>
      </w:r>
      <w:r w:rsidR="00300FD5">
        <w:t>small portion</w:t>
      </w:r>
      <w:r w:rsidR="007A6CCE">
        <w:t xml:space="preserve"> of </w:t>
      </w:r>
      <w:r w:rsidR="00FE0D41">
        <w:t xml:space="preserve">modern </w:t>
      </w:r>
      <w:r w:rsidR="00E10B53">
        <w:t xml:space="preserve">mobile phones </w:t>
      </w:r>
      <w:r w:rsidR="007A6CCE">
        <w:t xml:space="preserve">lack BP sensors. Looking forward, market </w:t>
      </w:r>
      <w:r w:rsidR="0015713B">
        <w:t>trends</w:t>
      </w:r>
      <w:r w:rsidR="007A6CCE">
        <w:t xml:space="preserve"> suggest that BP sensors aren’t going </w:t>
      </w:r>
      <w:r w:rsidR="00915949">
        <w:t>away</w:t>
      </w:r>
      <w:r w:rsidR="007A6CCE">
        <w:t>,</w:t>
      </w:r>
      <w:r w:rsidR="00084BDE">
        <w:t xml:space="preserve"> as applications such as fitness apps and</w:t>
      </w:r>
      <w:r w:rsidR="007A6CCE">
        <w:t xml:space="preserve"> small electronic devices </w:t>
      </w:r>
      <w:r w:rsidR="00084BDE">
        <w:t>like</w:t>
      </w:r>
      <w:r w:rsidR="007A6CCE">
        <w:t xml:space="preserve"> standalone GPS</w:t>
      </w:r>
      <w:r w:rsidR="00084BDE">
        <w:t xml:space="preserve"> and</w:t>
      </w:r>
      <w:r w:rsidR="007A6CCE">
        <w:t xml:space="preserve"> fitness trackers </w:t>
      </w:r>
      <w:r w:rsidR="0015713B">
        <w:t>increasingly</w:t>
      </w:r>
      <w:r w:rsidR="007A6CCE">
        <w:t xml:space="preserve"> incorporate </w:t>
      </w:r>
      <w:r w:rsidR="00084BDE">
        <w:t xml:space="preserve">altitude measurements, driving incentives to include </w:t>
      </w:r>
      <w:r w:rsidR="007A6CCE">
        <w:t>BP sensor hardware.</w:t>
      </w:r>
    </w:p>
    <w:p w14:paraId="2CC6047C" w14:textId="5633F8CD" w:rsidR="007A6CCE" w:rsidRDefault="0015713B" w:rsidP="00E60A36">
      <w:pPr>
        <w:suppressAutoHyphens/>
        <w:ind w:firstLine="360"/>
      </w:pPr>
      <w:r>
        <w:t xml:space="preserve">Regarding the deployment and use of </w:t>
      </w:r>
      <w:r w:rsidR="00300FD5">
        <w:t>Z</w:t>
      </w:r>
      <w:r>
        <w:t>-axis solutions across the country,</w:t>
      </w:r>
      <w:r w:rsidR="007A6CCE">
        <w:t xml:space="preserve"> </w:t>
      </w:r>
      <w:r>
        <w:t xml:space="preserve">we noted that despite the Commission’s rules </w:t>
      </w:r>
      <w:r w:rsidR="00FE0D41">
        <w:t xml:space="preserve">addressing </w:t>
      </w:r>
      <w:r>
        <w:t xml:space="preserve">only </w:t>
      </w:r>
      <w:r w:rsidR="00FE0D41">
        <w:t>urban areas</w:t>
      </w:r>
      <w:r>
        <w:t xml:space="preserve">, </w:t>
      </w:r>
      <w:r w:rsidR="00FE0D41">
        <w:t xml:space="preserve">concentrating regulatory and market focus on </w:t>
      </w:r>
      <w:r w:rsidR="00084BDE">
        <w:t>Z-axis location</w:t>
      </w:r>
      <w:r>
        <w:t xml:space="preserve"> can potentially scale to remote areas such as Washington state’s Gifford Pinchot National Forest</w:t>
      </w:r>
      <w:r w:rsidR="00FE0D41">
        <w:t xml:space="preserve">, where knowledge of caller elevation can cut response times by </w:t>
      </w:r>
      <w:r w:rsidR="00FE0D41" w:rsidRPr="00FE0D41">
        <w:t>hours</w:t>
      </w:r>
      <w:r>
        <w:t xml:space="preserve">. </w:t>
      </w:r>
      <w:r w:rsidR="00FE0D41">
        <w:t xml:space="preserve">This focus </w:t>
      </w:r>
      <w:r>
        <w:t xml:space="preserve">can be of great value to </w:t>
      </w:r>
      <w:r w:rsidRPr="0015713B">
        <w:rPr>
          <w:i/>
        </w:rPr>
        <w:t>all</w:t>
      </w:r>
      <w:r>
        <w:t xml:space="preserve"> Americans,</w:t>
      </w:r>
      <w:r w:rsidR="00987669">
        <w:t xml:space="preserve"> and</w:t>
      </w:r>
      <w:r>
        <w:t xml:space="preserve"> in this respect </w:t>
      </w:r>
      <w:r w:rsidR="00987669">
        <w:t xml:space="preserve">may be </w:t>
      </w:r>
      <w:r>
        <w:t>preferable in the long-term to those solutions that rely on urban infrastructure like Wi-Fi hotspots</w:t>
      </w:r>
      <w:r w:rsidR="00987669">
        <w:t>,</w:t>
      </w:r>
      <w:r>
        <w:t xml:space="preserve"> Bluetooth beacons, and even 5G access points.</w:t>
      </w:r>
    </w:p>
    <w:p w14:paraId="5D5DB989" w14:textId="786DC39E" w:rsidR="00505FFF" w:rsidRPr="009D1612" w:rsidRDefault="0015713B" w:rsidP="00E60A36">
      <w:pPr>
        <w:suppressAutoHyphens/>
        <w:ind w:firstLine="360"/>
      </w:pPr>
      <w:r>
        <w:t xml:space="preserve">Lastly, </w:t>
      </w:r>
      <w:r w:rsidR="00915949">
        <w:t xml:space="preserve">we expressed our continued concerns that the National Emergency Address Database (“NEAD”) could potentially generate dangerously inaccurate results for public safety, and that its compliance regime </w:t>
      </w:r>
      <w:r w:rsidR="009C60D9">
        <w:t xml:space="preserve">— </w:t>
      </w:r>
      <w:r w:rsidR="00915949">
        <w:t xml:space="preserve">which is based merely on the quantity of </w:t>
      </w:r>
      <w:r w:rsidR="009C60D9">
        <w:t xml:space="preserve">NEAD-registered </w:t>
      </w:r>
      <w:r w:rsidR="00915949">
        <w:t>access points in a given CMA</w:t>
      </w:r>
      <w:r w:rsidR="009C60D9">
        <w:t>, not necessarily on the population served by those access points</w:t>
      </w:r>
      <w:r w:rsidR="00AB346A">
        <w:t xml:space="preserve"> or even whether the system successfully provides accurate location at all</w:t>
      </w:r>
      <w:r w:rsidR="009C60D9">
        <w:t xml:space="preserve"> — </w:t>
      </w:r>
      <w:r w:rsidR="00915949">
        <w:t>creates the potential for vast swaths of unserved 9-1-1 callers</w:t>
      </w:r>
      <w:r w:rsidR="00AB346A">
        <w:t xml:space="preserve"> and poor quality of location provided to answering points</w:t>
      </w:r>
      <w:r w:rsidR="00915949">
        <w:t xml:space="preserve">. </w:t>
      </w:r>
      <w:r w:rsidR="009C60D9">
        <w:t xml:space="preserve">That said, we </w:t>
      </w:r>
      <w:r>
        <w:t>discussed</w:t>
      </w:r>
      <w:r w:rsidR="00987669">
        <w:t xml:space="preserve"> increasing the location accuracy rules’ granularity with respect to certain unique applications like large arenas and stadiums</w:t>
      </w:r>
      <w:r w:rsidR="00915949">
        <w:t>,</w:t>
      </w:r>
      <w:r w:rsidR="00987669">
        <w:t xml:space="preserve"> which may benefit disproportionately from a dispatchable location (“DL”) solution while avoiding the inaccuracy pitfalls that typically accompany such </w:t>
      </w:r>
      <w:r w:rsidR="00915949">
        <w:t>solutions</w:t>
      </w:r>
      <w:r w:rsidR="00987669">
        <w:t xml:space="preserve">. </w:t>
      </w:r>
    </w:p>
    <w:p w14:paraId="6492D102" w14:textId="77777777" w:rsidR="007A73DC" w:rsidRDefault="009D1612" w:rsidP="00E60A36">
      <w:pPr>
        <w:suppressAutoHyphens/>
        <w:ind w:firstLine="360"/>
      </w:pPr>
      <w:r>
        <w:rPr>
          <w:i/>
        </w:rPr>
        <w:t xml:space="preserve"> </w:t>
      </w:r>
      <w:r w:rsidR="00991163">
        <w:t>Should you have any questions concerning this presentation, please contact me as below.</w:t>
      </w:r>
    </w:p>
    <w:p w14:paraId="6F6924CC" w14:textId="77777777" w:rsidR="00770355" w:rsidRDefault="007A73DC" w:rsidP="00E60A36">
      <w:pPr>
        <w:suppressAutoHyphens/>
        <w:ind w:firstLine="360"/>
      </w:pPr>
      <w:r>
        <w:tab/>
      </w:r>
      <w:r>
        <w:tab/>
      </w:r>
      <w:r>
        <w:tab/>
      </w:r>
      <w:r>
        <w:tab/>
      </w:r>
      <w:r>
        <w:tab/>
      </w:r>
    </w:p>
    <w:p w14:paraId="2FB5959B" w14:textId="77777777" w:rsidR="00770355" w:rsidRDefault="00770355" w:rsidP="00E60A36">
      <w:pPr>
        <w:suppressAutoHyphens/>
        <w:ind w:firstLine="360"/>
      </w:pPr>
    </w:p>
    <w:p w14:paraId="64391992" w14:textId="488E9CE4" w:rsidR="007A73DC" w:rsidRDefault="007A73DC" w:rsidP="00E60A36">
      <w:pPr>
        <w:suppressAutoHyphens/>
      </w:pPr>
      <w:r>
        <w:t>Sincerely,</w:t>
      </w:r>
    </w:p>
    <w:p w14:paraId="7D96F411" w14:textId="62C4E3D4" w:rsidR="007A73DC" w:rsidRDefault="007A73DC" w:rsidP="00E60A36">
      <w:pPr>
        <w:suppressAutoHyphens/>
        <w:ind w:firstLine="360"/>
      </w:pPr>
    </w:p>
    <w:p w14:paraId="231E1DF3" w14:textId="77777777" w:rsidR="007A73DC" w:rsidRDefault="007A73DC" w:rsidP="00E60A36">
      <w:pPr>
        <w:suppressAutoHyphens/>
        <w:ind w:firstLine="360"/>
      </w:pPr>
    </w:p>
    <w:p w14:paraId="37F844CD" w14:textId="2225BF81" w:rsidR="007A73DC" w:rsidRDefault="00361A8A" w:rsidP="00E60A36">
      <w:pPr>
        <w:suppressAutoHyphens/>
      </w:pPr>
      <w:r>
        <w:t>Daniel Henry</w:t>
      </w:r>
    </w:p>
    <w:p w14:paraId="4A744D81" w14:textId="69E5687C" w:rsidR="007A73DC" w:rsidRDefault="007A73DC" w:rsidP="00E60A36">
      <w:pPr>
        <w:suppressAutoHyphens/>
        <w:rPr>
          <w:i/>
        </w:rPr>
      </w:pPr>
      <w:r>
        <w:rPr>
          <w:i/>
        </w:rPr>
        <w:t>Director of Government Affairs</w:t>
      </w:r>
    </w:p>
    <w:p w14:paraId="03208732" w14:textId="77777777" w:rsidR="00DB453C" w:rsidRDefault="00DB453C" w:rsidP="00E60A36">
      <w:pPr>
        <w:suppressAutoHyphens/>
        <w:ind w:firstLine="360"/>
        <w:rPr>
          <w:i/>
        </w:rPr>
      </w:pPr>
    </w:p>
    <w:p w14:paraId="11EF2EB5" w14:textId="77777777" w:rsidR="00DB453C" w:rsidRDefault="00DB453C" w:rsidP="00E60A36">
      <w:pPr>
        <w:suppressAutoHyphens/>
        <w:ind w:firstLine="360"/>
        <w:rPr>
          <w:i/>
        </w:rPr>
      </w:pPr>
    </w:p>
    <w:p w14:paraId="6065BD62" w14:textId="1F10F36F" w:rsidR="00991163" w:rsidRDefault="00DB453C" w:rsidP="00E60A36">
      <w:pPr>
        <w:suppressAutoHyphens/>
      </w:pPr>
      <w:r>
        <w:t xml:space="preserve">CC: </w:t>
      </w:r>
      <w:r w:rsidR="00991163">
        <w:tab/>
      </w:r>
      <w:r w:rsidR="009F5809">
        <w:t>Ken Carlberg</w:t>
      </w:r>
      <w:r w:rsidR="00361A8A">
        <w:t>, PSHSB</w:t>
      </w:r>
    </w:p>
    <w:p w14:paraId="04D15D59" w14:textId="4C9B0808" w:rsidR="00361A8A" w:rsidRDefault="00361A8A" w:rsidP="00E60A36">
      <w:pPr>
        <w:suppressAutoHyphens/>
      </w:pPr>
      <w:r>
        <w:tab/>
      </w:r>
      <w:r w:rsidR="009F5809">
        <w:t>John Evanoff</w:t>
      </w:r>
      <w:r>
        <w:t>, PSHSB</w:t>
      </w:r>
    </w:p>
    <w:p w14:paraId="423F60E4" w14:textId="728FF558" w:rsidR="00361A8A" w:rsidRDefault="00361A8A" w:rsidP="00E60A36">
      <w:pPr>
        <w:suppressAutoHyphens/>
      </w:pPr>
      <w:r>
        <w:tab/>
      </w:r>
      <w:r w:rsidR="009F5809">
        <w:t>David Furth</w:t>
      </w:r>
      <w:r>
        <w:t>, PSHSB</w:t>
      </w:r>
    </w:p>
    <w:p w14:paraId="17C41407" w14:textId="54913150" w:rsidR="009F5809" w:rsidRDefault="009F5809" w:rsidP="00E60A36">
      <w:pPr>
        <w:suppressAutoHyphens/>
      </w:pPr>
      <w:r>
        <w:tab/>
        <w:t>Nellie Foosaner, PSHSB</w:t>
      </w:r>
    </w:p>
    <w:p w14:paraId="611DA819" w14:textId="2F959DA5" w:rsidR="009F5809" w:rsidRDefault="009F5809" w:rsidP="00E60A36">
      <w:pPr>
        <w:suppressAutoHyphens/>
      </w:pPr>
      <w:r>
        <w:tab/>
        <w:t>Erika Olsen, PSHSB</w:t>
      </w:r>
    </w:p>
    <w:p w14:paraId="19CD97D7" w14:textId="1E8BB1D8" w:rsidR="009F5809" w:rsidRPr="00DB453C" w:rsidRDefault="009F5809" w:rsidP="00E60A36">
      <w:pPr>
        <w:suppressAutoHyphens/>
      </w:pPr>
      <w:r>
        <w:tab/>
        <w:t>Dr. Rasoul Safavian, PSHSB</w:t>
      </w:r>
    </w:p>
    <w:sectPr w:rsidR="009F5809" w:rsidRPr="00DB453C" w:rsidSect="00A656CF">
      <w:footerReference w:type="default" r:id="rId9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8476E" w14:textId="77777777" w:rsidR="00BC34F9" w:rsidRDefault="00BC34F9" w:rsidP="006C44E1">
      <w:pPr>
        <w:spacing w:line="240" w:lineRule="auto"/>
      </w:pPr>
      <w:r>
        <w:separator/>
      </w:r>
    </w:p>
  </w:endnote>
  <w:endnote w:type="continuationSeparator" w:id="0">
    <w:p w14:paraId="47C396D6" w14:textId="77777777" w:rsidR="00BC34F9" w:rsidRDefault="00BC34F9" w:rsidP="006C44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Perpetua">
    <w:panose1 w:val="02020502060401020303"/>
    <w:charset w:val="4D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yriad Pro Light">
    <w:altName w:val="Calibri"/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altName w:val="Corbel"/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 Semibold">
    <w:altName w:val="Malgun Gothic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venir-Light">
    <w:altName w:val="Calibri"/>
    <w:panose1 w:val="020B0402020203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 (Body CS)">
    <w:panose1 w:val="02020603050405020304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A7F70" w14:textId="77777777" w:rsidR="009D1612" w:rsidRDefault="009D1612" w:rsidP="00F407CB">
    <w:pPr>
      <w:pStyle w:val="Footer"/>
      <w:tabs>
        <w:tab w:val="clear" w:pos="4320"/>
        <w:tab w:val="clear" w:pos="8640"/>
        <w:tab w:val="left" w:pos="3054"/>
      </w:tabs>
    </w:pPr>
    <w:r w:rsidRPr="00C57A6B">
      <w:rPr>
        <w:noProof/>
      </w:rPr>
      <w:drawing>
        <wp:anchor distT="0" distB="0" distL="114300" distR="114300" simplePos="0" relativeHeight="251664384" behindDoc="1" locked="0" layoutInCell="1" allowOverlap="1" wp14:anchorId="269949B5" wp14:editId="61AD650A">
          <wp:simplePos x="0" y="0"/>
          <wp:positionH relativeFrom="column">
            <wp:posOffset>-9050</wp:posOffset>
          </wp:positionH>
          <wp:positionV relativeFrom="page">
            <wp:posOffset>9709808</wp:posOffset>
          </wp:positionV>
          <wp:extent cx="5533920" cy="110067"/>
          <wp:effectExtent l="25400" t="0" r="3280" b="0"/>
          <wp:wrapNone/>
          <wp:docPr id="4" name="Picture 4" descr="Letterhead_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_Foo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33920" cy="1100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1EF63" w14:textId="77777777" w:rsidR="00BC34F9" w:rsidRDefault="00BC34F9" w:rsidP="006C44E1">
      <w:pPr>
        <w:spacing w:line="240" w:lineRule="auto"/>
      </w:pPr>
      <w:r>
        <w:separator/>
      </w:r>
    </w:p>
  </w:footnote>
  <w:footnote w:type="continuationSeparator" w:id="0">
    <w:p w14:paraId="7C422AF3" w14:textId="77777777" w:rsidR="00BC34F9" w:rsidRDefault="00BC34F9" w:rsidP="006C44E1">
      <w:pPr>
        <w:spacing w:line="240" w:lineRule="auto"/>
      </w:pPr>
      <w:r>
        <w:continuationSeparator/>
      </w:r>
    </w:p>
  </w:footnote>
  <w:footnote w:id="1">
    <w:p w14:paraId="6FD0F06B" w14:textId="0639927A" w:rsidR="00505FFF" w:rsidRPr="00A656CF" w:rsidRDefault="00505FFF">
      <w:pPr>
        <w:pStyle w:val="FootnoteText"/>
        <w:rPr>
          <w:sz w:val="18"/>
          <w:szCs w:val="18"/>
        </w:rPr>
      </w:pPr>
      <w:r w:rsidRPr="00A656CF">
        <w:rPr>
          <w:rStyle w:val="FootnoteReference"/>
          <w:sz w:val="18"/>
          <w:szCs w:val="18"/>
        </w:rPr>
        <w:footnoteRef/>
      </w:r>
      <w:r w:rsidRPr="00A656CF">
        <w:rPr>
          <w:sz w:val="18"/>
          <w:szCs w:val="18"/>
        </w:rPr>
        <w:t xml:space="preserve"> </w:t>
      </w:r>
      <w:r w:rsidR="009F5809" w:rsidRPr="00A656CF">
        <w:rPr>
          <w:sz w:val="18"/>
          <w:szCs w:val="18"/>
        </w:rPr>
        <w:t>Notice of Ex Parte Presentation from CTIA, PS Docket No. 07-114 (Sept. 3, 2019).</w:t>
      </w:r>
    </w:p>
  </w:footnote>
  <w:footnote w:id="2">
    <w:p w14:paraId="68E8F112" w14:textId="77777777" w:rsidR="00133821" w:rsidRPr="00A656CF" w:rsidRDefault="00133821" w:rsidP="00133821">
      <w:pPr>
        <w:pStyle w:val="FootnoteText"/>
        <w:rPr>
          <w:sz w:val="18"/>
          <w:szCs w:val="18"/>
        </w:rPr>
      </w:pPr>
      <w:r w:rsidRPr="00A656CF">
        <w:rPr>
          <w:rStyle w:val="FootnoteReference"/>
          <w:sz w:val="18"/>
          <w:szCs w:val="18"/>
        </w:rPr>
        <w:footnoteRef/>
      </w:r>
      <w:r w:rsidRPr="00A656CF">
        <w:rPr>
          <w:sz w:val="18"/>
          <w:szCs w:val="18"/>
        </w:rPr>
        <w:t xml:space="preserve"> CTIA Ex Parte.</w:t>
      </w:r>
    </w:p>
  </w:footnote>
  <w:footnote w:id="3">
    <w:p w14:paraId="7CD3D0B6" w14:textId="59062DE0" w:rsidR="00505FFF" w:rsidRPr="00A656CF" w:rsidRDefault="00505FFF">
      <w:pPr>
        <w:pStyle w:val="FootnoteText"/>
        <w:rPr>
          <w:sz w:val="18"/>
          <w:szCs w:val="18"/>
        </w:rPr>
      </w:pPr>
      <w:r w:rsidRPr="00A656CF">
        <w:rPr>
          <w:rStyle w:val="FootnoteReference"/>
          <w:sz w:val="18"/>
          <w:szCs w:val="18"/>
        </w:rPr>
        <w:footnoteRef/>
      </w:r>
      <w:r w:rsidRPr="00A656CF">
        <w:rPr>
          <w:sz w:val="18"/>
          <w:szCs w:val="18"/>
        </w:rPr>
        <w:t xml:space="preserve"> </w:t>
      </w:r>
      <w:r w:rsidR="009F5809" w:rsidRPr="00A656CF">
        <w:rPr>
          <w:sz w:val="18"/>
          <w:szCs w:val="18"/>
        </w:rPr>
        <w:t xml:space="preserve">CSRIC III Working Group 3 Indoor Location Test Bed Report, March 14, 2013, p. 36, </w:t>
      </w:r>
      <w:hyperlink r:id="rId1" w:history="1">
        <w:r w:rsidR="009F5809" w:rsidRPr="00A656CF">
          <w:rPr>
            <w:rStyle w:val="Hyperlink"/>
            <w:sz w:val="18"/>
            <w:szCs w:val="18"/>
          </w:rPr>
          <w:t>https://transition.fcc.gov/bureaus/pshs/advisory/csric3/CSRIC_III_WG3_Report_March_%202013_ILTestBedReport.pdf</w:t>
        </w:r>
      </w:hyperlink>
      <w:r w:rsidR="009F5809" w:rsidRPr="00A656CF">
        <w:rPr>
          <w:sz w:val="18"/>
          <w:szCs w:val="18"/>
        </w:rPr>
        <w:t>.</w:t>
      </w:r>
    </w:p>
  </w:footnote>
  <w:footnote w:id="4">
    <w:p w14:paraId="3FF2968C" w14:textId="087C7E0C" w:rsidR="00375559" w:rsidRPr="00A656CF" w:rsidRDefault="00375559">
      <w:pPr>
        <w:pStyle w:val="FootnoteText"/>
        <w:rPr>
          <w:sz w:val="18"/>
          <w:szCs w:val="18"/>
        </w:rPr>
      </w:pPr>
      <w:r w:rsidRPr="00A656CF">
        <w:rPr>
          <w:rStyle w:val="FootnoteReference"/>
          <w:sz w:val="18"/>
          <w:szCs w:val="18"/>
        </w:rPr>
        <w:footnoteRef/>
      </w:r>
      <w:r w:rsidRPr="00A656CF">
        <w:rPr>
          <w:sz w:val="18"/>
          <w:szCs w:val="18"/>
        </w:rPr>
        <w:t xml:space="preserve"> Engadget identifies the Bosch BMP180 BP sensor hardware in the Samsung Galaxy Nexus as “the first of its kind in a smartphone.” </w:t>
      </w:r>
      <w:r w:rsidRPr="00A656CF">
        <w:rPr>
          <w:i/>
          <w:sz w:val="18"/>
          <w:szCs w:val="18"/>
        </w:rPr>
        <w:t>Behind the glass: a detailed tour inside the Samsung Galaxy Nexus</w:t>
      </w:r>
      <w:r w:rsidRPr="00A656CF">
        <w:rPr>
          <w:sz w:val="18"/>
          <w:szCs w:val="18"/>
        </w:rPr>
        <w:t xml:space="preserve">. </w:t>
      </w:r>
      <w:r w:rsidRPr="00A656CF">
        <w:rPr>
          <w:rFonts w:cs="Times New Roman (Body CS)"/>
          <w:smallCaps/>
          <w:sz w:val="18"/>
          <w:szCs w:val="18"/>
        </w:rPr>
        <w:t>Engadget</w:t>
      </w:r>
      <w:r w:rsidRPr="00A656CF">
        <w:rPr>
          <w:sz w:val="18"/>
          <w:szCs w:val="18"/>
        </w:rPr>
        <w:t>. October 20, 2011. Accessed October 10, 2019. https://www.engadget.com/2011/10/20/behind-the-glass-a-detailed-tour-inside-the-samsung-galaxy-nexu/</w:t>
      </w:r>
    </w:p>
  </w:footnote>
  <w:footnote w:id="5">
    <w:p w14:paraId="61B237FD" w14:textId="07A6DBDD" w:rsidR="00375559" w:rsidRPr="00A656CF" w:rsidRDefault="00375559">
      <w:pPr>
        <w:pStyle w:val="FootnoteText"/>
        <w:rPr>
          <w:sz w:val="18"/>
          <w:szCs w:val="18"/>
        </w:rPr>
      </w:pPr>
      <w:r w:rsidRPr="00A656CF">
        <w:rPr>
          <w:rStyle w:val="FootnoteReference"/>
          <w:sz w:val="18"/>
          <w:szCs w:val="18"/>
        </w:rPr>
        <w:footnoteRef/>
      </w:r>
      <w:r w:rsidRPr="00A656CF">
        <w:rPr>
          <w:sz w:val="18"/>
          <w:szCs w:val="18"/>
        </w:rPr>
        <w:t xml:space="preserve"> </w:t>
      </w:r>
      <w:r w:rsidR="009F5809" w:rsidRPr="00A656CF">
        <w:rPr>
          <w:i/>
          <w:sz w:val="18"/>
          <w:szCs w:val="18"/>
        </w:rPr>
        <w:t>Slow clap: New iPhone6 has a barometer</w:t>
      </w:r>
      <w:r w:rsidR="009F5809" w:rsidRPr="00A656CF">
        <w:rPr>
          <w:sz w:val="18"/>
          <w:szCs w:val="18"/>
        </w:rPr>
        <w:t xml:space="preserve">, </w:t>
      </w:r>
      <w:r w:rsidR="009F5809" w:rsidRPr="00A656CF">
        <w:rPr>
          <w:rFonts w:cs="Times New Roman (Body CS)"/>
          <w:smallCaps/>
          <w:sz w:val="18"/>
          <w:szCs w:val="18"/>
        </w:rPr>
        <w:t>The Washington Post</w:t>
      </w:r>
      <w:r w:rsidR="009F5809" w:rsidRPr="00A656CF">
        <w:rPr>
          <w:sz w:val="18"/>
          <w:szCs w:val="18"/>
        </w:rPr>
        <w:t>, September 9, 2014, accessed October 10, 2019, https://www.washingtonpost.com/news/capital-weather-gang/wp/2014/09/09/slow-clap-new-iphone6-has-a-barometer/</w:t>
      </w:r>
    </w:p>
  </w:footnote>
  <w:footnote w:id="6">
    <w:p w14:paraId="3AC92B5C" w14:textId="77777777" w:rsidR="00133821" w:rsidRPr="00A656CF" w:rsidRDefault="00133821" w:rsidP="00133821">
      <w:pPr>
        <w:pStyle w:val="FootnoteText"/>
        <w:rPr>
          <w:sz w:val="18"/>
          <w:szCs w:val="18"/>
        </w:rPr>
      </w:pPr>
      <w:r w:rsidRPr="00A656CF">
        <w:rPr>
          <w:rStyle w:val="FootnoteReference"/>
          <w:sz w:val="18"/>
          <w:szCs w:val="18"/>
        </w:rPr>
        <w:footnoteRef/>
      </w:r>
      <w:r w:rsidRPr="00A656CF">
        <w:rPr>
          <w:sz w:val="18"/>
          <w:szCs w:val="18"/>
        </w:rPr>
        <w:t xml:space="preserve"> </w:t>
      </w:r>
      <w:r w:rsidRPr="00A656CF">
        <w:rPr>
          <w:i/>
          <w:sz w:val="18"/>
          <w:szCs w:val="18"/>
        </w:rPr>
        <w:t>See</w:t>
      </w:r>
      <w:r w:rsidRPr="00A656CF">
        <w:rPr>
          <w:sz w:val="18"/>
          <w:szCs w:val="18"/>
        </w:rPr>
        <w:t xml:space="preserve"> </w:t>
      </w:r>
      <w:r w:rsidRPr="00A656CF">
        <w:rPr>
          <w:i/>
          <w:sz w:val="18"/>
          <w:szCs w:val="18"/>
        </w:rPr>
        <w:t>U.S. Smartphone Market Share: By Quarter</w:t>
      </w:r>
      <w:r w:rsidRPr="00A656CF">
        <w:rPr>
          <w:sz w:val="18"/>
          <w:szCs w:val="18"/>
        </w:rPr>
        <w:t xml:space="preserve">, </w:t>
      </w:r>
      <w:r w:rsidRPr="00A656CF">
        <w:rPr>
          <w:rFonts w:cs="Times New Roman (Body CS)"/>
          <w:smallCaps/>
          <w:sz w:val="18"/>
          <w:szCs w:val="18"/>
        </w:rPr>
        <w:t>Counterpoint Research,</w:t>
      </w:r>
      <w:r w:rsidRPr="00A656CF">
        <w:rPr>
          <w:sz w:val="18"/>
          <w:szCs w:val="18"/>
        </w:rPr>
        <w:t xml:space="preserve"> August 27, 2019, accessed October 10, 2019, https://www.counterpointresearch.com/us-market-smartphone-share/.</w:t>
      </w:r>
    </w:p>
  </w:footnote>
  <w:footnote w:id="7">
    <w:p w14:paraId="2F55437B" w14:textId="5D8217CD" w:rsidR="00B05AFE" w:rsidRPr="00A656CF" w:rsidRDefault="00B05AFE">
      <w:pPr>
        <w:pStyle w:val="FootnoteText"/>
        <w:rPr>
          <w:sz w:val="18"/>
          <w:szCs w:val="18"/>
        </w:rPr>
      </w:pPr>
      <w:r w:rsidRPr="00A656CF">
        <w:rPr>
          <w:rStyle w:val="FootnoteReference"/>
          <w:sz w:val="18"/>
          <w:szCs w:val="18"/>
        </w:rPr>
        <w:footnoteRef/>
      </w:r>
      <w:r w:rsidRPr="00A656CF">
        <w:rPr>
          <w:sz w:val="18"/>
          <w:szCs w:val="18"/>
        </w:rPr>
        <w:t xml:space="preserve"> </w:t>
      </w:r>
      <w:r w:rsidR="007A6CCE" w:rsidRPr="00A656CF">
        <w:rPr>
          <w:sz w:val="18"/>
          <w:szCs w:val="18"/>
        </w:rPr>
        <w:t xml:space="preserve">Qualcomm’s website lists 132 different devices containing Snapdragon </w:t>
      </w:r>
      <w:r w:rsidR="00A272DD" w:rsidRPr="00A656CF">
        <w:rPr>
          <w:sz w:val="18"/>
          <w:szCs w:val="18"/>
        </w:rPr>
        <w:t>chipset</w:t>
      </w:r>
      <w:r w:rsidR="007A6CCE" w:rsidRPr="00A656CF">
        <w:rPr>
          <w:sz w:val="18"/>
          <w:szCs w:val="18"/>
        </w:rPr>
        <w:t xml:space="preserve">, </w:t>
      </w:r>
      <w:r w:rsidR="007A6CCE" w:rsidRPr="00A656CF">
        <w:rPr>
          <w:i/>
          <w:sz w:val="18"/>
          <w:szCs w:val="18"/>
        </w:rPr>
        <w:t>Snapdragon Phone Finder</w:t>
      </w:r>
      <w:r w:rsidR="007A6CCE" w:rsidRPr="00A656CF">
        <w:rPr>
          <w:sz w:val="18"/>
          <w:szCs w:val="18"/>
        </w:rPr>
        <w:t xml:space="preserve">, </w:t>
      </w:r>
      <w:r w:rsidR="007A6CCE" w:rsidRPr="00A656CF">
        <w:rPr>
          <w:rFonts w:cs="Times New Roman (Body CS)"/>
          <w:smallCaps/>
          <w:sz w:val="18"/>
          <w:szCs w:val="18"/>
        </w:rPr>
        <w:t>Qualcomm</w:t>
      </w:r>
      <w:r w:rsidR="007A6CCE" w:rsidRPr="00A656CF">
        <w:rPr>
          <w:sz w:val="18"/>
          <w:szCs w:val="18"/>
        </w:rPr>
        <w:t xml:space="preserve">, accessed October 10, 2019, </w:t>
      </w:r>
      <w:hyperlink r:id="rId2" w:history="1">
        <w:r w:rsidR="007A6CCE" w:rsidRPr="00A656CF">
          <w:rPr>
            <w:rStyle w:val="Hyperlink"/>
            <w:sz w:val="18"/>
            <w:szCs w:val="18"/>
          </w:rPr>
          <w:t>https://www.qualcomm.com/snapdragon/devices/phone-finder</w:t>
        </w:r>
      </w:hyperlink>
      <w:r w:rsidR="007A6CCE" w:rsidRPr="00A656CF">
        <w:rPr>
          <w:sz w:val="18"/>
          <w:szCs w:val="18"/>
        </w:rPr>
        <w:t xml:space="preserve">; </w:t>
      </w:r>
      <w:r w:rsidR="007A6CCE" w:rsidRPr="00A656CF">
        <w:rPr>
          <w:i/>
          <w:sz w:val="18"/>
          <w:szCs w:val="18"/>
        </w:rPr>
        <w:t>also</w:t>
      </w:r>
      <w:r w:rsidR="007A6CCE" w:rsidRPr="00A656CF">
        <w:rPr>
          <w:sz w:val="18"/>
          <w:szCs w:val="18"/>
        </w:rPr>
        <w:t xml:space="preserve"> </w:t>
      </w:r>
      <w:r w:rsidRPr="00A656CF">
        <w:rPr>
          <w:i/>
          <w:sz w:val="18"/>
          <w:szCs w:val="18"/>
        </w:rPr>
        <w:t>See, e.g.,</w:t>
      </w:r>
      <w:r w:rsidRPr="00A656CF">
        <w:rPr>
          <w:sz w:val="18"/>
          <w:szCs w:val="18"/>
        </w:rPr>
        <w:t xml:space="preserve"> </w:t>
      </w:r>
      <w:r w:rsidRPr="00A656CF">
        <w:rPr>
          <w:i/>
          <w:sz w:val="18"/>
          <w:szCs w:val="18"/>
        </w:rPr>
        <w:t>List of Smartphones Powered by Qualcomm Snapdragon 845 Processor</w:t>
      </w:r>
      <w:r w:rsidRPr="00A656CF">
        <w:rPr>
          <w:sz w:val="18"/>
          <w:szCs w:val="18"/>
        </w:rPr>
        <w:t xml:space="preserve">, </w:t>
      </w:r>
      <w:r w:rsidRPr="00A656CF">
        <w:rPr>
          <w:rFonts w:cs="Times New Roman (Body CS)"/>
          <w:smallCaps/>
          <w:sz w:val="18"/>
          <w:szCs w:val="18"/>
        </w:rPr>
        <w:t>Techwalls</w:t>
      </w:r>
      <w:r w:rsidRPr="00A656CF">
        <w:rPr>
          <w:sz w:val="18"/>
          <w:szCs w:val="18"/>
        </w:rPr>
        <w:t xml:space="preserve">, August 12, 2019, accessed October 10, 2019, </w:t>
      </w:r>
      <w:hyperlink r:id="rId3" w:history="1">
        <w:r w:rsidR="00836647" w:rsidRPr="00A656CF">
          <w:rPr>
            <w:rStyle w:val="Hyperlink"/>
            <w:sz w:val="18"/>
            <w:szCs w:val="18"/>
          </w:rPr>
          <w:t>https://www.techwalls.com/qualcomm-snapdragon-845-smartphones/</w:t>
        </w:r>
      </w:hyperlink>
      <w:r w:rsidR="00836647" w:rsidRPr="00A656CF">
        <w:rPr>
          <w:sz w:val="18"/>
          <w:szCs w:val="18"/>
        </w:rPr>
        <w:t xml:space="preserve">; Surface RT 2: Tegra confirmed, despite superiority of Snapdragon and Bay Trail, ExtremeTech, August 9, 2013, accessed October 10, 2019, </w:t>
      </w:r>
      <w:hyperlink r:id="rId4" w:history="1">
        <w:r w:rsidR="00836647" w:rsidRPr="00A656CF">
          <w:rPr>
            <w:rStyle w:val="Hyperlink"/>
            <w:sz w:val="18"/>
            <w:szCs w:val="18"/>
          </w:rPr>
          <w:t>https://www.extremetech.com/computing/163582-surface-rt-2-tegra-confirmed-despite-superiority-of-snapdragon-and-bay-trail</w:t>
        </w:r>
      </w:hyperlink>
      <w:r w:rsidR="00836647" w:rsidRPr="00A656CF">
        <w:rPr>
          <w:sz w:val="18"/>
          <w:szCs w:val="18"/>
        </w:rPr>
        <w:t xml:space="preserve">, (“…almost every smartphone and tablet announced in the last few months has been powered by a Qualcomm Snapdragon 600 or 800 </w:t>
      </w:r>
      <w:r w:rsidR="00A272DD" w:rsidRPr="00A656CF">
        <w:rPr>
          <w:sz w:val="18"/>
          <w:szCs w:val="18"/>
        </w:rPr>
        <w:t>[system on a chip]</w:t>
      </w:r>
      <w:r w:rsidR="00836647" w:rsidRPr="00A656CF">
        <w:rPr>
          <w:sz w:val="18"/>
          <w:szCs w:val="18"/>
        </w:rPr>
        <w:t>.”)</w:t>
      </w:r>
      <w:r w:rsidR="007A6CCE" w:rsidRPr="00A656CF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D4AC5"/>
    <w:multiLevelType w:val="hybridMultilevel"/>
    <w:tmpl w:val="A0CE71EA"/>
    <w:lvl w:ilvl="0" w:tplc="99DE5F6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0208E"/>
    <w:multiLevelType w:val="hybridMultilevel"/>
    <w:tmpl w:val="E22C6AB6"/>
    <w:lvl w:ilvl="0" w:tplc="52A615E8">
      <w:start w:val="1"/>
      <w:numFmt w:val="decimal"/>
      <w:pStyle w:val="BulletNumb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embedSystemFonts/>
  <w:proofState w:spelling="clean" w:grammar="clean"/>
  <w:attachedTemplate r:id="rId1"/>
  <w:defaultTabStop w:val="720"/>
  <w:autoHyphenation/>
  <w:hyphenationZone w:val="180"/>
  <w:doNotHyphenateCaps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9A6"/>
    <w:rsid w:val="00084BDE"/>
    <w:rsid w:val="000B7949"/>
    <w:rsid w:val="000D6087"/>
    <w:rsid w:val="0010315F"/>
    <w:rsid w:val="00133821"/>
    <w:rsid w:val="0015713B"/>
    <w:rsid w:val="0017217B"/>
    <w:rsid w:val="001958A2"/>
    <w:rsid w:val="00220885"/>
    <w:rsid w:val="0026066D"/>
    <w:rsid w:val="002A7D2E"/>
    <w:rsid w:val="002B1AA3"/>
    <w:rsid w:val="002F416D"/>
    <w:rsid w:val="00300FD5"/>
    <w:rsid w:val="0030648B"/>
    <w:rsid w:val="00361A8A"/>
    <w:rsid w:val="00375559"/>
    <w:rsid w:val="00383079"/>
    <w:rsid w:val="00387BEF"/>
    <w:rsid w:val="004208D3"/>
    <w:rsid w:val="004718B0"/>
    <w:rsid w:val="0050369C"/>
    <w:rsid w:val="00505FFF"/>
    <w:rsid w:val="0052147C"/>
    <w:rsid w:val="0058470C"/>
    <w:rsid w:val="006275E2"/>
    <w:rsid w:val="006355BE"/>
    <w:rsid w:val="00644EE0"/>
    <w:rsid w:val="006C44E1"/>
    <w:rsid w:val="00770355"/>
    <w:rsid w:val="007800CD"/>
    <w:rsid w:val="007A6CCE"/>
    <w:rsid w:val="007A73DC"/>
    <w:rsid w:val="007D2D5D"/>
    <w:rsid w:val="007E20A2"/>
    <w:rsid w:val="008256B4"/>
    <w:rsid w:val="00836647"/>
    <w:rsid w:val="00861DA5"/>
    <w:rsid w:val="00867820"/>
    <w:rsid w:val="0090785D"/>
    <w:rsid w:val="00915949"/>
    <w:rsid w:val="00987669"/>
    <w:rsid w:val="00991163"/>
    <w:rsid w:val="009C60D9"/>
    <w:rsid w:val="009C6155"/>
    <w:rsid w:val="009D1612"/>
    <w:rsid w:val="009E0D33"/>
    <w:rsid w:val="009F334C"/>
    <w:rsid w:val="009F5809"/>
    <w:rsid w:val="009F6E8E"/>
    <w:rsid w:val="00A272DD"/>
    <w:rsid w:val="00A37CDE"/>
    <w:rsid w:val="00A656CF"/>
    <w:rsid w:val="00A81D74"/>
    <w:rsid w:val="00AA3807"/>
    <w:rsid w:val="00AB346A"/>
    <w:rsid w:val="00AC19A6"/>
    <w:rsid w:val="00AF28F2"/>
    <w:rsid w:val="00B05AFE"/>
    <w:rsid w:val="00B321B6"/>
    <w:rsid w:val="00B73619"/>
    <w:rsid w:val="00B77014"/>
    <w:rsid w:val="00BA1456"/>
    <w:rsid w:val="00BC30C4"/>
    <w:rsid w:val="00BC34F9"/>
    <w:rsid w:val="00BF2429"/>
    <w:rsid w:val="00C57A6B"/>
    <w:rsid w:val="00C66579"/>
    <w:rsid w:val="00CD16EA"/>
    <w:rsid w:val="00CE00B6"/>
    <w:rsid w:val="00D02802"/>
    <w:rsid w:val="00DB453C"/>
    <w:rsid w:val="00DF4E2A"/>
    <w:rsid w:val="00E10B53"/>
    <w:rsid w:val="00E60A36"/>
    <w:rsid w:val="00E92E07"/>
    <w:rsid w:val="00EE11B1"/>
    <w:rsid w:val="00F407CB"/>
    <w:rsid w:val="00F45257"/>
    <w:rsid w:val="00FE0D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C189F6D"/>
  <w15:docId w15:val="{397DE121-64A5-C64D-A03D-1505AF65D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315F"/>
    <w:pPr>
      <w:spacing w:line="260" w:lineRule="exact"/>
      <w:jc w:val="both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039C4"/>
    <w:rPr>
      <w:rFonts w:ascii="Lucida Grande" w:hAnsi="Lucida Grande"/>
      <w:sz w:val="18"/>
      <w:szCs w:val="18"/>
    </w:rPr>
  </w:style>
  <w:style w:type="paragraph" w:customStyle="1" w:styleId="Body">
    <w:name w:val="Body"/>
    <w:qFormat/>
    <w:rsid w:val="00DE5884"/>
    <w:pPr>
      <w:spacing w:after="277" w:line="260" w:lineRule="atLeast"/>
    </w:pPr>
    <w:rPr>
      <w:rFonts w:ascii="Myriad Pro Light" w:eastAsia="Times New Roman" w:hAnsi="Myriad Pro Light" w:cs="Myriad Pro Light"/>
      <w:color w:val="000000"/>
      <w:sz w:val="18"/>
      <w:szCs w:val="18"/>
    </w:rPr>
  </w:style>
  <w:style w:type="paragraph" w:customStyle="1" w:styleId="Subhead">
    <w:name w:val="Subhead"/>
    <w:qFormat/>
    <w:rsid w:val="00DE5884"/>
    <w:pPr>
      <w:spacing w:after="90"/>
    </w:pPr>
    <w:rPr>
      <w:rFonts w:ascii="Myriad Pro" w:eastAsia="Times New Roman" w:hAnsi="Myriad Pro" w:cs="Myriad Pro"/>
      <w:b/>
      <w:bCs/>
      <w:color w:val="00519B"/>
    </w:rPr>
  </w:style>
  <w:style w:type="paragraph" w:customStyle="1" w:styleId="BulletNumber">
    <w:name w:val="Bullet_Number"/>
    <w:qFormat/>
    <w:rsid w:val="00DE5884"/>
    <w:pPr>
      <w:numPr>
        <w:numId w:val="1"/>
      </w:numPr>
      <w:spacing w:after="196" w:line="260" w:lineRule="atLeast"/>
    </w:pPr>
    <w:rPr>
      <w:rFonts w:ascii="Myriad Pro Light" w:eastAsia="Times New Roman" w:hAnsi="Myriad Pro Light" w:cs="Myriad Pro Light"/>
      <w:color w:val="000000"/>
      <w:sz w:val="18"/>
      <w:szCs w:val="18"/>
    </w:rPr>
  </w:style>
  <w:style w:type="paragraph" w:customStyle="1" w:styleId="Bullet">
    <w:name w:val="Bullet"/>
    <w:qFormat/>
    <w:rsid w:val="00DE5884"/>
    <w:pPr>
      <w:numPr>
        <w:numId w:val="3"/>
      </w:numPr>
      <w:spacing w:line="190" w:lineRule="exact"/>
    </w:pPr>
    <w:rPr>
      <w:rFonts w:ascii="Myriad Pro Light" w:eastAsia="Times New Roman" w:hAnsi="Myriad Pro Light" w:cs="Myriad Pro Light"/>
      <w:color w:val="000000"/>
      <w:sz w:val="17"/>
      <w:szCs w:val="16"/>
    </w:rPr>
  </w:style>
  <w:style w:type="paragraph" w:customStyle="1" w:styleId="BulletLast">
    <w:name w:val="Bullet_Last"/>
    <w:basedOn w:val="Bullet"/>
    <w:qFormat/>
    <w:rsid w:val="00DE5884"/>
    <w:pPr>
      <w:numPr>
        <w:numId w:val="0"/>
      </w:numPr>
      <w:spacing w:after="178"/>
    </w:pPr>
    <w:rPr>
      <w:sz w:val="16"/>
    </w:rPr>
  </w:style>
  <w:style w:type="paragraph" w:customStyle="1" w:styleId="Copyright">
    <w:name w:val="Copyright"/>
    <w:qFormat/>
    <w:rsid w:val="00DE5884"/>
    <w:pPr>
      <w:spacing w:line="140" w:lineRule="exact"/>
    </w:pPr>
    <w:rPr>
      <w:rFonts w:ascii="Myriad Pro Light" w:eastAsia="Times New Roman" w:hAnsi="Myriad Pro Light" w:cs="Myriad Pro Light"/>
      <w:color w:val="000000"/>
      <w:sz w:val="12"/>
      <w:szCs w:val="12"/>
    </w:rPr>
  </w:style>
  <w:style w:type="paragraph" w:customStyle="1" w:styleId="Headline">
    <w:name w:val="Headline"/>
    <w:qFormat/>
    <w:rsid w:val="00DE5884"/>
    <w:pPr>
      <w:tabs>
        <w:tab w:val="num" w:pos="720"/>
      </w:tabs>
      <w:spacing w:after="183"/>
    </w:pPr>
    <w:rPr>
      <w:rFonts w:ascii="Myriad Pro Light" w:eastAsiaTheme="minorEastAsia" w:hAnsi="Myriad Pro Light" w:cs="Myriad Pro Light"/>
      <w:color w:val="00519B"/>
      <w:sz w:val="48"/>
      <w:szCs w:val="48"/>
    </w:rPr>
  </w:style>
  <w:style w:type="paragraph" w:customStyle="1" w:styleId="FooterForInternalUse">
    <w:name w:val="Footer — For Internal Use"/>
    <w:qFormat/>
    <w:rsid w:val="00DE5884"/>
    <w:pPr>
      <w:spacing w:line="240" w:lineRule="exact"/>
    </w:pPr>
    <w:rPr>
      <w:rFonts w:ascii="Myriad Pro Semibold" w:eastAsiaTheme="minorEastAsia" w:hAnsi="Myriad Pro Semibold"/>
      <w:bCs/>
    </w:rPr>
  </w:style>
  <w:style w:type="paragraph" w:customStyle="1" w:styleId="RunningHead">
    <w:name w:val="Running Head"/>
    <w:rsid w:val="00DE5884"/>
    <w:pPr>
      <w:suppressAutoHyphens/>
    </w:pPr>
    <w:rPr>
      <w:rFonts w:ascii="Myriad Pro Light" w:eastAsia="Times New Roman" w:hAnsi="Myriad Pro Light" w:cs="Avenir-Light"/>
      <w:caps/>
      <w:color w:val="000000"/>
      <w:sz w:val="15"/>
    </w:rPr>
  </w:style>
  <w:style w:type="paragraph" w:styleId="Header">
    <w:name w:val="header"/>
    <w:basedOn w:val="Normal"/>
    <w:link w:val="HeaderChar"/>
    <w:uiPriority w:val="99"/>
    <w:unhideWhenUsed/>
    <w:rsid w:val="00F407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7C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07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7CB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F407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venir-Light" w:hAnsi="Avenir-Light" w:cs="Avenir-Light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145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14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1456"/>
    <w:rPr>
      <w:vertAlign w:val="superscript"/>
    </w:rPr>
  </w:style>
  <w:style w:type="paragraph" w:customStyle="1" w:styleId="BlockQuote">
    <w:name w:val="Block Quote"/>
    <w:basedOn w:val="Normal"/>
    <w:qFormat/>
    <w:rsid w:val="006355BE"/>
    <w:pPr>
      <w:spacing w:line="220" w:lineRule="exact"/>
      <w:ind w:left="518" w:right="518"/>
    </w:pPr>
  </w:style>
  <w:style w:type="character" w:styleId="Hyperlink">
    <w:name w:val="Hyperlink"/>
    <w:basedOn w:val="DefaultParagraphFont"/>
    <w:uiPriority w:val="99"/>
    <w:unhideWhenUsed/>
    <w:rsid w:val="0083664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6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techwalls.com/qualcomm-snapdragon-845-smartphones/" TargetMode="External"/><Relationship Id="rId2" Type="http://schemas.openxmlformats.org/officeDocument/2006/relationships/hyperlink" Target="https://www.qualcomm.com/snapdragon/devices/phone-finder" TargetMode="External"/><Relationship Id="rId1" Type="http://schemas.openxmlformats.org/officeDocument/2006/relationships/hyperlink" Target="https://transition.fcc.gov/bureaus/pshs/advisory/csric3/CSRIC_III_WG3_Report_March_%202013_ILTestBedReport.pdf" TargetMode="External"/><Relationship Id="rId4" Type="http://schemas.openxmlformats.org/officeDocument/2006/relationships/hyperlink" Target="https://www.extremetech.com/computing/163582-surface-rt-2-tegra-confirmed-despite-superiority-of-snapdragon-and-bay-trai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nena\AppData\Roaming\Microsoft\Templates\NENA%20Letterhead%201700%20Diagonal.dotx" TargetMode="External"/></Relationships>
</file>

<file path=word/theme/theme1.xml><?xml version="1.0" encoding="utf-8"?>
<a:theme xmlns:a="http://schemas.openxmlformats.org/drawingml/2006/main" name="NENA">
  <a:themeElements>
    <a:clrScheme name="NENA">
      <a:dk1>
        <a:srgbClr val="3B3B3B"/>
      </a:dk1>
      <a:lt1>
        <a:srgbClr val="7F7F7F"/>
      </a:lt1>
      <a:dk2>
        <a:srgbClr val="FF0000"/>
      </a:dk2>
      <a:lt2>
        <a:srgbClr val="8DB3E2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NA">
      <a:majorFont>
        <a:latin typeface="Gill Sans MT"/>
        <a:ea typeface=""/>
        <a:cs typeface=""/>
      </a:majorFont>
      <a:minorFont>
        <a:latin typeface="Perpetu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C36B4-DBCC-844F-AF97-F1C56245A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C:\Users\nena\AppData\Roaming\Microsoft\Templates\NENA Letterhead 1700 Diagonal.dotx</Template>
  <TotalTime>5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Snap Line Studio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Trey Forgety</dc:creator>
  <cp:lastModifiedBy>Dan Henry</cp:lastModifiedBy>
  <cp:revision>3</cp:revision>
  <cp:lastPrinted>2013-02-11T20:14:00Z</cp:lastPrinted>
  <dcterms:created xsi:type="dcterms:W3CDTF">2019-10-12T03:55:00Z</dcterms:created>
  <dcterms:modified xsi:type="dcterms:W3CDTF">2019-10-12T04:00:00Z</dcterms:modified>
</cp:coreProperties>
</file>