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23BE3" w14:textId="77777777" w:rsidR="0004729A" w:rsidRPr="0004729A" w:rsidRDefault="0004729A" w:rsidP="005F7EE5">
      <w:pPr>
        <w:spacing w:after="0" w:line="240" w:lineRule="auto"/>
        <w:jc w:val="center"/>
        <w:rPr>
          <w:rFonts w:ascii="Arial" w:eastAsia="Times New Roman" w:hAnsi="Arial" w:cs="Arial"/>
          <w:sz w:val="28"/>
          <w:szCs w:val="28"/>
        </w:rPr>
      </w:pPr>
      <w:r w:rsidRPr="0004729A">
        <w:rPr>
          <w:rFonts w:ascii="Arial" w:eastAsia="Times New Roman" w:hAnsi="Arial" w:cs="Arial"/>
          <w:sz w:val="28"/>
          <w:szCs w:val="28"/>
        </w:rPr>
        <w:t>Before the</w:t>
      </w:r>
    </w:p>
    <w:p w14:paraId="75E02AFC" w14:textId="77777777" w:rsidR="0004729A" w:rsidRPr="0004729A" w:rsidRDefault="0004729A" w:rsidP="005F7EE5">
      <w:pPr>
        <w:spacing w:after="0" w:line="240" w:lineRule="auto"/>
        <w:jc w:val="center"/>
        <w:rPr>
          <w:rFonts w:ascii="Arial" w:eastAsia="Times New Roman" w:hAnsi="Arial" w:cs="Arial"/>
          <w:sz w:val="28"/>
          <w:szCs w:val="28"/>
        </w:rPr>
      </w:pPr>
      <w:r w:rsidRPr="0004729A">
        <w:rPr>
          <w:rFonts w:ascii="Arial" w:eastAsia="Times New Roman" w:hAnsi="Arial" w:cs="Arial"/>
          <w:sz w:val="28"/>
          <w:szCs w:val="28"/>
        </w:rPr>
        <w:t>FEDERAL COMMUNICATIONS COMMISSION</w:t>
      </w:r>
    </w:p>
    <w:p w14:paraId="33DE01BE" w14:textId="77777777" w:rsidR="0004729A" w:rsidRPr="0004729A" w:rsidRDefault="0004729A" w:rsidP="005F7EE5">
      <w:pPr>
        <w:spacing w:after="0" w:line="240" w:lineRule="auto"/>
        <w:jc w:val="center"/>
        <w:rPr>
          <w:rFonts w:ascii="Arial" w:eastAsia="Times New Roman" w:hAnsi="Arial" w:cs="Arial"/>
          <w:sz w:val="28"/>
          <w:szCs w:val="28"/>
        </w:rPr>
      </w:pPr>
      <w:r w:rsidRPr="0004729A">
        <w:rPr>
          <w:rFonts w:ascii="Arial" w:eastAsia="Times New Roman" w:hAnsi="Arial" w:cs="Arial"/>
          <w:sz w:val="28"/>
          <w:szCs w:val="28"/>
        </w:rPr>
        <w:t>Washington, DC 20554</w:t>
      </w:r>
    </w:p>
    <w:p w14:paraId="07414143" w14:textId="77777777" w:rsidR="005F7EE5" w:rsidRPr="00367B23" w:rsidRDefault="005F7EE5" w:rsidP="0004729A">
      <w:pPr>
        <w:spacing w:after="0" w:line="240" w:lineRule="auto"/>
        <w:rPr>
          <w:rFonts w:ascii="Arial" w:eastAsia="Times New Roman" w:hAnsi="Arial" w:cs="Arial"/>
          <w:sz w:val="30"/>
          <w:szCs w:val="30"/>
        </w:rPr>
      </w:pPr>
    </w:p>
    <w:p w14:paraId="3392D49F" w14:textId="77777777" w:rsidR="005F7EE5" w:rsidRPr="00367B23" w:rsidRDefault="005F7EE5" w:rsidP="005F7EE5">
      <w:pPr>
        <w:tabs>
          <w:tab w:val="left" w:pos="5760"/>
          <w:tab w:val="left" w:pos="6480"/>
        </w:tabs>
        <w:spacing w:after="0" w:line="240" w:lineRule="auto"/>
        <w:rPr>
          <w:rFonts w:ascii="Arial" w:eastAsia="Times New Roman" w:hAnsi="Arial" w:cs="Arial"/>
          <w:sz w:val="30"/>
          <w:szCs w:val="30"/>
        </w:rPr>
      </w:pPr>
    </w:p>
    <w:p w14:paraId="69FDF00B" w14:textId="5EE410F7" w:rsidR="005F7EE5" w:rsidRPr="00367B23" w:rsidRDefault="005F7EE5" w:rsidP="005F7EE5">
      <w:pPr>
        <w:tabs>
          <w:tab w:val="left" w:pos="5760"/>
          <w:tab w:val="left" w:pos="6480"/>
        </w:tabs>
        <w:spacing w:after="0" w:line="240" w:lineRule="auto"/>
        <w:rPr>
          <w:rFonts w:ascii="Arial" w:eastAsia="Times New Roman" w:hAnsi="Arial" w:cs="Arial"/>
          <w:sz w:val="24"/>
          <w:szCs w:val="24"/>
        </w:rPr>
      </w:pPr>
      <w:r w:rsidRPr="00367B23">
        <w:rPr>
          <w:rFonts w:ascii="Arial" w:eastAsia="Times New Roman" w:hAnsi="Arial" w:cs="Arial"/>
          <w:sz w:val="24"/>
          <w:szCs w:val="24"/>
        </w:rPr>
        <w:tab/>
        <w:t>)</w:t>
      </w:r>
    </w:p>
    <w:p w14:paraId="66F59F60" w14:textId="35AC17AB" w:rsidR="0004729A" w:rsidRPr="003033C6" w:rsidRDefault="0004729A" w:rsidP="005F7EE5">
      <w:pPr>
        <w:tabs>
          <w:tab w:val="left" w:pos="5760"/>
          <w:tab w:val="left" w:pos="6480"/>
        </w:tabs>
        <w:spacing w:after="0" w:line="240" w:lineRule="auto"/>
        <w:rPr>
          <w:rFonts w:ascii="Arial" w:eastAsia="Times New Roman" w:hAnsi="Arial" w:cs="Arial"/>
          <w:sz w:val="24"/>
          <w:szCs w:val="24"/>
        </w:rPr>
      </w:pPr>
      <w:r w:rsidRPr="003033C6">
        <w:rPr>
          <w:rFonts w:ascii="Arial" w:eastAsia="Times New Roman" w:hAnsi="Arial" w:cs="Arial"/>
          <w:sz w:val="24"/>
          <w:szCs w:val="24"/>
        </w:rPr>
        <w:t>In the Matter of</w:t>
      </w:r>
      <w:r w:rsidR="005F7EE5" w:rsidRPr="003033C6">
        <w:rPr>
          <w:rFonts w:ascii="Arial" w:eastAsia="Times New Roman" w:hAnsi="Arial" w:cs="Arial"/>
          <w:sz w:val="24"/>
          <w:szCs w:val="24"/>
        </w:rPr>
        <w:tab/>
        <w:t>)</w:t>
      </w:r>
    </w:p>
    <w:p w14:paraId="7849F5FF" w14:textId="046F1EC1" w:rsidR="005F7EE5" w:rsidRPr="003033C6" w:rsidRDefault="005F7EE5" w:rsidP="005F7EE5">
      <w:pPr>
        <w:tabs>
          <w:tab w:val="left" w:pos="5760"/>
          <w:tab w:val="left" w:pos="6480"/>
        </w:tabs>
        <w:spacing w:after="0" w:line="240" w:lineRule="auto"/>
        <w:rPr>
          <w:rFonts w:ascii="Arial" w:eastAsia="Times New Roman" w:hAnsi="Arial" w:cs="Arial"/>
          <w:sz w:val="24"/>
          <w:szCs w:val="24"/>
        </w:rPr>
      </w:pPr>
      <w:r w:rsidRPr="003033C6">
        <w:rPr>
          <w:rFonts w:ascii="Arial" w:eastAsia="Times New Roman" w:hAnsi="Arial" w:cs="Arial"/>
          <w:sz w:val="24"/>
          <w:szCs w:val="24"/>
        </w:rPr>
        <w:tab/>
        <w:t>)</w:t>
      </w:r>
    </w:p>
    <w:p w14:paraId="77F01F68" w14:textId="068087DF" w:rsidR="0004729A" w:rsidRPr="003033C6" w:rsidRDefault="0004729A" w:rsidP="005F7EE5">
      <w:pPr>
        <w:tabs>
          <w:tab w:val="left" w:pos="5760"/>
          <w:tab w:val="left" w:pos="6480"/>
        </w:tabs>
        <w:spacing w:after="0" w:line="240" w:lineRule="auto"/>
        <w:rPr>
          <w:rFonts w:ascii="Arial" w:eastAsia="Times New Roman" w:hAnsi="Arial" w:cs="Arial"/>
          <w:sz w:val="24"/>
          <w:szCs w:val="24"/>
        </w:rPr>
      </w:pPr>
      <w:r w:rsidRPr="003033C6">
        <w:rPr>
          <w:rFonts w:ascii="Arial" w:eastAsia="Times New Roman" w:hAnsi="Arial" w:cs="Arial"/>
          <w:sz w:val="24"/>
          <w:szCs w:val="24"/>
        </w:rPr>
        <w:t>Nationwide Number Portability</w:t>
      </w:r>
      <w:r w:rsidR="005F7EE5" w:rsidRPr="003033C6">
        <w:rPr>
          <w:rFonts w:ascii="Arial" w:eastAsia="Times New Roman" w:hAnsi="Arial" w:cs="Arial"/>
          <w:sz w:val="24"/>
          <w:szCs w:val="24"/>
        </w:rPr>
        <w:tab/>
        <w:t>)</w:t>
      </w:r>
      <w:r w:rsidR="005F7EE5" w:rsidRPr="003033C6">
        <w:rPr>
          <w:rFonts w:ascii="Arial" w:eastAsia="Times New Roman" w:hAnsi="Arial" w:cs="Arial"/>
          <w:sz w:val="24"/>
          <w:szCs w:val="24"/>
        </w:rPr>
        <w:tab/>
        <w:t>WC Docket No. 17-244</w:t>
      </w:r>
    </w:p>
    <w:p w14:paraId="060C4674" w14:textId="09396E60" w:rsidR="005F7EE5" w:rsidRPr="003033C6" w:rsidRDefault="005F7EE5" w:rsidP="005F7EE5">
      <w:pPr>
        <w:tabs>
          <w:tab w:val="left" w:pos="5760"/>
          <w:tab w:val="left" w:pos="6480"/>
        </w:tabs>
        <w:spacing w:after="0" w:line="240" w:lineRule="auto"/>
        <w:rPr>
          <w:rFonts w:ascii="Arial" w:eastAsia="Times New Roman" w:hAnsi="Arial" w:cs="Arial"/>
          <w:sz w:val="24"/>
          <w:szCs w:val="24"/>
        </w:rPr>
      </w:pPr>
      <w:r w:rsidRPr="003033C6">
        <w:rPr>
          <w:rFonts w:ascii="Arial" w:eastAsia="Times New Roman" w:hAnsi="Arial" w:cs="Arial"/>
          <w:sz w:val="24"/>
          <w:szCs w:val="24"/>
        </w:rPr>
        <w:tab/>
        <w:t>)</w:t>
      </w:r>
    </w:p>
    <w:p w14:paraId="51F1CA72" w14:textId="6D87244C" w:rsidR="0004729A" w:rsidRPr="003033C6" w:rsidRDefault="0004729A" w:rsidP="005F7EE5">
      <w:pPr>
        <w:tabs>
          <w:tab w:val="left" w:pos="5760"/>
          <w:tab w:val="left" w:pos="6480"/>
        </w:tabs>
        <w:spacing w:after="0" w:line="240" w:lineRule="auto"/>
        <w:rPr>
          <w:rFonts w:ascii="Arial" w:eastAsia="Times New Roman" w:hAnsi="Arial" w:cs="Arial"/>
          <w:sz w:val="24"/>
          <w:szCs w:val="24"/>
        </w:rPr>
      </w:pPr>
      <w:r w:rsidRPr="003033C6">
        <w:rPr>
          <w:rFonts w:ascii="Arial" w:eastAsia="Times New Roman" w:hAnsi="Arial" w:cs="Arial"/>
          <w:sz w:val="24"/>
          <w:szCs w:val="24"/>
        </w:rPr>
        <w:t xml:space="preserve">Numbering Policies for Modern </w:t>
      </w:r>
      <w:r w:rsidR="005F7EE5" w:rsidRPr="003033C6">
        <w:rPr>
          <w:rFonts w:ascii="Arial" w:eastAsia="Times New Roman" w:hAnsi="Arial" w:cs="Arial"/>
          <w:sz w:val="24"/>
          <w:szCs w:val="24"/>
        </w:rPr>
        <w:t>Communications</w:t>
      </w:r>
      <w:r w:rsidR="005F7EE5" w:rsidRPr="003033C6">
        <w:rPr>
          <w:rFonts w:ascii="Arial" w:eastAsia="Times New Roman" w:hAnsi="Arial" w:cs="Arial"/>
          <w:sz w:val="24"/>
          <w:szCs w:val="24"/>
        </w:rPr>
        <w:tab/>
        <w:t>)</w:t>
      </w:r>
      <w:r w:rsidR="005F7EE5" w:rsidRPr="003033C6">
        <w:rPr>
          <w:rFonts w:ascii="Arial" w:eastAsia="Times New Roman" w:hAnsi="Arial" w:cs="Arial"/>
          <w:sz w:val="24"/>
          <w:szCs w:val="24"/>
        </w:rPr>
        <w:tab/>
        <w:t>WC Docket No. 13-97</w:t>
      </w:r>
    </w:p>
    <w:p w14:paraId="43F06662" w14:textId="58E283D8" w:rsidR="0004729A" w:rsidRPr="003033C6" w:rsidRDefault="005F7EE5" w:rsidP="005F7EE5">
      <w:pPr>
        <w:tabs>
          <w:tab w:val="left" w:pos="5760"/>
          <w:tab w:val="left" w:pos="6480"/>
        </w:tabs>
        <w:spacing w:after="0" w:line="240" w:lineRule="auto"/>
        <w:rPr>
          <w:rFonts w:ascii="Arial" w:eastAsia="Times New Roman" w:hAnsi="Arial" w:cs="Arial"/>
          <w:sz w:val="24"/>
          <w:szCs w:val="24"/>
        </w:rPr>
      </w:pPr>
      <w:r w:rsidRPr="003033C6">
        <w:rPr>
          <w:rFonts w:ascii="Arial" w:eastAsia="Times New Roman" w:hAnsi="Arial" w:cs="Arial"/>
          <w:sz w:val="24"/>
          <w:szCs w:val="24"/>
        </w:rPr>
        <w:tab/>
        <w:t>)</w:t>
      </w:r>
    </w:p>
    <w:p w14:paraId="04E8C858" w14:textId="39092D12" w:rsidR="005F7EE5" w:rsidRPr="003033C6" w:rsidRDefault="005F7EE5" w:rsidP="005F7EE5">
      <w:pPr>
        <w:tabs>
          <w:tab w:val="left" w:pos="5760"/>
          <w:tab w:val="left" w:pos="6480"/>
        </w:tabs>
        <w:spacing w:after="0" w:line="240" w:lineRule="auto"/>
        <w:rPr>
          <w:rFonts w:ascii="Arial" w:eastAsia="Times New Roman" w:hAnsi="Arial" w:cs="Arial"/>
          <w:sz w:val="24"/>
          <w:szCs w:val="24"/>
        </w:rPr>
      </w:pPr>
      <w:r w:rsidRPr="003033C6">
        <w:rPr>
          <w:rFonts w:ascii="Arial" w:eastAsia="Times New Roman" w:hAnsi="Arial" w:cs="Arial"/>
          <w:sz w:val="24"/>
          <w:szCs w:val="24"/>
        </w:rPr>
        <w:tab/>
        <w:t>)</w:t>
      </w:r>
    </w:p>
    <w:p w14:paraId="771E85C6" w14:textId="77777777" w:rsidR="0004729A" w:rsidRPr="003033C6" w:rsidRDefault="0004729A">
      <w:pPr>
        <w:rPr>
          <w:rFonts w:ascii="Arial" w:hAnsi="Arial" w:cs="Arial"/>
          <w:sz w:val="24"/>
          <w:szCs w:val="24"/>
        </w:rPr>
      </w:pPr>
    </w:p>
    <w:p w14:paraId="186FFC9E" w14:textId="5E3B02D2" w:rsidR="0004729A" w:rsidRPr="003033C6" w:rsidRDefault="00CE7F62" w:rsidP="00367B23">
      <w:pPr>
        <w:jc w:val="center"/>
        <w:rPr>
          <w:rFonts w:ascii="Arial" w:hAnsi="Arial" w:cs="Arial"/>
          <w:sz w:val="24"/>
          <w:szCs w:val="24"/>
        </w:rPr>
      </w:pPr>
      <w:r w:rsidRPr="003033C6">
        <w:rPr>
          <w:rFonts w:ascii="Arial" w:hAnsi="Arial" w:cs="Arial"/>
          <w:sz w:val="24"/>
          <w:szCs w:val="24"/>
        </w:rPr>
        <w:t xml:space="preserve">REPLY </w:t>
      </w:r>
      <w:r w:rsidR="005F7EE5" w:rsidRPr="003033C6">
        <w:rPr>
          <w:rFonts w:ascii="Arial" w:hAnsi="Arial" w:cs="Arial"/>
          <w:sz w:val="24"/>
          <w:szCs w:val="24"/>
        </w:rPr>
        <w:t>COMMENTS OF M</w:t>
      </w:r>
      <w:r w:rsidR="00367B23" w:rsidRPr="003033C6">
        <w:rPr>
          <w:rFonts w:ascii="Arial" w:hAnsi="Arial" w:cs="Arial"/>
          <w:sz w:val="24"/>
          <w:szCs w:val="24"/>
        </w:rPr>
        <w:t>ARK LANCASTER</w:t>
      </w:r>
      <w:r w:rsidR="00315E58" w:rsidRPr="003033C6">
        <w:rPr>
          <w:rStyle w:val="EndnoteReference"/>
          <w:rFonts w:ascii="Arial" w:hAnsi="Arial" w:cs="Arial"/>
          <w:sz w:val="24"/>
          <w:szCs w:val="24"/>
        </w:rPr>
        <w:endnoteReference w:id="1"/>
      </w:r>
    </w:p>
    <w:p w14:paraId="3FBAB23E" w14:textId="77777777" w:rsidR="0004729A" w:rsidRPr="003033C6" w:rsidRDefault="0004729A">
      <w:pPr>
        <w:rPr>
          <w:rFonts w:ascii="Arial" w:hAnsi="Arial" w:cs="Arial"/>
          <w:sz w:val="24"/>
          <w:szCs w:val="24"/>
        </w:rPr>
      </w:pPr>
    </w:p>
    <w:p w14:paraId="0F756735" w14:textId="1171EB45" w:rsidR="00D2109D" w:rsidRPr="003033C6" w:rsidRDefault="00D2109D" w:rsidP="00021905">
      <w:pPr>
        <w:spacing w:line="480" w:lineRule="auto"/>
        <w:rPr>
          <w:rFonts w:ascii="Arial" w:hAnsi="Arial" w:cs="Arial"/>
          <w:sz w:val="24"/>
          <w:szCs w:val="24"/>
        </w:rPr>
      </w:pPr>
      <w:r w:rsidRPr="003033C6">
        <w:rPr>
          <w:rFonts w:ascii="Arial" w:hAnsi="Arial" w:cs="Arial"/>
          <w:sz w:val="24"/>
          <w:szCs w:val="24"/>
        </w:rPr>
        <w:t xml:space="preserve">With gratitude to the </w:t>
      </w:r>
      <w:r w:rsidR="00562224" w:rsidRPr="003033C6">
        <w:rPr>
          <w:rFonts w:ascii="Arial" w:hAnsi="Arial" w:cs="Arial"/>
          <w:sz w:val="24"/>
          <w:szCs w:val="24"/>
        </w:rPr>
        <w:t xml:space="preserve">Federal Communications </w:t>
      </w:r>
      <w:r w:rsidRPr="003033C6">
        <w:rPr>
          <w:rFonts w:ascii="Arial" w:hAnsi="Arial" w:cs="Arial"/>
          <w:sz w:val="24"/>
          <w:szCs w:val="24"/>
        </w:rPr>
        <w:t xml:space="preserve">Commission </w:t>
      </w:r>
      <w:r w:rsidR="00207903" w:rsidRPr="003033C6">
        <w:rPr>
          <w:rFonts w:ascii="Arial" w:hAnsi="Arial" w:cs="Arial"/>
          <w:sz w:val="24"/>
          <w:szCs w:val="24"/>
        </w:rPr>
        <w:t xml:space="preserve">(“FCC” or “Commission”) </w:t>
      </w:r>
      <w:r w:rsidRPr="003033C6">
        <w:rPr>
          <w:rFonts w:ascii="Arial" w:hAnsi="Arial" w:cs="Arial"/>
          <w:sz w:val="24"/>
          <w:szCs w:val="24"/>
        </w:rPr>
        <w:t>for the opportunity to submit, these comments are offered to assist in resolving the immediate</w:t>
      </w:r>
      <w:r w:rsidR="007528F4" w:rsidRPr="003033C6">
        <w:rPr>
          <w:rFonts w:ascii="Arial" w:hAnsi="Arial" w:cs="Arial"/>
          <w:sz w:val="24"/>
          <w:szCs w:val="24"/>
        </w:rPr>
        <w:t xml:space="preserve"> </w:t>
      </w:r>
      <w:r w:rsidR="008F324B" w:rsidRPr="003033C6">
        <w:rPr>
          <w:rFonts w:ascii="Arial" w:hAnsi="Arial" w:cs="Arial"/>
          <w:sz w:val="24"/>
          <w:szCs w:val="24"/>
        </w:rPr>
        <w:t>NPRM/NOI</w:t>
      </w:r>
      <w:r w:rsidR="008F324B" w:rsidRPr="003033C6">
        <w:rPr>
          <w:rStyle w:val="FootnoteReference"/>
          <w:rFonts w:ascii="Arial" w:hAnsi="Arial" w:cs="Arial"/>
          <w:sz w:val="24"/>
          <w:szCs w:val="24"/>
        </w:rPr>
        <w:footnoteReference w:id="1"/>
      </w:r>
      <w:r w:rsidR="008F324B" w:rsidRPr="003033C6">
        <w:rPr>
          <w:rFonts w:ascii="Arial" w:hAnsi="Arial" w:cs="Arial"/>
          <w:sz w:val="24"/>
          <w:szCs w:val="24"/>
        </w:rPr>
        <w:t xml:space="preserve"> issues, while driving toward the long-anticipated conversion of the Public Switched Telephone Network (“PSTN”).</w:t>
      </w:r>
    </w:p>
    <w:p w14:paraId="296D5F4D" w14:textId="77777777" w:rsidR="00D2109D" w:rsidRPr="003033C6" w:rsidRDefault="00D2109D" w:rsidP="00021905">
      <w:pPr>
        <w:spacing w:line="480" w:lineRule="auto"/>
        <w:rPr>
          <w:rFonts w:ascii="Arial" w:hAnsi="Arial" w:cs="Arial"/>
          <w:sz w:val="24"/>
          <w:szCs w:val="24"/>
        </w:rPr>
      </w:pPr>
    </w:p>
    <w:p w14:paraId="2EB41F64" w14:textId="77777777" w:rsidR="00021905" w:rsidRPr="003033C6" w:rsidRDefault="004F731D" w:rsidP="00CE7F62">
      <w:pPr>
        <w:spacing w:line="480" w:lineRule="auto"/>
        <w:rPr>
          <w:rFonts w:ascii="Arial" w:hAnsi="Arial" w:cs="Arial"/>
          <w:sz w:val="24"/>
          <w:szCs w:val="24"/>
        </w:rPr>
      </w:pPr>
      <w:r w:rsidRPr="003033C6">
        <w:rPr>
          <w:rFonts w:ascii="Arial" w:hAnsi="Arial" w:cs="Arial"/>
          <w:b/>
          <w:i/>
          <w:sz w:val="24"/>
          <w:szCs w:val="24"/>
        </w:rPr>
        <w:t>Opening Comments</w:t>
      </w:r>
      <w:r w:rsidRPr="003033C6">
        <w:rPr>
          <w:rFonts w:ascii="Arial" w:hAnsi="Arial" w:cs="Arial"/>
          <w:sz w:val="24"/>
          <w:szCs w:val="24"/>
        </w:rPr>
        <w:t xml:space="preserve"> – </w:t>
      </w:r>
      <w:r w:rsidR="00CA2CE6" w:rsidRPr="003033C6">
        <w:rPr>
          <w:rFonts w:ascii="Arial" w:hAnsi="Arial" w:cs="Arial"/>
          <w:sz w:val="24"/>
          <w:szCs w:val="24"/>
        </w:rPr>
        <w:t xml:space="preserve">Nationwide Number Portability (“NNP”) first appeared as a modest, pro-competition request from a few regional wireless service providers; </w:t>
      </w:r>
      <w:r w:rsidR="00B93D60" w:rsidRPr="003033C6">
        <w:rPr>
          <w:rFonts w:ascii="Arial" w:hAnsi="Arial" w:cs="Arial"/>
          <w:i/>
          <w:sz w:val="24"/>
          <w:szCs w:val="24"/>
        </w:rPr>
        <w:t xml:space="preserve">(paraphrase) </w:t>
      </w:r>
      <w:r w:rsidR="00CA2CE6" w:rsidRPr="003033C6">
        <w:rPr>
          <w:rFonts w:ascii="Arial" w:hAnsi="Arial" w:cs="Arial"/>
          <w:i/>
          <w:sz w:val="24"/>
          <w:szCs w:val="24"/>
        </w:rPr>
        <w:t xml:space="preserve">we want what national wireless service providers </w:t>
      </w:r>
      <w:r w:rsidR="00021905" w:rsidRPr="003033C6">
        <w:rPr>
          <w:rFonts w:ascii="Arial" w:hAnsi="Arial" w:cs="Arial"/>
          <w:i/>
          <w:sz w:val="24"/>
          <w:szCs w:val="24"/>
        </w:rPr>
        <w:t xml:space="preserve">now have, </w:t>
      </w:r>
      <w:r w:rsidR="00CA2CE6" w:rsidRPr="003033C6">
        <w:rPr>
          <w:rFonts w:ascii="Arial" w:hAnsi="Arial" w:cs="Arial"/>
          <w:i/>
          <w:sz w:val="24"/>
          <w:szCs w:val="24"/>
        </w:rPr>
        <w:t xml:space="preserve">that is, </w:t>
      </w:r>
      <w:r w:rsidR="00021905" w:rsidRPr="003033C6">
        <w:rPr>
          <w:rFonts w:ascii="Arial" w:hAnsi="Arial" w:cs="Arial"/>
          <w:i/>
          <w:sz w:val="24"/>
          <w:szCs w:val="24"/>
        </w:rPr>
        <w:t xml:space="preserve">the ability to </w:t>
      </w:r>
      <w:r w:rsidR="00CA2CE6" w:rsidRPr="003033C6">
        <w:rPr>
          <w:rFonts w:ascii="Arial" w:hAnsi="Arial" w:cs="Arial"/>
          <w:i/>
          <w:sz w:val="24"/>
          <w:szCs w:val="24"/>
        </w:rPr>
        <w:t>port numbers from any domestic location into our regional networks.</w:t>
      </w:r>
      <w:r w:rsidR="00B10E33" w:rsidRPr="003033C6">
        <w:rPr>
          <w:rFonts w:ascii="Arial" w:hAnsi="Arial" w:cs="Arial"/>
          <w:sz w:val="24"/>
          <w:szCs w:val="24"/>
        </w:rPr>
        <w:t xml:space="preserve">  </w:t>
      </w:r>
    </w:p>
    <w:p w14:paraId="62347631" w14:textId="3957670D" w:rsidR="00725D35" w:rsidRPr="003033C6" w:rsidRDefault="00B10E33" w:rsidP="00021905">
      <w:pPr>
        <w:spacing w:line="480" w:lineRule="auto"/>
        <w:rPr>
          <w:rFonts w:ascii="Arial" w:hAnsi="Arial" w:cs="Arial"/>
          <w:sz w:val="24"/>
          <w:szCs w:val="24"/>
        </w:rPr>
      </w:pPr>
      <w:r w:rsidRPr="003033C6">
        <w:rPr>
          <w:rFonts w:ascii="Arial" w:hAnsi="Arial" w:cs="Arial"/>
          <w:sz w:val="24"/>
          <w:szCs w:val="24"/>
        </w:rPr>
        <w:t>As noted in this NPRM</w:t>
      </w:r>
      <w:r w:rsidR="00021905" w:rsidRPr="003033C6">
        <w:rPr>
          <w:rFonts w:ascii="Arial" w:hAnsi="Arial" w:cs="Arial"/>
          <w:sz w:val="24"/>
          <w:szCs w:val="24"/>
        </w:rPr>
        <w:t>/</w:t>
      </w:r>
      <w:r w:rsidRPr="003033C6">
        <w:rPr>
          <w:rFonts w:ascii="Arial" w:hAnsi="Arial" w:cs="Arial"/>
          <w:sz w:val="24"/>
          <w:szCs w:val="24"/>
        </w:rPr>
        <w:t>NOI, the Commission directed industry parties, associations such as the CTIA – The Wireless Association (“CTIA”)</w:t>
      </w:r>
      <w:r w:rsidR="00CE7F62" w:rsidRPr="003033C6">
        <w:rPr>
          <w:rFonts w:ascii="Arial" w:hAnsi="Arial" w:cs="Arial"/>
          <w:sz w:val="24"/>
          <w:szCs w:val="24"/>
        </w:rPr>
        <w:t>,</w:t>
      </w:r>
      <w:r w:rsidRPr="003033C6">
        <w:rPr>
          <w:rFonts w:ascii="Arial" w:hAnsi="Arial" w:cs="Arial"/>
          <w:sz w:val="24"/>
          <w:szCs w:val="24"/>
        </w:rPr>
        <w:t xml:space="preserve"> and the North American </w:t>
      </w:r>
      <w:r w:rsidRPr="003033C6">
        <w:rPr>
          <w:rFonts w:ascii="Arial" w:hAnsi="Arial" w:cs="Arial"/>
          <w:sz w:val="24"/>
          <w:szCs w:val="24"/>
        </w:rPr>
        <w:lastRenderedPageBreak/>
        <w:t xml:space="preserve">Numbering Council “(“NANC”) to </w:t>
      </w:r>
      <w:r w:rsidR="00021905" w:rsidRPr="003033C6">
        <w:rPr>
          <w:rFonts w:ascii="Arial" w:hAnsi="Arial" w:cs="Arial"/>
          <w:sz w:val="24"/>
          <w:szCs w:val="24"/>
        </w:rPr>
        <w:t>investigate and document</w:t>
      </w:r>
      <w:r w:rsidRPr="003033C6">
        <w:rPr>
          <w:rFonts w:ascii="Arial" w:hAnsi="Arial" w:cs="Arial"/>
          <w:sz w:val="24"/>
          <w:szCs w:val="24"/>
        </w:rPr>
        <w:t xml:space="preserve"> options available to move forward with NNP.</w:t>
      </w:r>
    </w:p>
    <w:p w14:paraId="4EDC3937" w14:textId="5363F69F" w:rsidR="00B10E33" w:rsidRPr="003033C6" w:rsidRDefault="00B93D60" w:rsidP="00021905">
      <w:pPr>
        <w:spacing w:line="480" w:lineRule="auto"/>
        <w:rPr>
          <w:rFonts w:ascii="Arial" w:hAnsi="Arial" w:cs="Arial"/>
          <w:sz w:val="24"/>
          <w:szCs w:val="24"/>
        </w:rPr>
      </w:pPr>
      <w:r w:rsidRPr="003033C6">
        <w:rPr>
          <w:rFonts w:ascii="Arial" w:hAnsi="Arial" w:cs="Arial"/>
          <w:sz w:val="24"/>
          <w:szCs w:val="24"/>
        </w:rPr>
        <w:t>The work that has been done revealed not a rejection of the concept of NNP, but rather a realization of the enormity of the task.  Parties to the investigations recognized the value of the proposition.  At issue, and wh</w:t>
      </w:r>
      <w:r w:rsidR="00A81292" w:rsidRPr="003033C6">
        <w:rPr>
          <w:rFonts w:ascii="Arial" w:hAnsi="Arial" w:cs="Arial"/>
          <w:sz w:val="24"/>
          <w:szCs w:val="24"/>
        </w:rPr>
        <w:t xml:space="preserve">ere this proceeding </w:t>
      </w:r>
      <w:r w:rsidR="00CE7F62" w:rsidRPr="003033C6">
        <w:rPr>
          <w:rFonts w:ascii="Arial" w:hAnsi="Arial" w:cs="Arial"/>
          <w:sz w:val="24"/>
          <w:szCs w:val="24"/>
        </w:rPr>
        <w:t>must recalibrate</w:t>
      </w:r>
      <w:r w:rsidR="00A81292" w:rsidRPr="003033C6">
        <w:rPr>
          <w:rFonts w:ascii="Arial" w:hAnsi="Arial" w:cs="Arial"/>
          <w:sz w:val="24"/>
          <w:szCs w:val="24"/>
        </w:rPr>
        <w:t xml:space="preserve">, is </w:t>
      </w:r>
      <w:r w:rsidR="00CE7F62" w:rsidRPr="003033C6">
        <w:rPr>
          <w:rFonts w:ascii="Arial" w:hAnsi="Arial" w:cs="Arial"/>
          <w:sz w:val="24"/>
          <w:szCs w:val="24"/>
        </w:rPr>
        <w:t xml:space="preserve">at </w:t>
      </w:r>
      <w:r w:rsidR="00A81292" w:rsidRPr="003033C6">
        <w:rPr>
          <w:rFonts w:ascii="Arial" w:hAnsi="Arial" w:cs="Arial"/>
          <w:sz w:val="24"/>
          <w:szCs w:val="24"/>
        </w:rPr>
        <w:t xml:space="preserve">the difference between local and national.  </w:t>
      </w:r>
      <w:r w:rsidR="004635E3" w:rsidRPr="003033C6">
        <w:rPr>
          <w:rFonts w:ascii="Arial" w:hAnsi="Arial" w:cs="Arial"/>
          <w:sz w:val="24"/>
          <w:szCs w:val="24"/>
        </w:rPr>
        <w:t>Telecommunications competition was the intention of the Act</w:t>
      </w:r>
      <w:r w:rsidR="004635E3" w:rsidRPr="003033C6">
        <w:rPr>
          <w:rStyle w:val="FootnoteReference"/>
          <w:rFonts w:ascii="Arial" w:hAnsi="Arial" w:cs="Arial"/>
          <w:sz w:val="24"/>
          <w:szCs w:val="24"/>
        </w:rPr>
        <w:footnoteReference w:id="2"/>
      </w:r>
      <w:r w:rsidR="004635E3" w:rsidRPr="003033C6">
        <w:rPr>
          <w:rFonts w:ascii="Arial" w:hAnsi="Arial" w:cs="Arial"/>
          <w:sz w:val="24"/>
          <w:szCs w:val="24"/>
        </w:rPr>
        <w:t>, and the</w:t>
      </w:r>
      <w:r w:rsidR="00A60B32" w:rsidRPr="003033C6">
        <w:rPr>
          <w:rFonts w:ascii="Arial" w:hAnsi="Arial" w:cs="Arial"/>
          <w:sz w:val="24"/>
          <w:szCs w:val="24"/>
        </w:rPr>
        <w:t xml:space="preserve"> </w:t>
      </w:r>
      <w:r w:rsidR="004635E3" w:rsidRPr="003033C6">
        <w:rPr>
          <w:rFonts w:ascii="Arial" w:hAnsi="Arial" w:cs="Arial"/>
          <w:sz w:val="24"/>
          <w:szCs w:val="24"/>
        </w:rPr>
        <w:t>l</w:t>
      </w:r>
      <w:r w:rsidR="005E5A85" w:rsidRPr="003033C6">
        <w:rPr>
          <w:rFonts w:ascii="Arial" w:hAnsi="Arial" w:cs="Arial"/>
          <w:sz w:val="24"/>
          <w:szCs w:val="24"/>
        </w:rPr>
        <w:t xml:space="preserve">ocal </w:t>
      </w:r>
      <w:r w:rsidR="004635E3" w:rsidRPr="003033C6">
        <w:rPr>
          <w:rFonts w:ascii="Arial" w:hAnsi="Arial" w:cs="Arial"/>
          <w:sz w:val="24"/>
          <w:szCs w:val="24"/>
        </w:rPr>
        <w:t>e</w:t>
      </w:r>
      <w:r w:rsidR="005E5A85" w:rsidRPr="003033C6">
        <w:rPr>
          <w:rFonts w:ascii="Arial" w:hAnsi="Arial" w:cs="Arial"/>
          <w:sz w:val="24"/>
          <w:szCs w:val="24"/>
        </w:rPr>
        <w:t>xchange</w:t>
      </w:r>
      <w:r w:rsidR="00A60B32" w:rsidRPr="003033C6">
        <w:rPr>
          <w:rFonts w:ascii="Arial" w:hAnsi="Arial" w:cs="Arial"/>
          <w:sz w:val="24"/>
          <w:szCs w:val="24"/>
        </w:rPr>
        <w:t xml:space="preserve"> was</w:t>
      </w:r>
      <w:r w:rsidR="004635E3" w:rsidRPr="003033C6">
        <w:rPr>
          <w:rFonts w:ascii="Arial" w:hAnsi="Arial" w:cs="Arial"/>
          <w:sz w:val="24"/>
          <w:szCs w:val="24"/>
        </w:rPr>
        <w:t xml:space="preserve"> the </w:t>
      </w:r>
      <w:r w:rsidR="003C776E" w:rsidRPr="003033C6">
        <w:rPr>
          <w:rFonts w:ascii="Arial" w:hAnsi="Arial" w:cs="Arial"/>
          <w:sz w:val="24"/>
          <w:szCs w:val="24"/>
        </w:rPr>
        <w:t>starting point</w:t>
      </w:r>
      <w:r w:rsidR="004635E3" w:rsidRPr="003033C6">
        <w:rPr>
          <w:rFonts w:ascii="Arial" w:hAnsi="Arial" w:cs="Arial"/>
          <w:sz w:val="24"/>
          <w:szCs w:val="24"/>
        </w:rPr>
        <w:t xml:space="preserve">.  </w:t>
      </w:r>
      <w:r w:rsidR="00A81292" w:rsidRPr="003033C6">
        <w:rPr>
          <w:rFonts w:ascii="Arial" w:hAnsi="Arial" w:cs="Arial"/>
          <w:sz w:val="24"/>
          <w:szCs w:val="24"/>
        </w:rPr>
        <w:t>Th</w:t>
      </w:r>
      <w:r w:rsidR="003C776E" w:rsidRPr="003033C6">
        <w:rPr>
          <w:rFonts w:ascii="Arial" w:hAnsi="Arial" w:cs="Arial"/>
          <w:sz w:val="24"/>
          <w:szCs w:val="24"/>
        </w:rPr>
        <w:t>is competitive local</w:t>
      </w:r>
      <w:r w:rsidR="00A81292" w:rsidRPr="003033C6">
        <w:rPr>
          <w:rFonts w:ascii="Arial" w:hAnsi="Arial" w:cs="Arial"/>
          <w:sz w:val="24"/>
          <w:szCs w:val="24"/>
        </w:rPr>
        <w:t xml:space="preserve"> network</w:t>
      </w:r>
      <w:r w:rsidR="003F0C96" w:rsidRPr="003033C6">
        <w:rPr>
          <w:rFonts w:ascii="Arial" w:hAnsi="Arial" w:cs="Arial"/>
          <w:sz w:val="24"/>
          <w:szCs w:val="24"/>
        </w:rPr>
        <w:t xml:space="preserve"> has</w:t>
      </w:r>
      <w:r w:rsidR="003C776E" w:rsidRPr="003033C6">
        <w:rPr>
          <w:rFonts w:ascii="Arial" w:hAnsi="Arial" w:cs="Arial"/>
          <w:sz w:val="24"/>
          <w:szCs w:val="24"/>
        </w:rPr>
        <w:t>, over the more than 20 years since President Clinton signed the Act,</w:t>
      </w:r>
      <w:r w:rsidR="00A81292" w:rsidRPr="003033C6">
        <w:rPr>
          <w:rFonts w:ascii="Arial" w:hAnsi="Arial" w:cs="Arial"/>
          <w:sz w:val="24"/>
          <w:szCs w:val="24"/>
        </w:rPr>
        <w:t xml:space="preserve"> been designed with local interfaces, </w:t>
      </w:r>
      <w:r w:rsidR="003C776E" w:rsidRPr="003033C6">
        <w:rPr>
          <w:rFonts w:ascii="Arial" w:hAnsi="Arial" w:cs="Arial"/>
          <w:sz w:val="24"/>
          <w:szCs w:val="24"/>
        </w:rPr>
        <w:t xml:space="preserve">priced with </w:t>
      </w:r>
      <w:r w:rsidR="00A81292" w:rsidRPr="003033C6">
        <w:rPr>
          <w:rFonts w:ascii="Arial" w:hAnsi="Arial" w:cs="Arial"/>
          <w:sz w:val="24"/>
          <w:szCs w:val="24"/>
        </w:rPr>
        <w:t xml:space="preserve">local rates, </w:t>
      </w:r>
      <w:r w:rsidR="003C776E" w:rsidRPr="003033C6">
        <w:rPr>
          <w:rFonts w:ascii="Arial" w:hAnsi="Arial" w:cs="Arial"/>
          <w:sz w:val="24"/>
          <w:szCs w:val="24"/>
        </w:rPr>
        <w:t xml:space="preserve">entered via </w:t>
      </w:r>
      <w:r w:rsidR="00A81292" w:rsidRPr="003033C6">
        <w:rPr>
          <w:rFonts w:ascii="Arial" w:hAnsi="Arial" w:cs="Arial"/>
          <w:sz w:val="24"/>
          <w:szCs w:val="24"/>
        </w:rPr>
        <w:t xml:space="preserve">local interconnection, and </w:t>
      </w:r>
      <w:r w:rsidR="003C776E" w:rsidRPr="003033C6">
        <w:rPr>
          <w:rFonts w:ascii="Arial" w:hAnsi="Arial" w:cs="Arial"/>
          <w:sz w:val="24"/>
          <w:szCs w:val="24"/>
        </w:rPr>
        <w:t xml:space="preserve">addressed by </w:t>
      </w:r>
      <w:r w:rsidR="00A81292" w:rsidRPr="003033C6">
        <w:rPr>
          <w:rFonts w:ascii="Arial" w:hAnsi="Arial" w:cs="Arial"/>
          <w:sz w:val="24"/>
          <w:szCs w:val="24"/>
        </w:rPr>
        <w:t>telephone numbers that are local</w:t>
      </w:r>
      <w:r w:rsidR="00837316" w:rsidRPr="003033C6">
        <w:rPr>
          <w:rFonts w:ascii="Arial" w:hAnsi="Arial" w:cs="Arial"/>
          <w:sz w:val="24"/>
          <w:szCs w:val="24"/>
        </w:rPr>
        <w:t xml:space="preserve"> in their origins.  To get all this local to act national, </w:t>
      </w:r>
      <w:r w:rsidR="009B4C13" w:rsidRPr="003033C6">
        <w:rPr>
          <w:rFonts w:ascii="Arial" w:hAnsi="Arial" w:cs="Arial"/>
          <w:sz w:val="24"/>
          <w:szCs w:val="24"/>
        </w:rPr>
        <w:t>h</w:t>
      </w:r>
      <w:r w:rsidR="00837316" w:rsidRPr="003033C6">
        <w:rPr>
          <w:rFonts w:ascii="Arial" w:hAnsi="Arial" w:cs="Arial"/>
          <w:sz w:val="24"/>
          <w:szCs w:val="24"/>
        </w:rPr>
        <w:t>ow do we do that?</w:t>
      </w:r>
    </w:p>
    <w:p w14:paraId="1852FBC1" w14:textId="5BD82E43" w:rsidR="00CA2CE6" w:rsidRPr="003033C6" w:rsidRDefault="00837316" w:rsidP="00021905">
      <w:pPr>
        <w:spacing w:line="480" w:lineRule="auto"/>
        <w:rPr>
          <w:rFonts w:ascii="Arial" w:hAnsi="Arial" w:cs="Arial"/>
          <w:sz w:val="24"/>
          <w:szCs w:val="24"/>
        </w:rPr>
      </w:pPr>
      <w:r w:rsidRPr="003033C6">
        <w:rPr>
          <w:rFonts w:ascii="Arial" w:hAnsi="Arial" w:cs="Arial"/>
          <w:sz w:val="24"/>
          <w:szCs w:val="24"/>
        </w:rPr>
        <w:t>The industry, through Competitive Local Exchange Company (“CLEC”) entry, wireless service development and Voice o</w:t>
      </w:r>
      <w:r w:rsidR="003C776E" w:rsidRPr="003033C6">
        <w:rPr>
          <w:rFonts w:ascii="Arial" w:hAnsi="Arial" w:cs="Arial"/>
          <w:sz w:val="24"/>
          <w:szCs w:val="24"/>
        </w:rPr>
        <w:t>ver</w:t>
      </w:r>
      <w:r w:rsidRPr="003033C6">
        <w:rPr>
          <w:rFonts w:ascii="Arial" w:hAnsi="Arial" w:cs="Arial"/>
          <w:sz w:val="24"/>
          <w:szCs w:val="24"/>
        </w:rPr>
        <w:t xml:space="preserve"> Internet Protocol (“VoIP”) penetration, has effectively put a “long cord” on the local number.  </w:t>
      </w:r>
      <w:r w:rsidR="00367B23" w:rsidRPr="003033C6">
        <w:rPr>
          <w:rFonts w:ascii="Arial" w:hAnsi="Arial" w:cs="Arial"/>
          <w:sz w:val="24"/>
          <w:szCs w:val="24"/>
        </w:rPr>
        <w:t>The customer (or end user) can be anywhere</w:t>
      </w:r>
      <w:r w:rsidR="002E4C16" w:rsidRPr="003033C6">
        <w:rPr>
          <w:rFonts w:ascii="Arial" w:hAnsi="Arial" w:cs="Arial"/>
          <w:sz w:val="24"/>
          <w:szCs w:val="24"/>
        </w:rPr>
        <w:t xml:space="preserve"> that their technology allows</w:t>
      </w:r>
      <w:r w:rsidR="00367B23" w:rsidRPr="003033C6">
        <w:rPr>
          <w:rFonts w:ascii="Arial" w:hAnsi="Arial" w:cs="Arial"/>
          <w:sz w:val="24"/>
          <w:szCs w:val="24"/>
        </w:rPr>
        <w:t xml:space="preserve">, but </w:t>
      </w:r>
      <w:r w:rsidR="002E4C16" w:rsidRPr="003033C6">
        <w:rPr>
          <w:rFonts w:ascii="Arial" w:hAnsi="Arial" w:cs="Arial"/>
          <w:sz w:val="24"/>
          <w:szCs w:val="24"/>
        </w:rPr>
        <w:t>the network still grounds each call to its local roots.</w:t>
      </w:r>
      <w:r w:rsidR="003F0C96" w:rsidRPr="003033C6">
        <w:rPr>
          <w:rStyle w:val="FootnoteReference"/>
          <w:rFonts w:ascii="Arial" w:hAnsi="Arial" w:cs="Arial"/>
          <w:sz w:val="24"/>
          <w:szCs w:val="24"/>
        </w:rPr>
        <w:footnoteReference w:id="3"/>
      </w:r>
      <w:r w:rsidR="00367B23" w:rsidRPr="003033C6">
        <w:rPr>
          <w:rFonts w:ascii="Arial" w:hAnsi="Arial" w:cs="Arial"/>
          <w:sz w:val="24"/>
          <w:szCs w:val="24"/>
        </w:rPr>
        <w:t xml:space="preserve">  </w:t>
      </w:r>
      <w:r w:rsidRPr="003033C6">
        <w:rPr>
          <w:rFonts w:ascii="Arial" w:hAnsi="Arial" w:cs="Arial"/>
          <w:sz w:val="24"/>
          <w:szCs w:val="24"/>
        </w:rPr>
        <w:t xml:space="preserve">In this </w:t>
      </w:r>
      <w:r w:rsidR="002E4C16" w:rsidRPr="003033C6">
        <w:rPr>
          <w:rFonts w:ascii="Arial" w:hAnsi="Arial" w:cs="Arial"/>
          <w:sz w:val="24"/>
          <w:szCs w:val="24"/>
        </w:rPr>
        <w:t>NPRM/NOI</w:t>
      </w:r>
      <w:r w:rsidRPr="003033C6">
        <w:rPr>
          <w:rFonts w:ascii="Arial" w:hAnsi="Arial" w:cs="Arial"/>
          <w:sz w:val="24"/>
          <w:szCs w:val="24"/>
        </w:rPr>
        <w:t xml:space="preserve">, we are posed with </w:t>
      </w:r>
      <w:r w:rsidR="009B4C13" w:rsidRPr="003033C6">
        <w:rPr>
          <w:rFonts w:ascii="Arial" w:hAnsi="Arial" w:cs="Arial"/>
          <w:sz w:val="24"/>
          <w:szCs w:val="24"/>
        </w:rPr>
        <w:t xml:space="preserve">questions </w:t>
      </w:r>
      <w:r w:rsidR="002E4C16" w:rsidRPr="003033C6">
        <w:rPr>
          <w:rFonts w:ascii="Arial" w:hAnsi="Arial" w:cs="Arial"/>
          <w:sz w:val="24"/>
          <w:szCs w:val="24"/>
        </w:rPr>
        <w:t>whose answers may</w:t>
      </w:r>
      <w:r w:rsidR="009B4C13" w:rsidRPr="003033C6">
        <w:rPr>
          <w:rFonts w:ascii="Arial" w:hAnsi="Arial" w:cs="Arial"/>
          <w:sz w:val="24"/>
          <w:szCs w:val="24"/>
        </w:rPr>
        <w:t xml:space="preserve"> produce a more sophisticate long cord.  </w:t>
      </w:r>
      <w:r w:rsidR="002E4C16" w:rsidRPr="003033C6">
        <w:rPr>
          <w:rFonts w:ascii="Arial" w:hAnsi="Arial" w:cs="Arial"/>
          <w:sz w:val="24"/>
          <w:szCs w:val="24"/>
        </w:rPr>
        <w:t>T</w:t>
      </w:r>
      <w:r w:rsidR="009B4C13" w:rsidRPr="003033C6">
        <w:rPr>
          <w:rFonts w:ascii="Arial" w:hAnsi="Arial" w:cs="Arial"/>
          <w:sz w:val="24"/>
          <w:szCs w:val="24"/>
        </w:rPr>
        <w:t xml:space="preserve">o </w:t>
      </w:r>
      <w:r w:rsidR="002E4C16" w:rsidRPr="003033C6">
        <w:rPr>
          <w:rFonts w:ascii="Arial" w:hAnsi="Arial" w:cs="Arial"/>
          <w:sz w:val="24"/>
          <w:szCs w:val="24"/>
        </w:rPr>
        <w:t>most e</w:t>
      </w:r>
      <w:r w:rsidR="003F0C96" w:rsidRPr="003033C6">
        <w:rPr>
          <w:rFonts w:ascii="Arial" w:hAnsi="Arial" w:cs="Arial"/>
          <w:sz w:val="24"/>
          <w:szCs w:val="24"/>
        </w:rPr>
        <w:t>conomically</w:t>
      </w:r>
      <w:r w:rsidR="002E4C16" w:rsidRPr="003033C6">
        <w:rPr>
          <w:rFonts w:ascii="Arial" w:hAnsi="Arial" w:cs="Arial"/>
          <w:sz w:val="24"/>
          <w:szCs w:val="24"/>
        </w:rPr>
        <w:t xml:space="preserve"> use our regulatory and industry energies, </w:t>
      </w:r>
      <w:r w:rsidR="009B4C13" w:rsidRPr="003033C6">
        <w:rPr>
          <w:rFonts w:ascii="Arial" w:hAnsi="Arial" w:cs="Arial"/>
          <w:sz w:val="24"/>
          <w:szCs w:val="24"/>
        </w:rPr>
        <w:t xml:space="preserve">we </w:t>
      </w:r>
      <w:r w:rsidR="003C776E" w:rsidRPr="003033C6">
        <w:rPr>
          <w:rFonts w:ascii="Arial" w:hAnsi="Arial" w:cs="Arial"/>
          <w:sz w:val="24"/>
          <w:szCs w:val="24"/>
        </w:rPr>
        <w:t>should design a</w:t>
      </w:r>
      <w:r w:rsidR="009B4C13" w:rsidRPr="003033C6">
        <w:rPr>
          <w:rFonts w:ascii="Arial" w:hAnsi="Arial" w:cs="Arial"/>
          <w:sz w:val="24"/>
          <w:szCs w:val="24"/>
        </w:rPr>
        <w:t xml:space="preserve"> less-local network</w:t>
      </w:r>
      <w:r w:rsidR="002E4C16" w:rsidRPr="003033C6">
        <w:rPr>
          <w:rFonts w:ascii="Arial" w:hAnsi="Arial" w:cs="Arial"/>
          <w:sz w:val="24"/>
          <w:szCs w:val="24"/>
        </w:rPr>
        <w:t xml:space="preserve"> for NNP</w:t>
      </w:r>
      <w:r w:rsidR="009B4C13" w:rsidRPr="003033C6">
        <w:rPr>
          <w:rFonts w:ascii="Arial" w:hAnsi="Arial" w:cs="Arial"/>
          <w:sz w:val="24"/>
          <w:szCs w:val="24"/>
        </w:rPr>
        <w:t xml:space="preserve">.  The PSTN needs to be </w:t>
      </w:r>
      <w:r w:rsidR="003F0C96" w:rsidRPr="003033C6">
        <w:rPr>
          <w:rFonts w:ascii="Arial" w:hAnsi="Arial" w:cs="Arial"/>
          <w:sz w:val="24"/>
          <w:szCs w:val="24"/>
        </w:rPr>
        <w:lastRenderedPageBreak/>
        <w:t>transitioned via</w:t>
      </w:r>
      <w:r w:rsidR="009B4C13" w:rsidRPr="003033C6">
        <w:rPr>
          <w:rFonts w:ascii="Arial" w:hAnsi="Arial" w:cs="Arial"/>
          <w:sz w:val="24"/>
          <w:szCs w:val="24"/>
        </w:rPr>
        <w:t xml:space="preserve"> non-local paradigms.  The network itself has to move from L (local) to N (national) to</w:t>
      </w:r>
      <w:r w:rsidR="004C00FC" w:rsidRPr="003033C6">
        <w:rPr>
          <w:rFonts w:ascii="Arial" w:hAnsi="Arial" w:cs="Arial"/>
          <w:sz w:val="24"/>
          <w:szCs w:val="24"/>
        </w:rPr>
        <w:t xml:space="preserve"> properly</w:t>
      </w:r>
      <w:r w:rsidR="009B4C13" w:rsidRPr="003033C6">
        <w:rPr>
          <w:rFonts w:ascii="Arial" w:hAnsi="Arial" w:cs="Arial"/>
          <w:sz w:val="24"/>
          <w:szCs w:val="24"/>
        </w:rPr>
        <w:t xml:space="preserve"> get to NNP.</w:t>
      </w:r>
    </w:p>
    <w:p w14:paraId="46F1EFDC" w14:textId="78FB901C" w:rsidR="00FC6A67" w:rsidRPr="003033C6" w:rsidRDefault="004C00FC" w:rsidP="00021905">
      <w:pPr>
        <w:spacing w:line="480" w:lineRule="auto"/>
        <w:rPr>
          <w:rFonts w:ascii="Arial" w:hAnsi="Arial" w:cs="Arial"/>
          <w:sz w:val="24"/>
          <w:szCs w:val="24"/>
        </w:rPr>
      </w:pPr>
      <w:r w:rsidRPr="003033C6">
        <w:rPr>
          <w:rFonts w:ascii="Arial" w:hAnsi="Arial" w:cs="Arial"/>
          <w:sz w:val="24"/>
          <w:szCs w:val="24"/>
        </w:rPr>
        <w:t xml:space="preserve">The idea of a revamped PSTN, led by Commission action is not new.  </w:t>
      </w:r>
      <w:r w:rsidR="00FC6A67" w:rsidRPr="003033C6">
        <w:rPr>
          <w:rFonts w:ascii="Arial" w:hAnsi="Arial" w:cs="Arial"/>
          <w:sz w:val="24"/>
          <w:szCs w:val="24"/>
        </w:rPr>
        <w:t xml:space="preserve">Among other parties advocating for an evolution of the telephone network, in December 2009 under the heading of </w:t>
      </w:r>
      <w:r w:rsidR="00FC6A67" w:rsidRPr="003033C6">
        <w:rPr>
          <w:rFonts w:ascii="Arial" w:hAnsi="Arial" w:cs="Arial"/>
          <w:i/>
          <w:sz w:val="24"/>
          <w:szCs w:val="24"/>
        </w:rPr>
        <w:t>Setting a Firm Deadline for Sunset of the PSTN</w:t>
      </w:r>
      <w:r w:rsidR="00FC6A67" w:rsidRPr="003033C6">
        <w:rPr>
          <w:rFonts w:ascii="Arial" w:hAnsi="Arial" w:cs="Arial"/>
          <w:sz w:val="24"/>
          <w:szCs w:val="24"/>
        </w:rPr>
        <w:t>, AT&amp;T said:</w:t>
      </w:r>
    </w:p>
    <w:p w14:paraId="49B5FDB3" w14:textId="235B6C7D" w:rsidR="004C00FC" w:rsidRPr="003033C6" w:rsidRDefault="00FC6A67" w:rsidP="00FC6A67">
      <w:pPr>
        <w:spacing w:line="240" w:lineRule="auto"/>
        <w:ind w:left="720"/>
        <w:rPr>
          <w:rFonts w:ascii="Arial" w:hAnsi="Arial" w:cs="Arial"/>
          <w:sz w:val="24"/>
          <w:szCs w:val="24"/>
        </w:rPr>
      </w:pPr>
      <w:r w:rsidRPr="003033C6">
        <w:rPr>
          <w:rFonts w:ascii="Arial" w:hAnsi="Arial" w:cs="Arial"/>
          <w:sz w:val="24"/>
          <w:szCs w:val="24"/>
        </w:rPr>
        <w:t>“Perhaps the most important question relating to the logistics of phasing out the PSTN involves setting a deadline for the sunset of the PSTN and POTS.  To that end, the Commission should issue a Notice of Inquiry that explains the importance of a firm deadline for the phaseout of POTS service and the PSTN, and it should ask what that deadline should be.”</w:t>
      </w:r>
      <w:r w:rsidRPr="003033C6">
        <w:rPr>
          <w:rStyle w:val="FootnoteReference"/>
          <w:rFonts w:ascii="Arial" w:hAnsi="Arial" w:cs="Arial"/>
          <w:sz w:val="24"/>
          <w:szCs w:val="24"/>
        </w:rPr>
        <w:footnoteReference w:id="4"/>
      </w:r>
    </w:p>
    <w:p w14:paraId="793AFAE2" w14:textId="5E62ED60" w:rsidR="002E4C16" w:rsidRPr="003033C6" w:rsidRDefault="00FC6A67" w:rsidP="00021905">
      <w:pPr>
        <w:spacing w:line="480" w:lineRule="auto"/>
        <w:rPr>
          <w:rFonts w:ascii="Arial" w:hAnsi="Arial" w:cs="Arial"/>
          <w:sz w:val="24"/>
          <w:szCs w:val="24"/>
        </w:rPr>
      </w:pPr>
      <w:r w:rsidRPr="003033C6">
        <w:rPr>
          <w:rFonts w:ascii="Arial" w:hAnsi="Arial" w:cs="Arial"/>
          <w:sz w:val="24"/>
          <w:szCs w:val="24"/>
        </w:rPr>
        <w:t>Th</w:t>
      </w:r>
      <w:r w:rsidR="00640491" w:rsidRPr="003033C6">
        <w:rPr>
          <w:rFonts w:ascii="Arial" w:hAnsi="Arial" w:cs="Arial"/>
          <w:sz w:val="24"/>
          <w:szCs w:val="24"/>
        </w:rPr>
        <w:t>is filing</w:t>
      </w:r>
      <w:r w:rsidRPr="003033C6">
        <w:rPr>
          <w:rFonts w:ascii="Arial" w:hAnsi="Arial" w:cs="Arial"/>
          <w:sz w:val="24"/>
          <w:szCs w:val="24"/>
        </w:rPr>
        <w:t xml:space="preserve"> was </w:t>
      </w:r>
      <w:r w:rsidR="00927989" w:rsidRPr="003033C6">
        <w:rPr>
          <w:rFonts w:ascii="Arial" w:hAnsi="Arial" w:cs="Arial"/>
          <w:sz w:val="24"/>
          <w:szCs w:val="24"/>
        </w:rPr>
        <w:t>calling for a move</w:t>
      </w:r>
      <w:r w:rsidRPr="003033C6">
        <w:rPr>
          <w:rFonts w:ascii="Arial" w:hAnsi="Arial" w:cs="Arial"/>
          <w:sz w:val="24"/>
          <w:szCs w:val="24"/>
        </w:rPr>
        <w:t xml:space="preserve"> from </w:t>
      </w:r>
      <w:r w:rsidR="00927989" w:rsidRPr="003033C6">
        <w:rPr>
          <w:rFonts w:ascii="Arial" w:hAnsi="Arial" w:cs="Arial"/>
          <w:sz w:val="24"/>
          <w:szCs w:val="24"/>
        </w:rPr>
        <w:t xml:space="preserve">the </w:t>
      </w:r>
      <w:r w:rsidRPr="003033C6">
        <w:rPr>
          <w:rFonts w:ascii="Arial" w:hAnsi="Arial" w:cs="Arial"/>
          <w:sz w:val="24"/>
          <w:szCs w:val="24"/>
        </w:rPr>
        <w:t>circuit-switched</w:t>
      </w:r>
      <w:r w:rsidR="00927989" w:rsidRPr="003033C6">
        <w:rPr>
          <w:rFonts w:ascii="Arial" w:hAnsi="Arial" w:cs="Arial"/>
          <w:sz w:val="24"/>
          <w:szCs w:val="24"/>
        </w:rPr>
        <w:t xml:space="preserve"> (or “TDM”)</w:t>
      </w:r>
      <w:r w:rsidRPr="003033C6">
        <w:rPr>
          <w:rFonts w:ascii="Arial" w:hAnsi="Arial" w:cs="Arial"/>
          <w:sz w:val="24"/>
          <w:szCs w:val="24"/>
        </w:rPr>
        <w:t xml:space="preserve"> network to broadband.</w:t>
      </w:r>
      <w:r w:rsidR="00927989" w:rsidRPr="003033C6">
        <w:rPr>
          <w:rFonts w:ascii="Arial" w:hAnsi="Arial" w:cs="Arial"/>
          <w:sz w:val="24"/>
          <w:szCs w:val="24"/>
        </w:rPr>
        <w:t xml:space="preserve">  The target at that time was </w:t>
      </w:r>
      <w:r w:rsidR="007D4852" w:rsidRPr="003033C6">
        <w:rPr>
          <w:rFonts w:ascii="Arial" w:hAnsi="Arial" w:cs="Arial"/>
          <w:sz w:val="24"/>
          <w:szCs w:val="24"/>
        </w:rPr>
        <w:t xml:space="preserve">eight years, </w:t>
      </w:r>
      <w:r w:rsidR="00C21931" w:rsidRPr="003033C6">
        <w:rPr>
          <w:rFonts w:ascii="Arial" w:hAnsi="Arial" w:cs="Arial"/>
          <w:sz w:val="24"/>
          <w:szCs w:val="24"/>
        </w:rPr>
        <w:t>that is</w:t>
      </w:r>
      <w:r w:rsidR="00640491" w:rsidRPr="003033C6">
        <w:rPr>
          <w:rFonts w:ascii="Arial" w:hAnsi="Arial" w:cs="Arial"/>
          <w:sz w:val="24"/>
          <w:szCs w:val="24"/>
        </w:rPr>
        <w:t>,</w:t>
      </w:r>
      <w:r w:rsidR="00C21931" w:rsidRPr="003033C6">
        <w:rPr>
          <w:rFonts w:ascii="Arial" w:hAnsi="Arial" w:cs="Arial"/>
          <w:sz w:val="24"/>
          <w:szCs w:val="24"/>
        </w:rPr>
        <w:t xml:space="preserve"> </w:t>
      </w:r>
      <w:r w:rsidR="007D4852" w:rsidRPr="003033C6">
        <w:rPr>
          <w:rFonts w:ascii="Arial" w:hAnsi="Arial" w:cs="Arial"/>
          <w:sz w:val="24"/>
          <w:szCs w:val="24"/>
        </w:rPr>
        <w:t>2018.</w:t>
      </w:r>
    </w:p>
    <w:p w14:paraId="16297190" w14:textId="189DAB79" w:rsidR="007D4852" w:rsidRPr="003033C6" w:rsidRDefault="00640491" w:rsidP="00021905">
      <w:pPr>
        <w:spacing w:line="480" w:lineRule="auto"/>
        <w:rPr>
          <w:rFonts w:ascii="Arial" w:hAnsi="Arial" w:cs="Arial"/>
          <w:i/>
          <w:sz w:val="24"/>
          <w:szCs w:val="24"/>
        </w:rPr>
      </w:pPr>
      <w:r w:rsidRPr="003033C6">
        <w:rPr>
          <w:rFonts w:ascii="Arial" w:hAnsi="Arial" w:cs="Arial"/>
          <w:sz w:val="24"/>
          <w:szCs w:val="24"/>
        </w:rPr>
        <w:t xml:space="preserve">Regarding the </w:t>
      </w:r>
      <w:r w:rsidR="007D4852" w:rsidRPr="003033C6">
        <w:rPr>
          <w:rFonts w:ascii="Arial" w:hAnsi="Arial" w:cs="Arial"/>
          <w:sz w:val="24"/>
          <w:szCs w:val="24"/>
        </w:rPr>
        <w:t>IP transition</w:t>
      </w:r>
      <w:r w:rsidRPr="003033C6">
        <w:rPr>
          <w:rFonts w:ascii="Arial" w:hAnsi="Arial" w:cs="Arial"/>
          <w:sz w:val="24"/>
          <w:szCs w:val="24"/>
        </w:rPr>
        <w:t xml:space="preserve"> challenge</w:t>
      </w:r>
      <w:r w:rsidR="007D4852" w:rsidRPr="003033C6">
        <w:rPr>
          <w:rFonts w:ascii="Arial" w:hAnsi="Arial" w:cs="Arial"/>
          <w:sz w:val="24"/>
          <w:szCs w:val="24"/>
        </w:rPr>
        <w:t xml:space="preserve">, </w:t>
      </w:r>
      <w:r w:rsidR="00E937B0" w:rsidRPr="003033C6">
        <w:rPr>
          <w:rFonts w:ascii="Arial" w:hAnsi="Arial" w:cs="Arial"/>
          <w:sz w:val="24"/>
          <w:szCs w:val="24"/>
        </w:rPr>
        <w:t>Sharon Gillett</w:t>
      </w:r>
      <w:r w:rsidR="00C21931" w:rsidRPr="003033C6">
        <w:rPr>
          <w:rFonts w:ascii="Arial" w:hAnsi="Arial" w:cs="Arial"/>
          <w:sz w:val="24"/>
          <w:szCs w:val="24"/>
        </w:rPr>
        <w:t xml:space="preserve">, former Wireline Competition Bureau Chief, offered some questions “we are thinking about” in June 15, 2012 remarks at the </w:t>
      </w:r>
      <w:r w:rsidR="00C21931" w:rsidRPr="003033C6">
        <w:rPr>
          <w:rFonts w:ascii="Arial" w:hAnsi="Arial" w:cs="Arial"/>
          <w:i/>
          <w:sz w:val="24"/>
          <w:szCs w:val="24"/>
        </w:rPr>
        <w:t>Voice Communication Exchange Workshop on the Transition to IP Networks</w:t>
      </w:r>
      <w:r w:rsidRPr="003033C6">
        <w:rPr>
          <w:rFonts w:ascii="Arial" w:hAnsi="Arial" w:cs="Arial"/>
          <w:i/>
          <w:sz w:val="24"/>
          <w:szCs w:val="24"/>
        </w:rPr>
        <w:t xml:space="preserve"> </w:t>
      </w:r>
      <w:r w:rsidRPr="003033C6">
        <w:rPr>
          <w:rFonts w:ascii="Arial" w:hAnsi="Arial" w:cs="Arial"/>
          <w:sz w:val="24"/>
          <w:szCs w:val="24"/>
        </w:rPr>
        <w:t>in context of the 2011 USF/ICC Transformation Order</w:t>
      </w:r>
      <w:r w:rsidRPr="003033C6">
        <w:rPr>
          <w:rFonts w:ascii="Arial" w:hAnsi="Arial" w:cs="Arial"/>
          <w:i/>
          <w:sz w:val="24"/>
          <w:szCs w:val="24"/>
        </w:rPr>
        <w:t>:</w:t>
      </w:r>
    </w:p>
    <w:p w14:paraId="075661DD" w14:textId="716A1085" w:rsidR="00C21931" w:rsidRPr="003033C6" w:rsidRDefault="00C21931" w:rsidP="00C21931">
      <w:pPr>
        <w:spacing w:line="240" w:lineRule="auto"/>
        <w:ind w:left="720"/>
        <w:rPr>
          <w:rFonts w:ascii="Arial" w:hAnsi="Arial" w:cs="Arial"/>
          <w:sz w:val="24"/>
          <w:szCs w:val="24"/>
        </w:rPr>
      </w:pPr>
      <w:r w:rsidRPr="003033C6">
        <w:rPr>
          <w:rFonts w:ascii="Arial" w:hAnsi="Arial" w:cs="Arial"/>
          <w:sz w:val="24"/>
          <w:szCs w:val="24"/>
        </w:rPr>
        <w:t>• What is technically possible, and what is technically feasible on an industry-wide scale?</w:t>
      </w:r>
    </w:p>
    <w:p w14:paraId="2670AAF6" w14:textId="1AA4E137" w:rsidR="00C21931" w:rsidRPr="003033C6" w:rsidRDefault="00C21931" w:rsidP="00C21931">
      <w:pPr>
        <w:spacing w:line="240" w:lineRule="auto"/>
        <w:ind w:left="720"/>
        <w:rPr>
          <w:rFonts w:ascii="Arial" w:hAnsi="Arial" w:cs="Arial"/>
          <w:sz w:val="24"/>
          <w:szCs w:val="24"/>
        </w:rPr>
      </w:pPr>
      <w:r w:rsidRPr="003033C6">
        <w:rPr>
          <w:rFonts w:ascii="Arial" w:hAnsi="Arial" w:cs="Arial"/>
          <w:sz w:val="24"/>
          <w:szCs w:val="24"/>
        </w:rPr>
        <w:t>• How do we work out efficient and equitable solutions to difficult issues like the number of points of interconnection, and costs to convert from TDM to IP, and what solutions have industry players negotiated on these issues to date?</w:t>
      </w:r>
    </w:p>
    <w:p w14:paraId="4B425711" w14:textId="47F3E4BE" w:rsidR="00C21931" w:rsidRPr="003033C6" w:rsidRDefault="00C21931" w:rsidP="00C21931">
      <w:pPr>
        <w:spacing w:line="240" w:lineRule="auto"/>
        <w:ind w:left="720"/>
        <w:rPr>
          <w:rFonts w:ascii="Arial" w:hAnsi="Arial" w:cs="Arial"/>
          <w:sz w:val="24"/>
          <w:szCs w:val="24"/>
        </w:rPr>
      </w:pPr>
      <w:r w:rsidRPr="003033C6">
        <w:rPr>
          <w:rFonts w:ascii="Arial" w:hAnsi="Arial" w:cs="Arial"/>
          <w:sz w:val="24"/>
          <w:szCs w:val="24"/>
        </w:rPr>
        <w:t>• What is the appropriate role and authority for the Commission regarding the interconnection of IP-based networks without an intervening TDM conversion, in particular for the exchange of phone calls?</w:t>
      </w:r>
      <w:r w:rsidR="00640491" w:rsidRPr="003033C6">
        <w:rPr>
          <w:rStyle w:val="FootnoteReference"/>
          <w:rFonts w:ascii="Arial" w:hAnsi="Arial" w:cs="Arial"/>
          <w:sz w:val="24"/>
          <w:szCs w:val="24"/>
        </w:rPr>
        <w:footnoteReference w:id="5"/>
      </w:r>
    </w:p>
    <w:p w14:paraId="2DB2B433" w14:textId="71BD8D4A" w:rsidR="00640491" w:rsidRPr="003033C6" w:rsidRDefault="00640491" w:rsidP="00021905">
      <w:pPr>
        <w:spacing w:line="480" w:lineRule="auto"/>
        <w:rPr>
          <w:rFonts w:ascii="Arial" w:hAnsi="Arial" w:cs="Arial"/>
          <w:sz w:val="24"/>
          <w:szCs w:val="24"/>
        </w:rPr>
      </w:pPr>
      <w:r w:rsidRPr="003033C6">
        <w:rPr>
          <w:rFonts w:ascii="Arial" w:hAnsi="Arial" w:cs="Arial"/>
          <w:sz w:val="24"/>
          <w:szCs w:val="24"/>
        </w:rPr>
        <w:lastRenderedPageBreak/>
        <w:t>These are pertinent questions today, and part of getting to the next network, the IP-centric network.  The need, though, is broader than Number Portability.</w:t>
      </w:r>
    </w:p>
    <w:p w14:paraId="0FE24779" w14:textId="77777777" w:rsidR="00640491" w:rsidRPr="003033C6" w:rsidRDefault="00640491" w:rsidP="00021905">
      <w:pPr>
        <w:spacing w:line="480" w:lineRule="auto"/>
        <w:rPr>
          <w:rFonts w:ascii="Arial" w:hAnsi="Arial" w:cs="Arial"/>
          <w:sz w:val="24"/>
          <w:szCs w:val="24"/>
        </w:rPr>
      </w:pPr>
    </w:p>
    <w:p w14:paraId="1B31DB02" w14:textId="26733B32" w:rsidR="002E4C16" w:rsidRPr="003033C6" w:rsidRDefault="002E4C16" w:rsidP="00021905">
      <w:pPr>
        <w:spacing w:line="480" w:lineRule="auto"/>
        <w:rPr>
          <w:rFonts w:ascii="Arial" w:hAnsi="Arial" w:cs="Arial"/>
          <w:sz w:val="24"/>
          <w:szCs w:val="24"/>
        </w:rPr>
      </w:pPr>
      <w:r w:rsidRPr="003033C6">
        <w:rPr>
          <w:rFonts w:ascii="Arial" w:hAnsi="Arial" w:cs="Arial"/>
          <w:sz w:val="24"/>
          <w:szCs w:val="24"/>
        </w:rPr>
        <w:t>In response to specific NPRM/NOI sections, the following replies are offered.</w:t>
      </w:r>
    </w:p>
    <w:p w14:paraId="7FAE246B" w14:textId="7FE7145C" w:rsidR="004F731D" w:rsidRPr="003033C6" w:rsidRDefault="004F731D" w:rsidP="00021905">
      <w:pPr>
        <w:spacing w:line="480" w:lineRule="auto"/>
        <w:rPr>
          <w:rFonts w:ascii="Arial" w:hAnsi="Arial" w:cs="Arial"/>
          <w:sz w:val="24"/>
          <w:szCs w:val="24"/>
        </w:rPr>
      </w:pPr>
      <w:r w:rsidRPr="003033C6">
        <w:rPr>
          <w:rFonts w:ascii="Arial" w:hAnsi="Arial" w:cs="Arial"/>
          <w:b/>
          <w:i/>
          <w:sz w:val="24"/>
          <w:szCs w:val="24"/>
        </w:rPr>
        <w:t>N-1 Requirement</w:t>
      </w:r>
      <w:r w:rsidRPr="003033C6">
        <w:rPr>
          <w:rFonts w:ascii="Arial" w:hAnsi="Arial" w:cs="Arial"/>
          <w:sz w:val="24"/>
          <w:szCs w:val="24"/>
        </w:rPr>
        <w:t xml:space="preserve"> – If the N-1 query requirement is eliminated, without some new requirement to query elsewhere in the process, calls that are completed today will surely fail for lack of a query.  For LRN-based number portability to operate, there must be certainty that each call to a portable NXX</w:t>
      </w:r>
      <w:r w:rsidR="001669C7" w:rsidRPr="003033C6">
        <w:rPr>
          <w:rFonts w:ascii="Arial" w:hAnsi="Arial" w:cs="Arial"/>
          <w:sz w:val="24"/>
          <w:szCs w:val="24"/>
        </w:rPr>
        <w:t xml:space="preserve"> (e.g., the first three numbers of a </w:t>
      </w:r>
      <w:proofErr w:type="gramStart"/>
      <w:r w:rsidR="001669C7" w:rsidRPr="003033C6">
        <w:rPr>
          <w:rFonts w:ascii="Arial" w:hAnsi="Arial" w:cs="Arial"/>
          <w:sz w:val="24"/>
          <w:szCs w:val="24"/>
        </w:rPr>
        <w:t>seven digit</w:t>
      </w:r>
      <w:proofErr w:type="gramEnd"/>
      <w:r w:rsidR="001669C7" w:rsidRPr="003033C6">
        <w:rPr>
          <w:rFonts w:ascii="Arial" w:hAnsi="Arial" w:cs="Arial"/>
          <w:sz w:val="24"/>
          <w:szCs w:val="24"/>
        </w:rPr>
        <w:t xml:space="preserve"> number)</w:t>
      </w:r>
      <w:r w:rsidRPr="003033C6">
        <w:rPr>
          <w:rFonts w:ascii="Arial" w:hAnsi="Arial" w:cs="Arial"/>
          <w:sz w:val="24"/>
          <w:szCs w:val="24"/>
        </w:rPr>
        <w:t xml:space="preserve"> will have been queried during the call set-up process, or some calls will have no query and will fail.  Since LNP queries are an expense to the querying party, it seems likely that, sans N-1 query requirement, </w:t>
      </w:r>
      <w:r w:rsidR="00211360">
        <w:rPr>
          <w:rFonts w:ascii="Arial" w:hAnsi="Arial" w:cs="Arial"/>
          <w:sz w:val="24"/>
          <w:szCs w:val="24"/>
        </w:rPr>
        <w:t xml:space="preserve">some </w:t>
      </w:r>
      <w:r w:rsidRPr="003033C6">
        <w:rPr>
          <w:rFonts w:ascii="Arial" w:hAnsi="Arial" w:cs="Arial"/>
          <w:sz w:val="24"/>
          <w:szCs w:val="24"/>
        </w:rPr>
        <w:t>calls to ported numbers will not route properly.  Solutions such as reassigning the requirement from the N-1 carrier to another carrier in the calling path (e.g., the originating carrier) would eliminate this uncertainty.  Without such clarity of querying requirement, consumers will experience incomplete calls and be frustrated.</w:t>
      </w:r>
    </w:p>
    <w:p w14:paraId="56B822EB" w14:textId="2AA14283" w:rsidR="004F731D" w:rsidRPr="003033C6" w:rsidRDefault="004F731D" w:rsidP="00021905">
      <w:pPr>
        <w:spacing w:line="480" w:lineRule="auto"/>
        <w:rPr>
          <w:rFonts w:ascii="Arial" w:hAnsi="Arial" w:cs="Arial"/>
          <w:sz w:val="24"/>
          <w:szCs w:val="24"/>
        </w:rPr>
      </w:pPr>
      <w:r w:rsidRPr="003033C6">
        <w:rPr>
          <w:rFonts w:ascii="Arial" w:hAnsi="Arial" w:cs="Arial"/>
          <w:sz w:val="24"/>
          <w:szCs w:val="24"/>
        </w:rPr>
        <w:t>Regarding emergency services and N-1 requirement, the inbound call to the 911 center is not likely to be hampered since separate routing paths exist for this purpose, but the return call that the 911 center may place in the event a call-back is necessary could fail</w:t>
      </w:r>
      <w:r w:rsidR="001669C7" w:rsidRPr="003033C6">
        <w:rPr>
          <w:rFonts w:ascii="Arial" w:hAnsi="Arial" w:cs="Arial"/>
          <w:sz w:val="24"/>
          <w:szCs w:val="24"/>
        </w:rPr>
        <w:t>,</w:t>
      </w:r>
      <w:r w:rsidRPr="003033C6">
        <w:rPr>
          <w:rFonts w:ascii="Arial" w:hAnsi="Arial" w:cs="Arial"/>
          <w:sz w:val="24"/>
          <w:szCs w:val="24"/>
        </w:rPr>
        <w:t xml:space="preserve"> if there is question about which carrier provides the LNP query.</w:t>
      </w:r>
    </w:p>
    <w:p w14:paraId="22D36624" w14:textId="77777777" w:rsidR="003F112F" w:rsidRPr="003033C6" w:rsidRDefault="003F112F" w:rsidP="00021905">
      <w:pPr>
        <w:spacing w:line="480" w:lineRule="auto"/>
        <w:rPr>
          <w:rFonts w:ascii="Arial" w:hAnsi="Arial" w:cs="Arial"/>
          <w:sz w:val="24"/>
          <w:szCs w:val="24"/>
        </w:rPr>
      </w:pPr>
    </w:p>
    <w:p w14:paraId="7120698F" w14:textId="305A0265" w:rsidR="004F731D" w:rsidRPr="003033C6" w:rsidRDefault="004F731D" w:rsidP="00021905">
      <w:pPr>
        <w:spacing w:line="480" w:lineRule="auto"/>
        <w:rPr>
          <w:rFonts w:ascii="Arial" w:hAnsi="Arial" w:cs="Arial"/>
          <w:i/>
          <w:sz w:val="24"/>
          <w:szCs w:val="24"/>
        </w:rPr>
      </w:pPr>
      <w:r w:rsidRPr="003033C6">
        <w:rPr>
          <w:rFonts w:ascii="Arial" w:hAnsi="Arial" w:cs="Arial"/>
          <w:b/>
          <w:i/>
          <w:sz w:val="24"/>
          <w:szCs w:val="24"/>
        </w:rPr>
        <w:t>Elimination of Remaining Interexchange Dialing Parity Requirements</w:t>
      </w:r>
      <w:r w:rsidRPr="003033C6">
        <w:rPr>
          <w:rFonts w:ascii="Arial" w:hAnsi="Arial" w:cs="Arial"/>
          <w:sz w:val="24"/>
          <w:szCs w:val="24"/>
        </w:rPr>
        <w:t xml:space="preserve"> – Without taking a position on the proposed Dialing Parity forbearance, it is worth noting that the </w:t>
      </w:r>
      <w:r w:rsidRPr="003033C6">
        <w:rPr>
          <w:rFonts w:ascii="Arial" w:hAnsi="Arial" w:cs="Arial"/>
          <w:sz w:val="24"/>
          <w:szCs w:val="24"/>
        </w:rPr>
        <w:lastRenderedPageBreak/>
        <w:t xml:space="preserve">FCC acknowledges “today’s all-distance market” and the competitive unimportance of “stand-alone long -distance” services.  Consumer interests have largely moved away from various location-based services as they want their service providers to migrate with them from the local exchange.  The rate center boundaries that give street-level clarity to local calling scope and the mileage-based long-distance plans used to reach out to Grandma’s house are more compatible with the rotary phone than they are with packet switching and optical fiber.  Since the FCC and their constituency recognize this, perhaps it is time to quit feeding nickels and dimes into the TDM coin slots by </w:t>
      </w:r>
      <w:r w:rsidRPr="003033C6">
        <w:rPr>
          <w:rFonts w:ascii="Arial" w:hAnsi="Arial" w:cs="Arial"/>
          <w:sz w:val="24"/>
          <w:szCs w:val="24"/>
          <w:u w:val="single"/>
        </w:rPr>
        <w:t>eliminating the existing default to the historic circuit-switched network</w:t>
      </w:r>
      <w:r w:rsidRPr="003033C6">
        <w:rPr>
          <w:rFonts w:ascii="Arial" w:hAnsi="Arial" w:cs="Arial"/>
          <w:sz w:val="24"/>
          <w:szCs w:val="24"/>
        </w:rPr>
        <w:t xml:space="preserve">.  </w:t>
      </w:r>
      <w:r w:rsidRPr="003033C6">
        <w:rPr>
          <w:rFonts w:ascii="Arial" w:hAnsi="Arial" w:cs="Arial"/>
          <w:i/>
          <w:sz w:val="24"/>
          <w:szCs w:val="24"/>
        </w:rPr>
        <w:t>If call</w:t>
      </w:r>
      <w:r w:rsidR="001669C7" w:rsidRPr="003033C6">
        <w:rPr>
          <w:rFonts w:ascii="Arial" w:hAnsi="Arial" w:cs="Arial"/>
          <w:i/>
          <w:sz w:val="24"/>
          <w:szCs w:val="24"/>
        </w:rPr>
        <w:t>s</w:t>
      </w:r>
      <w:r w:rsidRPr="003033C6">
        <w:rPr>
          <w:rFonts w:ascii="Arial" w:hAnsi="Arial" w:cs="Arial"/>
          <w:i/>
          <w:sz w:val="24"/>
          <w:szCs w:val="24"/>
        </w:rPr>
        <w:t xml:space="preserve"> to a TDM switch w</w:t>
      </w:r>
      <w:r w:rsidR="001669C7" w:rsidRPr="003033C6">
        <w:rPr>
          <w:rFonts w:ascii="Arial" w:hAnsi="Arial" w:cs="Arial"/>
          <w:i/>
          <w:sz w:val="24"/>
          <w:szCs w:val="24"/>
        </w:rPr>
        <w:t>ere routinely</w:t>
      </w:r>
      <w:r w:rsidRPr="003033C6">
        <w:rPr>
          <w:rFonts w:ascii="Arial" w:hAnsi="Arial" w:cs="Arial"/>
          <w:i/>
          <w:sz w:val="24"/>
          <w:szCs w:val="24"/>
        </w:rPr>
        <w:t xml:space="preserve"> delivered via IP, and the obligation</w:t>
      </w:r>
      <w:r w:rsidR="001669C7" w:rsidRPr="003033C6">
        <w:rPr>
          <w:rFonts w:ascii="Arial" w:hAnsi="Arial" w:cs="Arial"/>
          <w:i/>
          <w:sz w:val="24"/>
          <w:szCs w:val="24"/>
        </w:rPr>
        <w:t xml:space="preserve"> (cost)</w:t>
      </w:r>
      <w:r w:rsidRPr="003033C6">
        <w:rPr>
          <w:rFonts w:ascii="Arial" w:hAnsi="Arial" w:cs="Arial"/>
          <w:i/>
          <w:sz w:val="24"/>
          <w:szCs w:val="24"/>
        </w:rPr>
        <w:t xml:space="preserve"> to convert to TDM was upon the terminating service provider, switching platforms would more quickly reappear as IP-based.</w:t>
      </w:r>
    </w:p>
    <w:p w14:paraId="01807A22" w14:textId="77777777" w:rsidR="003F112F" w:rsidRPr="003033C6" w:rsidRDefault="003F112F" w:rsidP="00021905">
      <w:pPr>
        <w:spacing w:line="480" w:lineRule="auto"/>
        <w:rPr>
          <w:rFonts w:ascii="Arial" w:hAnsi="Arial" w:cs="Arial"/>
          <w:sz w:val="24"/>
          <w:szCs w:val="24"/>
        </w:rPr>
      </w:pPr>
    </w:p>
    <w:p w14:paraId="037E8B23" w14:textId="3D0D6EFE" w:rsidR="004F731D" w:rsidRPr="003033C6" w:rsidRDefault="004F731D" w:rsidP="00021905">
      <w:pPr>
        <w:spacing w:line="480" w:lineRule="auto"/>
        <w:rPr>
          <w:rFonts w:ascii="Arial" w:hAnsi="Arial" w:cs="Arial"/>
          <w:sz w:val="24"/>
          <w:szCs w:val="24"/>
        </w:rPr>
      </w:pPr>
      <w:r w:rsidRPr="003033C6">
        <w:rPr>
          <w:rFonts w:ascii="Arial" w:hAnsi="Arial" w:cs="Arial"/>
          <w:b/>
          <w:i/>
          <w:sz w:val="24"/>
          <w:szCs w:val="24"/>
        </w:rPr>
        <w:t>NNP Alternatives Identified in the ATIS Report</w:t>
      </w:r>
      <w:r w:rsidRPr="003033C6">
        <w:rPr>
          <w:rFonts w:ascii="Arial" w:hAnsi="Arial" w:cs="Arial"/>
          <w:sz w:val="24"/>
          <w:szCs w:val="24"/>
        </w:rPr>
        <w:t xml:space="preserve"> – Setting aside options 1, 2 and 4 as investing in updates to a fading technology, and acknowledging that option 3 is available today, there are none of these alternatives that need to be further pursued as a regulatory initiative.  The assumptions for </w:t>
      </w:r>
      <w:r w:rsidR="00367B23" w:rsidRPr="003033C6">
        <w:rPr>
          <w:rFonts w:ascii="Arial" w:hAnsi="Arial" w:cs="Arial"/>
          <w:sz w:val="24"/>
          <w:szCs w:val="24"/>
        </w:rPr>
        <w:t>1</w:t>
      </w:r>
      <w:r w:rsidRPr="003033C6">
        <w:rPr>
          <w:rFonts w:ascii="Arial" w:hAnsi="Arial" w:cs="Arial"/>
          <w:sz w:val="24"/>
          <w:szCs w:val="24"/>
        </w:rPr>
        <w:t xml:space="preserve">, 2 and 4 each start from a static view of the PSTN and its TDM-centric basis, with all the NPAC, interconnection and compensation structures extant today.  If the FCC saw fit to investigate a timeline for converting to an IP-centric network, the pathway to NNP would likely be measurably different than these solutions.  </w:t>
      </w:r>
    </w:p>
    <w:p w14:paraId="28AC7EAE" w14:textId="0F0CB0BE" w:rsidR="004F731D" w:rsidRPr="003033C6" w:rsidRDefault="004F731D" w:rsidP="00021905">
      <w:pPr>
        <w:spacing w:line="480" w:lineRule="auto"/>
        <w:rPr>
          <w:rFonts w:ascii="Arial" w:hAnsi="Arial" w:cs="Arial"/>
          <w:sz w:val="24"/>
          <w:szCs w:val="24"/>
        </w:rPr>
      </w:pPr>
      <w:r w:rsidRPr="003033C6">
        <w:rPr>
          <w:rFonts w:ascii="Arial" w:hAnsi="Arial" w:cs="Arial"/>
          <w:sz w:val="24"/>
          <w:szCs w:val="24"/>
        </w:rPr>
        <w:t xml:space="preserve">The ATIS report delineates changes needed to the NPAC database, to supporting LNP systems, it describes possible disparate handling of wireless versus wireline ports, and </w:t>
      </w:r>
      <w:r w:rsidRPr="003033C6">
        <w:rPr>
          <w:rFonts w:ascii="Arial" w:hAnsi="Arial" w:cs="Arial"/>
          <w:sz w:val="24"/>
          <w:szCs w:val="24"/>
        </w:rPr>
        <w:lastRenderedPageBreak/>
        <w:t xml:space="preserve">it contemplates switch replacement to accommodate options 1, 2 and 4.  The level of adjustment to the </w:t>
      </w:r>
      <w:r w:rsidR="001669C7" w:rsidRPr="003033C6">
        <w:rPr>
          <w:rFonts w:ascii="Arial" w:hAnsi="Arial" w:cs="Arial"/>
          <w:sz w:val="24"/>
          <w:szCs w:val="24"/>
        </w:rPr>
        <w:t>current</w:t>
      </w:r>
      <w:r w:rsidRPr="003033C6">
        <w:rPr>
          <w:rFonts w:ascii="Arial" w:hAnsi="Arial" w:cs="Arial"/>
          <w:sz w:val="24"/>
          <w:szCs w:val="24"/>
        </w:rPr>
        <w:t xml:space="preserve"> TDM-centric networks</w:t>
      </w:r>
      <w:r w:rsidR="009E5A71">
        <w:rPr>
          <w:rFonts w:ascii="Arial" w:hAnsi="Arial" w:cs="Arial"/>
          <w:sz w:val="24"/>
          <w:szCs w:val="24"/>
        </w:rPr>
        <w:t xml:space="preserve"> that these three options</w:t>
      </w:r>
      <w:r w:rsidR="002402FA">
        <w:rPr>
          <w:rFonts w:ascii="Arial" w:hAnsi="Arial" w:cs="Arial"/>
          <w:sz w:val="24"/>
          <w:szCs w:val="24"/>
        </w:rPr>
        <w:t xml:space="preserve"> require</w:t>
      </w:r>
      <w:r w:rsidRPr="003033C6">
        <w:rPr>
          <w:rFonts w:ascii="Arial" w:hAnsi="Arial" w:cs="Arial"/>
          <w:sz w:val="24"/>
          <w:szCs w:val="24"/>
        </w:rPr>
        <w:t xml:space="preserve"> would take a few years to implement, and would rely upon retention of </w:t>
      </w:r>
      <w:r w:rsidR="000D6354">
        <w:rPr>
          <w:rFonts w:ascii="Arial" w:hAnsi="Arial" w:cs="Arial"/>
          <w:sz w:val="24"/>
          <w:szCs w:val="24"/>
        </w:rPr>
        <w:t xml:space="preserve">the </w:t>
      </w:r>
      <w:r w:rsidRPr="003033C6">
        <w:rPr>
          <w:rFonts w:ascii="Arial" w:hAnsi="Arial" w:cs="Arial"/>
          <w:sz w:val="24"/>
          <w:szCs w:val="24"/>
        </w:rPr>
        <w:t>TDM orientation.  It seems economically inefficient to breath new and different life into the aging TDM model.</w:t>
      </w:r>
    </w:p>
    <w:p w14:paraId="7C849F31" w14:textId="3BE8BFC1" w:rsidR="004F731D" w:rsidRPr="003033C6" w:rsidRDefault="004F731D" w:rsidP="00021905">
      <w:pPr>
        <w:spacing w:line="480" w:lineRule="auto"/>
        <w:rPr>
          <w:rFonts w:ascii="Arial" w:hAnsi="Arial" w:cs="Arial"/>
          <w:sz w:val="24"/>
          <w:szCs w:val="24"/>
        </w:rPr>
      </w:pPr>
      <w:r w:rsidRPr="003033C6">
        <w:rPr>
          <w:rFonts w:ascii="Arial" w:hAnsi="Arial" w:cs="Arial"/>
          <w:sz w:val="24"/>
          <w:szCs w:val="24"/>
        </w:rPr>
        <w:t xml:space="preserve">Small, rural and regional carriers can compete </w:t>
      </w:r>
      <w:r w:rsidR="001669C7" w:rsidRPr="003033C6">
        <w:rPr>
          <w:rFonts w:ascii="Arial" w:hAnsi="Arial" w:cs="Arial"/>
          <w:sz w:val="24"/>
          <w:szCs w:val="24"/>
        </w:rPr>
        <w:t>right now</w:t>
      </w:r>
      <w:r w:rsidRPr="003033C6">
        <w:rPr>
          <w:rFonts w:ascii="Arial" w:hAnsi="Arial" w:cs="Arial"/>
          <w:sz w:val="24"/>
          <w:szCs w:val="24"/>
        </w:rPr>
        <w:t xml:space="preserve"> using commercial agreements </w:t>
      </w:r>
      <w:r w:rsidR="001669C7" w:rsidRPr="003033C6">
        <w:rPr>
          <w:rFonts w:ascii="Arial" w:hAnsi="Arial" w:cs="Arial"/>
          <w:sz w:val="24"/>
          <w:szCs w:val="24"/>
        </w:rPr>
        <w:t xml:space="preserve">(option 3) </w:t>
      </w:r>
      <w:r w:rsidRPr="003033C6">
        <w:rPr>
          <w:rFonts w:ascii="Arial" w:hAnsi="Arial" w:cs="Arial"/>
          <w:sz w:val="24"/>
          <w:szCs w:val="24"/>
        </w:rPr>
        <w:t>to achieve a similar level of national footprint that larger service providers have today.</w:t>
      </w:r>
      <w:r w:rsidR="00B442CD" w:rsidRPr="003033C6">
        <w:rPr>
          <w:rStyle w:val="FootnoteReference"/>
          <w:rFonts w:ascii="Arial" w:hAnsi="Arial" w:cs="Arial"/>
          <w:sz w:val="24"/>
          <w:szCs w:val="24"/>
        </w:rPr>
        <w:footnoteReference w:id="6"/>
      </w:r>
    </w:p>
    <w:p w14:paraId="7ED1D8CF" w14:textId="77777777" w:rsidR="003F112F" w:rsidRPr="003033C6" w:rsidRDefault="003F112F" w:rsidP="00021905">
      <w:pPr>
        <w:spacing w:line="480" w:lineRule="auto"/>
        <w:rPr>
          <w:rFonts w:ascii="Arial" w:hAnsi="Arial" w:cs="Arial"/>
          <w:sz w:val="24"/>
          <w:szCs w:val="24"/>
        </w:rPr>
      </w:pPr>
    </w:p>
    <w:p w14:paraId="52117CF6" w14:textId="06678933" w:rsidR="004F731D" w:rsidRPr="003033C6" w:rsidRDefault="004F731D" w:rsidP="00021905">
      <w:pPr>
        <w:spacing w:line="480" w:lineRule="auto"/>
        <w:rPr>
          <w:rFonts w:ascii="Arial" w:hAnsi="Arial" w:cs="Arial"/>
          <w:sz w:val="24"/>
          <w:szCs w:val="24"/>
        </w:rPr>
      </w:pPr>
      <w:r w:rsidRPr="003033C6">
        <w:rPr>
          <w:rFonts w:ascii="Arial" w:hAnsi="Arial" w:cs="Arial"/>
          <w:b/>
          <w:i/>
          <w:sz w:val="24"/>
          <w:szCs w:val="24"/>
        </w:rPr>
        <w:t>Necessary Changes and Challenges to Achieving NNP</w:t>
      </w:r>
      <w:r w:rsidR="00936AB7" w:rsidRPr="003033C6">
        <w:rPr>
          <w:rFonts w:ascii="Arial" w:hAnsi="Arial" w:cs="Arial"/>
          <w:b/>
          <w:i/>
          <w:sz w:val="24"/>
          <w:szCs w:val="24"/>
        </w:rPr>
        <w:t xml:space="preserve"> and Number Administration</w:t>
      </w:r>
      <w:r w:rsidRPr="003033C6">
        <w:rPr>
          <w:rFonts w:ascii="Arial" w:hAnsi="Arial" w:cs="Arial"/>
          <w:sz w:val="24"/>
          <w:szCs w:val="24"/>
        </w:rPr>
        <w:t xml:space="preserve"> – </w:t>
      </w:r>
      <w:r w:rsidR="00974211" w:rsidRPr="003033C6">
        <w:rPr>
          <w:rFonts w:ascii="Arial" w:hAnsi="Arial" w:cs="Arial"/>
          <w:sz w:val="24"/>
          <w:szCs w:val="24"/>
        </w:rPr>
        <w:t xml:space="preserve">As the </w:t>
      </w:r>
      <w:r w:rsidR="00936AB7" w:rsidRPr="003033C6">
        <w:rPr>
          <w:rFonts w:ascii="Arial" w:hAnsi="Arial" w:cs="Arial"/>
          <w:sz w:val="24"/>
          <w:szCs w:val="24"/>
        </w:rPr>
        <w:t xml:space="preserve">questions on </w:t>
      </w:r>
      <w:r w:rsidR="00936AB7" w:rsidRPr="003033C6">
        <w:rPr>
          <w:rFonts w:ascii="Arial" w:hAnsi="Arial" w:cs="Arial"/>
          <w:b/>
          <w:i/>
          <w:sz w:val="24"/>
          <w:szCs w:val="24"/>
        </w:rPr>
        <w:t>Routing and Interconnect, Public Safety, Access by Individuals with Disabilities and Tariffs and Intercarrier Compensation</w:t>
      </w:r>
      <w:r w:rsidR="00936AB7" w:rsidRPr="003033C6">
        <w:rPr>
          <w:rFonts w:ascii="Arial" w:hAnsi="Arial" w:cs="Arial"/>
          <w:sz w:val="24"/>
          <w:szCs w:val="24"/>
        </w:rPr>
        <w:t xml:space="preserve"> demonstrate, making the number portability regime national is much broader than redesigning LNP or changing the N-1 requirement.  Both of these will necessarily happen, along with other changes.  It would seem aligning this NPRM/NOI with broader Commission efforts is the prudent approach.  This suggestion is not new, as there have been overtures, now years old, that have intoned such efforts.</w:t>
      </w:r>
    </w:p>
    <w:p w14:paraId="4D071F07" w14:textId="77777777" w:rsidR="003F112F" w:rsidRPr="003033C6" w:rsidRDefault="003F112F" w:rsidP="00021905">
      <w:pPr>
        <w:spacing w:line="480" w:lineRule="auto"/>
        <w:rPr>
          <w:rFonts w:ascii="Arial" w:hAnsi="Arial" w:cs="Arial"/>
          <w:sz w:val="24"/>
          <w:szCs w:val="24"/>
        </w:rPr>
      </w:pPr>
    </w:p>
    <w:p w14:paraId="0DEBF07C" w14:textId="52EEF500" w:rsidR="00936AB7" w:rsidRPr="003033C6" w:rsidRDefault="003F112F" w:rsidP="00021905">
      <w:pPr>
        <w:spacing w:line="480" w:lineRule="auto"/>
        <w:rPr>
          <w:rFonts w:ascii="Arial" w:hAnsi="Arial" w:cs="Arial"/>
          <w:sz w:val="24"/>
          <w:szCs w:val="24"/>
        </w:rPr>
      </w:pPr>
      <w:r w:rsidRPr="003033C6">
        <w:rPr>
          <w:rFonts w:ascii="Arial" w:hAnsi="Arial" w:cs="Arial"/>
          <w:b/>
          <w:i/>
          <w:sz w:val="24"/>
          <w:szCs w:val="24"/>
        </w:rPr>
        <w:lastRenderedPageBreak/>
        <w:t>Suggested</w:t>
      </w:r>
      <w:r w:rsidR="00C403A6" w:rsidRPr="003033C6">
        <w:rPr>
          <w:rFonts w:ascii="Arial" w:hAnsi="Arial" w:cs="Arial"/>
          <w:b/>
          <w:i/>
          <w:sz w:val="24"/>
          <w:szCs w:val="24"/>
        </w:rPr>
        <w:t xml:space="preserve"> Next Steps</w:t>
      </w:r>
      <w:r w:rsidR="00C403A6" w:rsidRPr="003033C6">
        <w:rPr>
          <w:rFonts w:ascii="Arial" w:hAnsi="Arial" w:cs="Arial"/>
          <w:sz w:val="24"/>
          <w:szCs w:val="24"/>
        </w:rPr>
        <w:t xml:space="preserve"> – </w:t>
      </w:r>
      <w:r w:rsidR="00936AB7" w:rsidRPr="003033C6">
        <w:rPr>
          <w:rFonts w:ascii="Arial" w:hAnsi="Arial" w:cs="Arial"/>
          <w:sz w:val="24"/>
          <w:szCs w:val="24"/>
        </w:rPr>
        <w:t>If the FCC were to investigate the issue and determine that it is in the public interest to be an IP-centric calling system, it might find it expedient to set a date for such a change in default from TDM to IP</w:t>
      </w:r>
      <w:r w:rsidR="006532C8" w:rsidRPr="003033C6">
        <w:rPr>
          <w:rStyle w:val="FootnoteReference"/>
          <w:rFonts w:ascii="Arial" w:hAnsi="Arial" w:cs="Arial"/>
          <w:sz w:val="24"/>
          <w:szCs w:val="24"/>
        </w:rPr>
        <w:footnoteReference w:id="7"/>
      </w:r>
      <w:r w:rsidR="00936AB7" w:rsidRPr="003033C6">
        <w:rPr>
          <w:rFonts w:ascii="Arial" w:hAnsi="Arial" w:cs="Arial"/>
          <w:sz w:val="24"/>
          <w:szCs w:val="24"/>
        </w:rPr>
        <w:t xml:space="preserve">.  One approach would be to consider the </w:t>
      </w:r>
      <w:r w:rsidR="00265087" w:rsidRPr="003033C6">
        <w:rPr>
          <w:rFonts w:ascii="Arial" w:hAnsi="Arial" w:cs="Arial"/>
          <w:sz w:val="24"/>
          <w:szCs w:val="24"/>
        </w:rPr>
        <w:t xml:space="preserve">five-year </w:t>
      </w:r>
      <w:r w:rsidR="00936AB7" w:rsidRPr="003033C6">
        <w:rPr>
          <w:rFonts w:ascii="Arial" w:hAnsi="Arial" w:cs="Arial"/>
          <w:sz w:val="24"/>
          <w:szCs w:val="24"/>
        </w:rPr>
        <w:t>NPAC contract</w:t>
      </w:r>
      <w:r w:rsidR="00265087" w:rsidRPr="003033C6">
        <w:rPr>
          <w:rFonts w:ascii="Arial" w:hAnsi="Arial" w:cs="Arial"/>
          <w:sz w:val="24"/>
          <w:szCs w:val="24"/>
        </w:rPr>
        <w:t xml:space="preserve"> for industry portability services which should expire during 2023.  If </w:t>
      </w:r>
      <w:r w:rsidR="00936AB7" w:rsidRPr="003033C6">
        <w:rPr>
          <w:rFonts w:ascii="Arial" w:hAnsi="Arial" w:cs="Arial"/>
          <w:sz w:val="24"/>
          <w:szCs w:val="24"/>
        </w:rPr>
        <w:t xml:space="preserve">the FCC </w:t>
      </w:r>
      <w:r w:rsidR="00265087" w:rsidRPr="003033C6">
        <w:rPr>
          <w:rFonts w:ascii="Arial" w:hAnsi="Arial" w:cs="Arial"/>
          <w:sz w:val="24"/>
          <w:szCs w:val="24"/>
        </w:rPr>
        <w:t>w</w:t>
      </w:r>
      <w:r w:rsidR="00936AB7" w:rsidRPr="003033C6">
        <w:rPr>
          <w:rFonts w:ascii="Arial" w:hAnsi="Arial" w:cs="Arial"/>
          <w:sz w:val="24"/>
          <w:szCs w:val="24"/>
        </w:rPr>
        <w:t xml:space="preserve">ould establish that this default protocol </w:t>
      </w:r>
      <w:r w:rsidR="00265087" w:rsidRPr="003033C6">
        <w:rPr>
          <w:rFonts w:ascii="Arial" w:hAnsi="Arial" w:cs="Arial"/>
          <w:sz w:val="24"/>
          <w:szCs w:val="24"/>
        </w:rPr>
        <w:t>shift (TDM-to-IP)</w:t>
      </w:r>
      <w:r w:rsidR="00936AB7" w:rsidRPr="003033C6">
        <w:rPr>
          <w:rFonts w:ascii="Arial" w:hAnsi="Arial" w:cs="Arial"/>
          <w:sz w:val="24"/>
          <w:szCs w:val="24"/>
        </w:rPr>
        <w:t xml:space="preserve"> would be fixed on </w:t>
      </w:r>
      <w:r w:rsidR="00265087" w:rsidRPr="003033C6">
        <w:rPr>
          <w:rFonts w:ascii="Arial" w:hAnsi="Arial" w:cs="Arial"/>
          <w:sz w:val="24"/>
          <w:szCs w:val="24"/>
        </w:rPr>
        <w:t>July 4,</w:t>
      </w:r>
      <w:r w:rsidR="00936AB7" w:rsidRPr="003033C6">
        <w:rPr>
          <w:rFonts w:ascii="Arial" w:hAnsi="Arial" w:cs="Arial"/>
          <w:sz w:val="24"/>
          <w:szCs w:val="24"/>
        </w:rPr>
        <w:t xml:space="preserve"> 2023</w:t>
      </w:r>
      <w:r w:rsidR="00247752" w:rsidRPr="003033C6">
        <w:rPr>
          <w:rFonts w:ascii="Arial" w:hAnsi="Arial" w:cs="Arial"/>
          <w:sz w:val="24"/>
          <w:szCs w:val="24"/>
        </w:rPr>
        <w:t xml:space="preserve"> (TDM Independence Day)</w:t>
      </w:r>
      <w:r w:rsidR="00265087" w:rsidRPr="003033C6">
        <w:rPr>
          <w:rFonts w:ascii="Arial" w:hAnsi="Arial" w:cs="Arial"/>
          <w:sz w:val="24"/>
          <w:szCs w:val="24"/>
        </w:rPr>
        <w:t>, this would allow regulatory and industry efforts to work backwards to redesign the PSTN for an IP retrofit that would necessarily involve intercarrier compensation, interconnection, tariffs, emergency services and number portability in a holistic manner.</w:t>
      </w:r>
      <w:r w:rsidR="002D1478" w:rsidRPr="003033C6">
        <w:rPr>
          <w:rFonts w:ascii="Arial" w:hAnsi="Arial" w:cs="Arial"/>
          <w:sz w:val="24"/>
          <w:szCs w:val="24"/>
        </w:rPr>
        <w:t xml:space="preserve">  In this example, the nascent NPAC contract could run its course with an</w:t>
      </w:r>
      <w:r w:rsidR="00247752" w:rsidRPr="003033C6">
        <w:rPr>
          <w:rFonts w:ascii="Arial" w:hAnsi="Arial" w:cs="Arial"/>
          <w:sz w:val="24"/>
          <w:szCs w:val="24"/>
        </w:rPr>
        <w:t>y</w:t>
      </w:r>
      <w:r w:rsidR="002D1478" w:rsidRPr="003033C6">
        <w:rPr>
          <w:rFonts w:ascii="Arial" w:hAnsi="Arial" w:cs="Arial"/>
          <w:sz w:val="24"/>
          <w:szCs w:val="24"/>
        </w:rPr>
        <w:t xml:space="preserve"> adjustments made for future services after the </w:t>
      </w:r>
      <w:r w:rsidR="00247752" w:rsidRPr="003033C6">
        <w:rPr>
          <w:rFonts w:ascii="Arial" w:hAnsi="Arial" w:cs="Arial"/>
          <w:sz w:val="24"/>
          <w:szCs w:val="24"/>
        </w:rPr>
        <w:t>5-year</w:t>
      </w:r>
      <w:r w:rsidR="002D1478" w:rsidRPr="003033C6">
        <w:rPr>
          <w:rFonts w:ascii="Arial" w:hAnsi="Arial" w:cs="Arial"/>
          <w:sz w:val="24"/>
          <w:szCs w:val="24"/>
        </w:rPr>
        <w:t xml:space="preserve"> contract expire</w:t>
      </w:r>
      <w:r w:rsidR="00247752" w:rsidRPr="003033C6">
        <w:rPr>
          <w:rFonts w:ascii="Arial" w:hAnsi="Arial" w:cs="Arial"/>
          <w:sz w:val="24"/>
          <w:szCs w:val="24"/>
        </w:rPr>
        <w:t>s</w:t>
      </w:r>
      <w:r w:rsidR="002D1478" w:rsidRPr="003033C6">
        <w:rPr>
          <w:rFonts w:ascii="Arial" w:hAnsi="Arial" w:cs="Arial"/>
          <w:sz w:val="24"/>
          <w:szCs w:val="24"/>
        </w:rPr>
        <w:t>.  Of course, any number of future dates might be suggested, but this plea is to set one such date and coalesce planning activities in response to that date.</w:t>
      </w:r>
    </w:p>
    <w:p w14:paraId="1414A882" w14:textId="0A9E9323" w:rsidR="00265087" w:rsidRPr="003033C6" w:rsidRDefault="00265087" w:rsidP="00021905">
      <w:pPr>
        <w:spacing w:line="480" w:lineRule="auto"/>
        <w:rPr>
          <w:rFonts w:ascii="Arial" w:hAnsi="Arial" w:cs="Arial"/>
          <w:sz w:val="24"/>
          <w:szCs w:val="24"/>
        </w:rPr>
      </w:pPr>
      <w:r w:rsidRPr="003033C6">
        <w:rPr>
          <w:rFonts w:ascii="Arial" w:hAnsi="Arial" w:cs="Arial"/>
          <w:sz w:val="24"/>
          <w:szCs w:val="24"/>
        </w:rPr>
        <w:t>As much as industry parties might wish to evolve without specific mandates, it seems unlikely the PSTN will evolve from a TDM-centric model to IP-centric without such regulatory finiteness.</w:t>
      </w:r>
    </w:p>
    <w:p w14:paraId="007F52AD" w14:textId="2537E62A" w:rsidR="00265087" w:rsidRPr="003033C6" w:rsidRDefault="00265087" w:rsidP="00021905">
      <w:pPr>
        <w:spacing w:line="480" w:lineRule="auto"/>
        <w:rPr>
          <w:rFonts w:ascii="Arial" w:hAnsi="Arial" w:cs="Arial"/>
          <w:sz w:val="24"/>
          <w:szCs w:val="24"/>
        </w:rPr>
      </w:pPr>
      <w:r w:rsidRPr="003033C6">
        <w:rPr>
          <w:rFonts w:ascii="Arial" w:hAnsi="Arial" w:cs="Arial"/>
          <w:sz w:val="24"/>
          <w:szCs w:val="24"/>
        </w:rPr>
        <w:t>Thus, it is this petitioner’s suggestion that the FCC arrive at a date some years from now to which the industry can build the network capable of accommodating NNP.</w:t>
      </w:r>
      <w:r w:rsidR="0047786D" w:rsidRPr="003033C6">
        <w:rPr>
          <w:rFonts w:ascii="Arial" w:hAnsi="Arial" w:cs="Arial"/>
          <w:sz w:val="24"/>
          <w:szCs w:val="24"/>
        </w:rPr>
        <w:t xml:space="preserve">  </w:t>
      </w:r>
      <w:r w:rsidR="0047786D" w:rsidRPr="003033C6">
        <w:rPr>
          <w:rFonts w:ascii="Arial" w:hAnsi="Arial" w:cs="Arial"/>
          <w:sz w:val="24"/>
          <w:szCs w:val="24"/>
        </w:rPr>
        <w:lastRenderedPageBreak/>
        <w:t>Perhaps the FCC can turn to Federal Advisory Committees such as the NANC</w:t>
      </w:r>
      <w:r w:rsidR="0047786D" w:rsidRPr="003033C6">
        <w:rPr>
          <w:rStyle w:val="FootnoteReference"/>
          <w:rFonts w:ascii="Arial" w:hAnsi="Arial" w:cs="Arial"/>
          <w:sz w:val="24"/>
          <w:szCs w:val="24"/>
        </w:rPr>
        <w:footnoteReference w:id="8"/>
      </w:r>
      <w:r w:rsidR="0047786D" w:rsidRPr="003033C6">
        <w:rPr>
          <w:rFonts w:ascii="Arial" w:hAnsi="Arial" w:cs="Arial"/>
          <w:sz w:val="24"/>
          <w:szCs w:val="24"/>
        </w:rPr>
        <w:t xml:space="preserve"> and/or the Technological Advisory Council (“TAC”) for leadership in bringing the various industry forces to bear.</w:t>
      </w:r>
    </w:p>
    <w:p w14:paraId="3B66732C" w14:textId="71201093" w:rsidR="00247752" w:rsidRPr="003033C6" w:rsidRDefault="00247752" w:rsidP="00247752">
      <w:pPr>
        <w:spacing w:line="480" w:lineRule="auto"/>
        <w:ind w:left="5850"/>
        <w:rPr>
          <w:rFonts w:ascii="Arial" w:hAnsi="Arial" w:cs="Arial"/>
          <w:sz w:val="24"/>
          <w:szCs w:val="24"/>
        </w:rPr>
      </w:pPr>
      <w:r w:rsidRPr="003033C6">
        <w:rPr>
          <w:rFonts w:ascii="Arial" w:hAnsi="Arial" w:cs="Arial"/>
          <w:sz w:val="24"/>
          <w:szCs w:val="24"/>
        </w:rPr>
        <w:t>Respectfully submitted,</w:t>
      </w:r>
    </w:p>
    <w:p w14:paraId="6773A728" w14:textId="7D4D38DB" w:rsidR="00247752" w:rsidRPr="003033C6" w:rsidRDefault="00247752" w:rsidP="00247752">
      <w:pPr>
        <w:tabs>
          <w:tab w:val="left" w:pos="5850"/>
        </w:tabs>
        <w:spacing w:line="480" w:lineRule="auto"/>
        <w:ind w:left="4860"/>
        <w:rPr>
          <w:rFonts w:ascii="Arial" w:hAnsi="Arial" w:cs="Arial"/>
          <w:sz w:val="24"/>
          <w:szCs w:val="24"/>
        </w:rPr>
      </w:pPr>
      <w:r w:rsidRPr="003033C6">
        <w:rPr>
          <w:rFonts w:ascii="Arial" w:hAnsi="Arial" w:cs="Arial"/>
          <w:sz w:val="24"/>
          <w:szCs w:val="24"/>
        </w:rPr>
        <w:t>By:</w:t>
      </w:r>
      <w:r w:rsidRPr="003033C6">
        <w:rPr>
          <w:rFonts w:ascii="Arial" w:hAnsi="Arial" w:cs="Arial"/>
          <w:sz w:val="24"/>
          <w:szCs w:val="24"/>
        </w:rPr>
        <w:tab/>
      </w:r>
      <w:r w:rsidRPr="003033C6">
        <w:rPr>
          <w:rFonts w:ascii="Arial" w:hAnsi="Arial" w:cs="Arial"/>
          <w:i/>
          <w:sz w:val="24"/>
          <w:szCs w:val="24"/>
          <w:u w:val="single"/>
        </w:rPr>
        <w:t xml:space="preserve">/s/ </w:t>
      </w:r>
      <w:r w:rsidRPr="003033C6">
        <w:rPr>
          <w:rFonts w:ascii="Arial" w:hAnsi="Arial" w:cs="Arial"/>
          <w:i/>
          <w:sz w:val="24"/>
          <w:szCs w:val="24"/>
          <w:u w:val="single"/>
        </w:rPr>
        <w:t>Mark Lancaster</w:t>
      </w:r>
    </w:p>
    <w:p w14:paraId="4806754C" w14:textId="47C9D337" w:rsidR="00265087" w:rsidRPr="003033C6" w:rsidRDefault="00247752" w:rsidP="00247752">
      <w:pPr>
        <w:spacing w:line="240" w:lineRule="auto"/>
        <w:ind w:left="5850"/>
        <w:rPr>
          <w:rFonts w:ascii="Arial" w:hAnsi="Arial" w:cs="Arial"/>
          <w:sz w:val="24"/>
          <w:szCs w:val="24"/>
        </w:rPr>
      </w:pPr>
      <w:r w:rsidRPr="003033C6">
        <w:rPr>
          <w:rFonts w:ascii="Arial" w:hAnsi="Arial" w:cs="Arial"/>
          <w:sz w:val="24"/>
          <w:szCs w:val="24"/>
        </w:rPr>
        <w:t>Ma</w:t>
      </w:r>
      <w:r w:rsidRPr="003033C6">
        <w:rPr>
          <w:rFonts w:ascii="Arial" w:hAnsi="Arial" w:cs="Arial"/>
          <w:sz w:val="24"/>
          <w:szCs w:val="24"/>
        </w:rPr>
        <w:t>rk Lancaster</w:t>
      </w:r>
    </w:p>
    <w:p w14:paraId="24B8BA2D" w14:textId="345D5C56" w:rsidR="00247752" w:rsidRPr="003033C6" w:rsidRDefault="00247752" w:rsidP="00247752">
      <w:pPr>
        <w:spacing w:line="240" w:lineRule="auto"/>
        <w:ind w:left="5850"/>
        <w:rPr>
          <w:rFonts w:ascii="Arial" w:hAnsi="Arial" w:cs="Arial"/>
          <w:sz w:val="24"/>
          <w:szCs w:val="24"/>
        </w:rPr>
      </w:pPr>
      <w:hyperlink r:id="rId8" w:history="1">
        <w:r w:rsidRPr="003033C6">
          <w:rPr>
            <w:rStyle w:val="Hyperlink"/>
            <w:rFonts w:ascii="Arial" w:hAnsi="Arial" w:cs="Arial"/>
            <w:sz w:val="24"/>
            <w:szCs w:val="24"/>
          </w:rPr>
          <w:t>IDigNumbers@811.org</w:t>
        </w:r>
      </w:hyperlink>
    </w:p>
    <w:p w14:paraId="42644FF3" w14:textId="66D6F2F5" w:rsidR="00247752" w:rsidRPr="003033C6" w:rsidRDefault="00247752" w:rsidP="00247752">
      <w:pPr>
        <w:spacing w:line="240" w:lineRule="auto"/>
        <w:ind w:left="5850"/>
        <w:rPr>
          <w:rFonts w:ascii="Arial" w:hAnsi="Arial" w:cs="Arial"/>
          <w:sz w:val="24"/>
          <w:szCs w:val="24"/>
        </w:rPr>
      </w:pPr>
      <w:r w:rsidRPr="003033C6">
        <w:rPr>
          <w:rFonts w:ascii="Arial" w:hAnsi="Arial" w:cs="Arial"/>
          <w:sz w:val="24"/>
          <w:szCs w:val="24"/>
        </w:rPr>
        <w:t>816.560.9933</w:t>
      </w:r>
    </w:p>
    <w:p w14:paraId="48FFE6D8" w14:textId="7BC16DB7" w:rsidR="00265087" w:rsidRPr="003033C6" w:rsidRDefault="00265087" w:rsidP="00021905">
      <w:pPr>
        <w:spacing w:line="480" w:lineRule="auto"/>
        <w:rPr>
          <w:rFonts w:ascii="Arial" w:hAnsi="Arial" w:cs="Arial"/>
          <w:sz w:val="24"/>
          <w:szCs w:val="24"/>
        </w:rPr>
      </w:pPr>
    </w:p>
    <w:p w14:paraId="469AF739" w14:textId="27FAC368" w:rsidR="00247752" w:rsidRPr="003033C6" w:rsidRDefault="00247752" w:rsidP="00021905">
      <w:pPr>
        <w:spacing w:line="480" w:lineRule="auto"/>
        <w:rPr>
          <w:rFonts w:ascii="Arial" w:hAnsi="Arial" w:cs="Arial"/>
          <w:sz w:val="24"/>
          <w:szCs w:val="24"/>
        </w:rPr>
      </w:pPr>
      <w:r w:rsidRPr="003033C6">
        <w:rPr>
          <w:rFonts w:ascii="Arial" w:hAnsi="Arial" w:cs="Arial"/>
          <w:sz w:val="24"/>
          <w:szCs w:val="24"/>
        </w:rPr>
        <w:t>January 26, 2018</w:t>
      </w:r>
    </w:p>
    <w:p w14:paraId="085BD8B4" w14:textId="469521DF" w:rsidR="00265087" w:rsidRPr="003033C6" w:rsidRDefault="00265087" w:rsidP="00021905">
      <w:pPr>
        <w:spacing w:line="480" w:lineRule="auto"/>
        <w:rPr>
          <w:rFonts w:ascii="Arial" w:hAnsi="Arial" w:cs="Arial"/>
          <w:sz w:val="24"/>
          <w:szCs w:val="24"/>
        </w:rPr>
      </w:pPr>
    </w:p>
    <w:sectPr w:rsidR="00265087" w:rsidRPr="003033C6" w:rsidSect="00021905">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95191" w14:textId="77777777" w:rsidR="003612B1" w:rsidRDefault="003612B1" w:rsidP="008F324B">
      <w:pPr>
        <w:spacing w:after="0" w:line="240" w:lineRule="auto"/>
      </w:pPr>
      <w:r>
        <w:separator/>
      </w:r>
    </w:p>
  </w:endnote>
  <w:endnote w:type="continuationSeparator" w:id="0">
    <w:p w14:paraId="3BFE6053" w14:textId="77777777" w:rsidR="003612B1" w:rsidRDefault="003612B1" w:rsidP="008F324B">
      <w:pPr>
        <w:spacing w:after="0" w:line="240" w:lineRule="auto"/>
      </w:pPr>
      <w:r>
        <w:continuationSeparator/>
      </w:r>
    </w:p>
  </w:endnote>
  <w:endnote w:id="1">
    <w:p w14:paraId="10AB03C7" w14:textId="1C6A2940" w:rsidR="00B442CD" w:rsidRPr="002D6D41" w:rsidRDefault="00B442CD">
      <w:pPr>
        <w:pStyle w:val="EndnoteText"/>
        <w:rPr>
          <w:sz w:val="24"/>
          <w:szCs w:val="24"/>
        </w:rPr>
      </w:pPr>
      <w:r w:rsidRPr="002D6D41">
        <w:rPr>
          <w:rStyle w:val="EndnoteReference"/>
          <w:sz w:val="24"/>
          <w:szCs w:val="24"/>
        </w:rPr>
        <w:endnoteRef/>
      </w:r>
      <w:r w:rsidRPr="002D6D41">
        <w:rPr>
          <w:sz w:val="24"/>
          <w:szCs w:val="24"/>
        </w:rPr>
        <w:t xml:space="preserve"> Mark Lancaster has 39 years of experience in telephony, with the last 22 spent in regulatory consulting on Numbering topics at AT&amp;T.  He is a former North American Numbering Council member, and he has served in the North American Portability Management, LLC as well as a participant in the Industry Numbering Committee.  Mark has been a regulatory witness from Virginia to Nevada and has represented AT&amp;T on Local Number Portability, NPA Relief, Number Conservation and CLEC Arbitration from Alaska to the US Virgin Islands.  These comments are on his own behalf and for the interests of progressive domestic communications.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4947079"/>
      <w:docPartObj>
        <w:docPartGallery w:val="Page Numbers (Bottom of Page)"/>
        <w:docPartUnique/>
      </w:docPartObj>
    </w:sdtPr>
    <w:sdtEndPr>
      <w:rPr>
        <w:noProof/>
      </w:rPr>
    </w:sdtEndPr>
    <w:sdtContent>
      <w:p w14:paraId="1FFC8027" w14:textId="08F1E3D3" w:rsidR="00B442CD" w:rsidRDefault="00B442CD" w:rsidP="00CE7F62">
        <w:pPr>
          <w:pStyle w:val="Footer"/>
          <w:jc w:val="center"/>
        </w:pPr>
        <w:r>
          <w:fldChar w:fldCharType="begin"/>
        </w:r>
        <w:r>
          <w:instrText xml:space="preserve"> PAGE   \* MERGEFORMAT </w:instrText>
        </w:r>
        <w:r>
          <w:fldChar w:fldCharType="separate"/>
        </w:r>
        <w:r w:rsidR="001D4A1F">
          <w:rPr>
            <w:noProof/>
          </w:rPr>
          <w:t>7</w:t>
        </w:r>
        <w:r>
          <w:rPr>
            <w:noProof/>
          </w:rPr>
          <w:fldChar w:fldCharType="end"/>
        </w:r>
      </w:p>
    </w:sdtContent>
  </w:sdt>
  <w:p w14:paraId="1E7B062F" w14:textId="77777777" w:rsidR="00B442CD" w:rsidRDefault="00B442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1600D" w14:textId="77777777" w:rsidR="003612B1" w:rsidRDefault="003612B1" w:rsidP="008F324B">
      <w:pPr>
        <w:spacing w:after="0" w:line="240" w:lineRule="auto"/>
      </w:pPr>
      <w:r>
        <w:separator/>
      </w:r>
    </w:p>
  </w:footnote>
  <w:footnote w:type="continuationSeparator" w:id="0">
    <w:p w14:paraId="754067AC" w14:textId="77777777" w:rsidR="003612B1" w:rsidRDefault="003612B1" w:rsidP="008F324B">
      <w:pPr>
        <w:spacing w:after="0" w:line="240" w:lineRule="auto"/>
      </w:pPr>
      <w:r>
        <w:continuationSeparator/>
      </w:r>
    </w:p>
  </w:footnote>
  <w:footnote w:id="1">
    <w:p w14:paraId="3370F689" w14:textId="7F83ACBE" w:rsidR="00B442CD" w:rsidRPr="002D6D41" w:rsidRDefault="00B442CD" w:rsidP="008F324B">
      <w:pPr>
        <w:pStyle w:val="FootnoteText"/>
        <w:rPr>
          <w:sz w:val="24"/>
          <w:szCs w:val="24"/>
        </w:rPr>
      </w:pPr>
      <w:r w:rsidRPr="002D6D41">
        <w:rPr>
          <w:rStyle w:val="FootnoteReference"/>
          <w:sz w:val="24"/>
          <w:szCs w:val="24"/>
        </w:rPr>
        <w:footnoteRef/>
      </w:r>
      <w:r w:rsidRPr="002D6D41">
        <w:rPr>
          <w:sz w:val="24"/>
          <w:szCs w:val="24"/>
        </w:rPr>
        <w:t xml:space="preserve"> See </w:t>
      </w:r>
      <w:r w:rsidRPr="002D6D41">
        <w:rPr>
          <w:i/>
          <w:sz w:val="24"/>
          <w:szCs w:val="24"/>
        </w:rPr>
        <w:t>Nationwide Number Portability, Numbering Policies for Modern Communications</w:t>
      </w:r>
      <w:r w:rsidRPr="002D6D41">
        <w:rPr>
          <w:sz w:val="24"/>
          <w:szCs w:val="24"/>
        </w:rPr>
        <w:t xml:space="preserve">, Notice of Proposed Rulemaking and Notice of Inquiry, 32 FCC </w:t>
      </w:r>
      <w:proofErr w:type="spellStart"/>
      <w:r w:rsidRPr="002D6D41">
        <w:rPr>
          <w:sz w:val="24"/>
          <w:szCs w:val="24"/>
        </w:rPr>
        <w:t>Rcd</w:t>
      </w:r>
      <w:proofErr w:type="spellEnd"/>
      <w:r w:rsidRPr="002D6D41">
        <w:rPr>
          <w:sz w:val="24"/>
          <w:szCs w:val="24"/>
        </w:rPr>
        <w:t xml:space="preserve"> 8034 (2017) (“NPRM/NOI”).</w:t>
      </w:r>
    </w:p>
  </w:footnote>
  <w:footnote w:id="2">
    <w:p w14:paraId="7FD62A54" w14:textId="0F34EA95" w:rsidR="00B442CD" w:rsidRPr="004635E3" w:rsidRDefault="00B442CD">
      <w:pPr>
        <w:pStyle w:val="FootnoteText"/>
        <w:rPr>
          <w:sz w:val="24"/>
          <w:szCs w:val="24"/>
        </w:rPr>
      </w:pPr>
      <w:r w:rsidRPr="004635E3">
        <w:rPr>
          <w:rStyle w:val="FootnoteReference"/>
          <w:sz w:val="24"/>
          <w:szCs w:val="24"/>
        </w:rPr>
        <w:footnoteRef/>
      </w:r>
      <w:r w:rsidRPr="004635E3">
        <w:rPr>
          <w:sz w:val="24"/>
          <w:szCs w:val="24"/>
        </w:rPr>
        <w:t xml:space="preserve"> “To promote competition and reduce regulation in order to secure lower prices and higher quality services for American telecommunications consumers and encourage the rapid deployment of new telecommunications technologies.” (Preamble of the Telecommunications Act of 1996) https://transition.fcc.gov/Reports/tcom1996.pdf</w:t>
      </w:r>
    </w:p>
  </w:footnote>
  <w:footnote w:id="3">
    <w:p w14:paraId="23B7A0A2" w14:textId="6BFEA4A4" w:rsidR="00B442CD" w:rsidRPr="003F0C96" w:rsidRDefault="00B442CD">
      <w:pPr>
        <w:pStyle w:val="FootnoteText"/>
        <w:rPr>
          <w:sz w:val="24"/>
          <w:szCs w:val="24"/>
        </w:rPr>
      </w:pPr>
      <w:r w:rsidRPr="003F0C96">
        <w:rPr>
          <w:rStyle w:val="FootnoteReference"/>
          <w:sz w:val="24"/>
          <w:szCs w:val="24"/>
        </w:rPr>
        <w:footnoteRef/>
      </w:r>
      <w:r w:rsidRPr="003F0C96">
        <w:rPr>
          <w:sz w:val="24"/>
          <w:szCs w:val="24"/>
        </w:rPr>
        <w:t xml:space="preserve"> Note that Local Number Portability (“LNP”) only repoints </w:t>
      </w:r>
      <w:r>
        <w:rPr>
          <w:sz w:val="24"/>
          <w:szCs w:val="24"/>
        </w:rPr>
        <w:t xml:space="preserve">inbound calls </w:t>
      </w:r>
      <w:r w:rsidRPr="003F0C96">
        <w:rPr>
          <w:sz w:val="24"/>
          <w:szCs w:val="24"/>
        </w:rPr>
        <w:t>from one local switch to another local switch via the Location Routing Number (“LRN”) technology.  The target switch still must have a presence in the Local Access and Transport Area (“LATA”) of the ported telephone number.</w:t>
      </w:r>
    </w:p>
  </w:footnote>
  <w:footnote w:id="4">
    <w:p w14:paraId="055DB860" w14:textId="6710D5B9" w:rsidR="00B442CD" w:rsidRPr="00FC6A67" w:rsidRDefault="00B442CD" w:rsidP="00927989">
      <w:pPr>
        <w:pStyle w:val="FootnoteText"/>
        <w:rPr>
          <w:sz w:val="24"/>
          <w:szCs w:val="24"/>
        </w:rPr>
      </w:pPr>
      <w:r w:rsidRPr="00FC6A67">
        <w:rPr>
          <w:rStyle w:val="FootnoteReference"/>
          <w:sz w:val="24"/>
          <w:szCs w:val="24"/>
        </w:rPr>
        <w:footnoteRef/>
      </w:r>
      <w:r w:rsidRPr="00FC6A67">
        <w:rPr>
          <w:sz w:val="24"/>
          <w:szCs w:val="24"/>
        </w:rPr>
        <w:t xml:space="preserve"> See </w:t>
      </w:r>
      <w:r>
        <w:rPr>
          <w:sz w:val="24"/>
          <w:szCs w:val="24"/>
        </w:rPr>
        <w:t xml:space="preserve">at page 14 </w:t>
      </w:r>
      <w:r w:rsidRPr="00927989">
        <w:rPr>
          <w:i/>
          <w:sz w:val="24"/>
          <w:szCs w:val="24"/>
        </w:rPr>
        <w:t>Comments of AT&amp;T INC. on the Transition from the Legacy Circuit-Switched Network to Broadband</w:t>
      </w:r>
      <w:r w:rsidRPr="00FC6A67">
        <w:rPr>
          <w:sz w:val="24"/>
          <w:szCs w:val="24"/>
        </w:rPr>
        <w:t>,</w:t>
      </w:r>
      <w:r>
        <w:rPr>
          <w:sz w:val="24"/>
          <w:szCs w:val="24"/>
        </w:rPr>
        <w:t xml:space="preserve"> December 21, 2009, GN 09-47, GN 09-51, GN 09-137</w:t>
      </w:r>
      <w:r w:rsidRPr="00FC6A67">
        <w:rPr>
          <w:sz w:val="24"/>
          <w:szCs w:val="24"/>
        </w:rPr>
        <w:t>.</w:t>
      </w:r>
    </w:p>
  </w:footnote>
  <w:footnote w:id="5">
    <w:p w14:paraId="729B2416" w14:textId="16CC284D" w:rsidR="00B442CD" w:rsidRPr="00640491" w:rsidRDefault="00B442CD">
      <w:pPr>
        <w:pStyle w:val="FootnoteText"/>
        <w:rPr>
          <w:sz w:val="24"/>
          <w:szCs w:val="24"/>
        </w:rPr>
      </w:pPr>
      <w:r w:rsidRPr="00640491">
        <w:rPr>
          <w:rStyle w:val="FootnoteReference"/>
          <w:sz w:val="24"/>
          <w:szCs w:val="24"/>
        </w:rPr>
        <w:footnoteRef/>
      </w:r>
      <w:r w:rsidRPr="00640491">
        <w:rPr>
          <w:sz w:val="24"/>
          <w:szCs w:val="24"/>
        </w:rPr>
        <w:t xml:space="preserve"> See at page 6, </w:t>
      </w:r>
      <w:hyperlink r:id="rId1" w:history="1">
        <w:r w:rsidRPr="00640491">
          <w:rPr>
            <w:rStyle w:val="Hyperlink"/>
            <w:sz w:val="24"/>
            <w:szCs w:val="24"/>
          </w:rPr>
          <w:t>https://apps.fcc.gov/edocs_public/attachmatch/DOC-315146A1.pdf</w:t>
        </w:r>
      </w:hyperlink>
      <w:r w:rsidRPr="00640491">
        <w:rPr>
          <w:sz w:val="24"/>
          <w:szCs w:val="24"/>
        </w:rPr>
        <w:t xml:space="preserve"> </w:t>
      </w:r>
    </w:p>
  </w:footnote>
  <w:footnote w:id="6">
    <w:p w14:paraId="6B111817" w14:textId="0F808586" w:rsidR="00B442CD" w:rsidRPr="00247752" w:rsidRDefault="00B442CD">
      <w:pPr>
        <w:pStyle w:val="FootnoteText"/>
        <w:rPr>
          <w:rFonts w:cstheme="minorHAnsi"/>
          <w:sz w:val="24"/>
          <w:szCs w:val="24"/>
        </w:rPr>
      </w:pPr>
      <w:r w:rsidRPr="00247752">
        <w:rPr>
          <w:rStyle w:val="FootnoteReference"/>
          <w:rFonts w:cstheme="minorHAnsi"/>
          <w:sz w:val="24"/>
          <w:szCs w:val="24"/>
        </w:rPr>
        <w:footnoteRef/>
      </w:r>
      <w:r w:rsidRPr="00247752">
        <w:rPr>
          <w:rFonts w:cstheme="minorHAnsi"/>
          <w:sz w:val="24"/>
          <w:szCs w:val="24"/>
        </w:rPr>
        <w:t xml:space="preserve"> Commenters have pointed correctly to the availability for smaller service providers to enter commercial agreement for a national presence.  This is the way </w:t>
      </w:r>
      <w:r w:rsidR="00247752">
        <w:rPr>
          <w:rFonts w:cstheme="minorHAnsi"/>
          <w:sz w:val="24"/>
          <w:szCs w:val="24"/>
        </w:rPr>
        <w:t>some</w:t>
      </w:r>
      <w:r w:rsidRPr="00247752">
        <w:rPr>
          <w:rFonts w:cstheme="minorHAnsi"/>
          <w:sz w:val="24"/>
          <w:szCs w:val="24"/>
        </w:rPr>
        <w:t xml:space="preserve"> larger wireless service providers began offering nationwide </w:t>
      </w:r>
      <w:r w:rsidR="00247752">
        <w:rPr>
          <w:rFonts w:cstheme="minorHAnsi"/>
          <w:sz w:val="24"/>
          <w:szCs w:val="24"/>
        </w:rPr>
        <w:t>service</w:t>
      </w:r>
      <w:r w:rsidRPr="00247752">
        <w:rPr>
          <w:rFonts w:cstheme="minorHAnsi"/>
          <w:sz w:val="24"/>
          <w:szCs w:val="24"/>
        </w:rPr>
        <w:t xml:space="preserve">.  These larger wireless companies formed agreements as they built out their facilities footprint, and still have roaming </w:t>
      </w:r>
      <w:r w:rsidR="00247752">
        <w:rPr>
          <w:rFonts w:cstheme="minorHAnsi"/>
          <w:sz w:val="24"/>
          <w:szCs w:val="24"/>
        </w:rPr>
        <w:t xml:space="preserve">and other </w:t>
      </w:r>
      <w:r w:rsidRPr="00247752">
        <w:rPr>
          <w:rFonts w:cstheme="minorHAnsi"/>
          <w:sz w:val="24"/>
          <w:szCs w:val="24"/>
        </w:rPr>
        <w:t>agreement</w:t>
      </w:r>
      <w:r w:rsidR="00247752">
        <w:rPr>
          <w:rFonts w:cstheme="minorHAnsi"/>
          <w:sz w:val="24"/>
          <w:szCs w:val="24"/>
        </w:rPr>
        <w:t>s</w:t>
      </w:r>
      <w:r w:rsidRPr="00247752">
        <w:rPr>
          <w:rFonts w:cstheme="minorHAnsi"/>
          <w:sz w:val="24"/>
          <w:szCs w:val="24"/>
        </w:rPr>
        <w:t xml:space="preserve"> where they do not have a company-owned network</w:t>
      </w:r>
      <w:r w:rsidR="00247752">
        <w:rPr>
          <w:rFonts w:cstheme="minorHAnsi"/>
          <w:sz w:val="24"/>
          <w:szCs w:val="24"/>
        </w:rPr>
        <w:t>.</w:t>
      </w:r>
    </w:p>
  </w:footnote>
  <w:footnote w:id="7">
    <w:p w14:paraId="1D025563" w14:textId="1AF2FE45" w:rsidR="00B442CD" w:rsidRPr="006532C8" w:rsidRDefault="00B442CD">
      <w:pPr>
        <w:pStyle w:val="FootnoteText"/>
        <w:rPr>
          <w:sz w:val="24"/>
          <w:szCs w:val="24"/>
        </w:rPr>
      </w:pPr>
      <w:r w:rsidRPr="006532C8">
        <w:rPr>
          <w:rStyle w:val="FootnoteReference"/>
          <w:sz w:val="24"/>
          <w:szCs w:val="24"/>
        </w:rPr>
        <w:footnoteRef/>
      </w:r>
      <w:r w:rsidRPr="006532C8">
        <w:rPr>
          <w:sz w:val="24"/>
          <w:szCs w:val="24"/>
        </w:rPr>
        <w:t xml:space="preserve"> The assumption is that today the obligation is upon the interconnecting </w:t>
      </w:r>
      <w:r>
        <w:rPr>
          <w:sz w:val="24"/>
          <w:szCs w:val="24"/>
        </w:rPr>
        <w:t xml:space="preserve">(originating or toll) </w:t>
      </w:r>
      <w:r w:rsidRPr="006532C8">
        <w:rPr>
          <w:sz w:val="24"/>
          <w:szCs w:val="24"/>
        </w:rPr>
        <w:t>carrier to terminate the call to TDM protocol</w:t>
      </w:r>
      <w:r>
        <w:rPr>
          <w:sz w:val="24"/>
          <w:szCs w:val="24"/>
        </w:rPr>
        <w:t xml:space="preserve"> in the absence of agreement to do otherwise</w:t>
      </w:r>
      <w:r w:rsidRPr="006532C8">
        <w:rPr>
          <w:sz w:val="24"/>
          <w:szCs w:val="24"/>
        </w:rPr>
        <w:t xml:space="preserve">.  If the FCC determined that the </w:t>
      </w:r>
      <w:r>
        <w:rPr>
          <w:sz w:val="24"/>
          <w:szCs w:val="24"/>
        </w:rPr>
        <w:t xml:space="preserve">terminating </w:t>
      </w:r>
      <w:r w:rsidRPr="006532C8">
        <w:rPr>
          <w:sz w:val="24"/>
          <w:szCs w:val="24"/>
        </w:rPr>
        <w:t xml:space="preserve">default would be an IP protocol at some date in the future, each carrier that </w:t>
      </w:r>
      <w:r w:rsidR="000535BF">
        <w:rPr>
          <w:sz w:val="24"/>
          <w:szCs w:val="24"/>
        </w:rPr>
        <w:t>delivers the terminating call to the customer</w:t>
      </w:r>
      <w:r w:rsidRPr="006532C8">
        <w:rPr>
          <w:sz w:val="24"/>
          <w:szCs w:val="24"/>
        </w:rPr>
        <w:t xml:space="preserve"> would either become all-IP or would pay the cost of converting to TDM at the point of interface</w:t>
      </w:r>
      <w:r w:rsidR="000535BF">
        <w:rPr>
          <w:sz w:val="24"/>
          <w:szCs w:val="24"/>
        </w:rPr>
        <w:t xml:space="preserve"> where the call was handed off to them</w:t>
      </w:r>
      <w:r w:rsidRPr="006532C8">
        <w:rPr>
          <w:sz w:val="24"/>
          <w:szCs w:val="24"/>
        </w:rPr>
        <w:t>.</w:t>
      </w:r>
    </w:p>
  </w:footnote>
  <w:footnote w:id="8">
    <w:p w14:paraId="519D68EC" w14:textId="2BF846CC" w:rsidR="0047786D" w:rsidRPr="0047786D" w:rsidRDefault="0047786D">
      <w:pPr>
        <w:pStyle w:val="FootnoteText"/>
        <w:rPr>
          <w:sz w:val="24"/>
          <w:szCs w:val="24"/>
        </w:rPr>
      </w:pPr>
      <w:r w:rsidRPr="0047786D">
        <w:rPr>
          <w:rStyle w:val="FootnoteReference"/>
          <w:sz w:val="24"/>
          <w:szCs w:val="24"/>
        </w:rPr>
        <w:footnoteRef/>
      </w:r>
      <w:r w:rsidRPr="0047786D">
        <w:rPr>
          <w:sz w:val="24"/>
          <w:szCs w:val="24"/>
        </w:rPr>
        <w:t xml:space="preserve"> The newly chartered NANC </w:t>
      </w:r>
      <w:r>
        <w:rPr>
          <w:sz w:val="24"/>
          <w:szCs w:val="24"/>
        </w:rPr>
        <w:t>brings more diverse resources</w:t>
      </w:r>
      <w:r w:rsidRPr="0047786D">
        <w:rPr>
          <w:sz w:val="24"/>
          <w:szCs w:val="24"/>
        </w:rPr>
        <w:t xml:space="preserve"> for th</w:t>
      </w:r>
      <w:r>
        <w:rPr>
          <w:sz w:val="24"/>
          <w:szCs w:val="24"/>
        </w:rPr>
        <w:t>is</w:t>
      </w:r>
      <w:r w:rsidRPr="0047786D">
        <w:rPr>
          <w:sz w:val="24"/>
          <w:szCs w:val="24"/>
        </w:rPr>
        <w:t xml:space="preserve"> task</w:t>
      </w:r>
      <w:r>
        <w:rPr>
          <w:sz w:val="24"/>
          <w:szCs w:val="24"/>
        </w:rPr>
        <w:t>,</w:t>
      </w:r>
      <w:r w:rsidRPr="0047786D">
        <w:rPr>
          <w:sz w:val="24"/>
          <w:szCs w:val="24"/>
        </w:rPr>
        <w:t xml:space="preserve"> given </w:t>
      </w:r>
      <w:r w:rsidR="001D4A1F">
        <w:rPr>
          <w:sz w:val="24"/>
          <w:szCs w:val="24"/>
        </w:rPr>
        <w:t>its</w:t>
      </w:r>
      <w:r w:rsidRPr="0047786D">
        <w:rPr>
          <w:sz w:val="24"/>
          <w:szCs w:val="24"/>
        </w:rPr>
        <w:t xml:space="preserve"> redirected mission and the robust membersh</w:t>
      </w:r>
      <w:bookmarkStart w:id="0" w:name="_GoBack"/>
      <w:bookmarkEnd w:id="0"/>
      <w:r w:rsidRPr="0047786D">
        <w:rPr>
          <w:sz w:val="24"/>
          <w:szCs w:val="24"/>
        </w:rPr>
        <w:t>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24461" w14:textId="45062B1A" w:rsidR="00B442CD" w:rsidRDefault="00B442CD" w:rsidP="00021905">
    <w:pPr>
      <w:pStyle w:val="Header"/>
      <w:jc w:val="right"/>
    </w:pPr>
    <w:r>
      <w:t>Reply Comments of Mark Lancaster</w:t>
    </w:r>
  </w:p>
  <w:p w14:paraId="18B05B24" w14:textId="7AD428FD" w:rsidR="00B442CD" w:rsidRDefault="00B442CD" w:rsidP="00021905">
    <w:pPr>
      <w:pStyle w:val="Header"/>
      <w:jc w:val="right"/>
    </w:pPr>
    <w:r>
      <w:t>January 26,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FE31A7"/>
    <w:multiLevelType w:val="hybridMultilevel"/>
    <w:tmpl w:val="3FC6E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D3F"/>
    <w:rsid w:val="00013970"/>
    <w:rsid w:val="00021905"/>
    <w:rsid w:val="0004729A"/>
    <w:rsid w:val="000535BF"/>
    <w:rsid w:val="00055035"/>
    <w:rsid w:val="000D6354"/>
    <w:rsid w:val="001170CC"/>
    <w:rsid w:val="001669C7"/>
    <w:rsid w:val="001774A4"/>
    <w:rsid w:val="001D4A1F"/>
    <w:rsid w:val="001E2557"/>
    <w:rsid w:val="001E7D3F"/>
    <w:rsid w:val="00207903"/>
    <w:rsid w:val="00211360"/>
    <w:rsid w:val="002402FA"/>
    <w:rsid w:val="00247752"/>
    <w:rsid w:val="00265087"/>
    <w:rsid w:val="0028147D"/>
    <w:rsid w:val="002D1478"/>
    <w:rsid w:val="002D6D41"/>
    <w:rsid w:val="002E4C16"/>
    <w:rsid w:val="003033C6"/>
    <w:rsid w:val="00315E58"/>
    <w:rsid w:val="003612B1"/>
    <w:rsid w:val="00367B23"/>
    <w:rsid w:val="003C776E"/>
    <w:rsid w:val="003F0C96"/>
    <w:rsid w:val="003F112F"/>
    <w:rsid w:val="00425162"/>
    <w:rsid w:val="004635E3"/>
    <w:rsid w:val="0047786D"/>
    <w:rsid w:val="004A5E57"/>
    <w:rsid w:val="004B66A9"/>
    <w:rsid w:val="004C00FC"/>
    <w:rsid w:val="004F731D"/>
    <w:rsid w:val="005166B0"/>
    <w:rsid w:val="005215BC"/>
    <w:rsid w:val="00562224"/>
    <w:rsid w:val="00592FBF"/>
    <w:rsid w:val="00594F78"/>
    <w:rsid w:val="0059559E"/>
    <w:rsid w:val="005C5D40"/>
    <w:rsid w:val="005E5A85"/>
    <w:rsid w:val="005F7EE5"/>
    <w:rsid w:val="00623A82"/>
    <w:rsid w:val="00640491"/>
    <w:rsid w:val="006532C8"/>
    <w:rsid w:val="00677554"/>
    <w:rsid w:val="006B5D74"/>
    <w:rsid w:val="006F4041"/>
    <w:rsid w:val="00725D35"/>
    <w:rsid w:val="007528F4"/>
    <w:rsid w:val="007D4852"/>
    <w:rsid w:val="008279C4"/>
    <w:rsid w:val="00837316"/>
    <w:rsid w:val="00854220"/>
    <w:rsid w:val="0087375F"/>
    <w:rsid w:val="008F324B"/>
    <w:rsid w:val="00927989"/>
    <w:rsid w:val="00936AB7"/>
    <w:rsid w:val="00953B35"/>
    <w:rsid w:val="00974211"/>
    <w:rsid w:val="009B4C13"/>
    <w:rsid w:val="009E5A71"/>
    <w:rsid w:val="00A40E74"/>
    <w:rsid w:val="00A569BB"/>
    <w:rsid w:val="00A60B32"/>
    <w:rsid w:val="00A81292"/>
    <w:rsid w:val="00B10E33"/>
    <w:rsid w:val="00B16166"/>
    <w:rsid w:val="00B442CD"/>
    <w:rsid w:val="00B72426"/>
    <w:rsid w:val="00B86DA4"/>
    <w:rsid w:val="00B93D60"/>
    <w:rsid w:val="00BC0E6E"/>
    <w:rsid w:val="00BD57AD"/>
    <w:rsid w:val="00C031EF"/>
    <w:rsid w:val="00C21931"/>
    <w:rsid w:val="00C403A6"/>
    <w:rsid w:val="00CA2CE6"/>
    <w:rsid w:val="00CE7F62"/>
    <w:rsid w:val="00D2109D"/>
    <w:rsid w:val="00D34A98"/>
    <w:rsid w:val="00D42927"/>
    <w:rsid w:val="00DE203A"/>
    <w:rsid w:val="00E937B0"/>
    <w:rsid w:val="00EA04A4"/>
    <w:rsid w:val="00FC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E3EB66"/>
  <w15:chartTrackingRefBased/>
  <w15:docId w15:val="{2046B6A3-3130-4486-9C95-F90C0A8D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1EF"/>
    <w:pPr>
      <w:ind w:left="720"/>
      <w:contextualSpacing/>
    </w:pPr>
  </w:style>
  <w:style w:type="paragraph" w:styleId="FootnoteText">
    <w:name w:val="footnote text"/>
    <w:basedOn w:val="Normal"/>
    <w:link w:val="FootnoteTextChar"/>
    <w:uiPriority w:val="99"/>
    <w:semiHidden/>
    <w:unhideWhenUsed/>
    <w:rsid w:val="008F32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324B"/>
    <w:rPr>
      <w:sz w:val="20"/>
      <w:szCs w:val="20"/>
    </w:rPr>
  </w:style>
  <w:style w:type="character" w:styleId="FootnoteReference">
    <w:name w:val="footnote reference"/>
    <w:basedOn w:val="DefaultParagraphFont"/>
    <w:uiPriority w:val="99"/>
    <w:semiHidden/>
    <w:unhideWhenUsed/>
    <w:rsid w:val="008F324B"/>
    <w:rPr>
      <w:vertAlign w:val="superscript"/>
    </w:rPr>
  </w:style>
  <w:style w:type="paragraph" w:styleId="EndnoteText">
    <w:name w:val="endnote text"/>
    <w:basedOn w:val="Normal"/>
    <w:link w:val="EndnoteTextChar"/>
    <w:uiPriority w:val="99"/>
    <w:semiHidden/>
    <w:unhideWhenUsed/>
    <w:rsid w:val="00315E5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15E58"/>
    <w:rPr>
      <w:sz w:val="20"/>
      <w:szCs w:val="20"/>
    </w:rPr>
  </w:style>
  <w:style w:type="character" w:styleId="EndnoteReference">
    <w:name w:val="endnote reference"/>
    <w:basedOn w:val="DefaultParagraphFont"/>
    <w:uiPriority w:val="99"/>
    <w:semiHidden/>
    <w:unhideWhenUsed/>
    <w:rsid w:val="00315E58"/>
    <w:rPr>
      <w:vertAlign w:val="superscript"/>
    </w:rPr>
  </w:style>
  <w:style w:type="paragraph" w:styleId="Header">
    <w:name w:val="header"/>
    <w:basedOn w:val="Normal"/>
    <w:link w:val="HeaderChar"/>
    <w:uiPriority w:val="99"/>
    <w:unhideWhenUsed/>
    <w:rsid w:val="000219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1905"/>
  </w:style>
  <w:style w:type="paragraph" w:styleId="Footer">
    <w:name w:val="footer"/>
    <w:basedOn w:val="Normal"/>
    <w:link w:val="FooterChar"/>
    <w:uiPriority w:val="99"/>
    <w:unhideWhenUsed/>
    <w:rsid w:val="000219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905"/>
  </w:style>
  <w:style w:type="character" w:styleId="Hyperlink">
    <w:name w:val="Hyperlink"/>
    <w:basedOn w:val="DefaultParagraphFont"/>
    <w:uiPriority w:val="99"/>
    <w:unhideWhenUsed/>
    <w:rsid w:val="00640491"/>
    <w:rPr>
      <w:color w:val="0563C1" w:themeColor="hyperlink"/>
      <w:u w:val="single"/>
    </w:rPr>
  </w:style>
  <w:style w:type="character" w:styleId="UnresolvedMention">
    <w:name w:val="Unresolved Mention"/>
    <w:basedOn w:val="DefaultParagraphFont"/>
    <w:uiPriority w:val="99"/>
    <w:semiHidden/>
    <w:unhideWhenUsed/>
    <w:rsid w:val="00640491"/>
    <w:rPr>
      <w:color w:val="808080"/>
      <w:shd w:val="clear" w:color="auto" w:fill="E6E6E6"/>
    </w:rPr>
  </w:style>
  <w:style w:type="paragraph" w:styleId="BalloonText">
    <w:name w:val="Balloon Text"/>
    <w:basedOn w:val="Normal"/>
    <w:link w:val="BalloonTextChar"/>
    <w:uiPriority w:val="99"/>
    <w:semiHidden/>
    <w:unhideWhenUsed/>
    <w:rsid w:val="002113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3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024575">
      <w:bodyDiv w:val="1"/>
      <w:marLeft w:val="0"/>
      <w:marRight w:val="0"/>
      <w:marTop w:val="0"/>
      <w:marBottom w:val="0"/>
      <w:divBdr>
        <w:top w:val="none" w:sz="0" w:space="0" w:color="auto"/>
        <w:left w:val="none" w:sz="0" w:space="0" w:color="auto"/>
        <w:bottom w:val="none" w:sz="0" w:space="0" w:color="auto"/>
        <w:right w:val="none" w:sz="0" w:space="0" w:color="auto"/>
      </w:divBdr>
      <w:divsChild>
        <w:div w:id="845435535">
          <w:marLeft w:val="0"/>
          <w:marRight w:val="0"/>
          <w:marTop w:val="0"/>
          <w:marBottom w:val="0"/>
          <w:divBdr>
            <w:top w:val="none" w:sz="0" w:space="0" w:color="auto"/>
            <w:left w:val="none" w:sz="0" w:space="0" w:color="auto"/>
            <w:bottom w:val="none" w:sz="0" w:space="0" w:color="auto"/>
            <w:right w:val="none" w:sz="0" w:space="0" w:color="auto"/>
          </w:divBdr>
        </w:div>
        <w:div w:id="1603684420">
          <w:marLeft w:val="0"/>
          <w:marRight w:val="0"/>
          <w:marTop w:val="0"/>
          <w:marBottom w:val="0"/>
          <w:divBdr>
            <w:top w:val="none" w:sz="0" w:space="0" w:color="auto"/>
            <w:left w:val="none" w:sz="0" w:space="0" w:color="auto"/>
            <w:bottom w:val="none" w:sz="0" w:space="0" w:color="auto"/>
            <w:right w:val="none" w:sz="0" w:space="0" w:color="auto"/>
          </w:divBdr>
        </w:div>
        <w:div w:id="154155349">
          <w:marLeft w:val="0"/>
          <w:marRight w:val="0"/>
          <w:marTop w:val="0"/>
          <w:marBottom w:val="0"/>
          <w:divBdr>
            <w:top w:val="none" w:sz="0" w:space="0" w:color="auto"/>
            <w:left w:val="none" w:sz="0" w:space="0" w:color="auto"/>
            <w:bottom w:val="none" w:sz="0" w:space="0" w:color="auto"/>
            <w:right w:val="none" w:sz="0" w:space="0" w:color="auto"/>
          </w:divBdr>
        </w:div>
        <w:div w:id="399639857">
          <w:marLeft w:val="0"/>
          <w:marRight w:val="0"/>
          <w:marTop w:val="0"/>
          <w:marBottom w:val="0"/>
          <w:divBdr>
            <w:top w:val="none" w:sz="0" w:space="0" w:color="auto"/>
            <w:left w:val="none" w:sz="0" w:space="0" w:color="auto"/>
            <w:bottom w:val="none" w:sz="0" w:space="0" w:color="auto"/>
            <w:right w:val="none" w:sz="0" w:space="0" w:color="auto"/>
          </w:divBdr>
        </w:div>
        <w:div w:id="662010958">
          <w:marLeft w:val="0"/>
          <w:marRight w:val="0"/>
          <w:marTop w:val="0"/>
          <w:marBottom w:val="0"/>
          <w:divBdr>
            <w:top w:val="none" w:sz="0" w:space="0" w:color="auto"/>
            <w:left w:val="none" w:sz="0" w:space="0" w:color="auto"/>
            <w:bottom w:val="none" w:sz="0" w:space="0" w:color="auto"/>
            <w:right w:val="none" w:sz="0" w:space="0" w:color="auto"/>
          </w:divBdr>
        </w:div>
        <w:div w:id="1668438731">
          <w:marLeft w:val="0"/>
          <w:marRight w:val="0"/>
          <w:marTop w:val="0"/>
          <w:marBottom w:val="0"/>
          <w:divBdr>
            <w:top w:val="none" w:sz="0" w:space="0" w:color="auto"/>
            <w:left w:val="none" w:sz="0" w:space="0" w:color="auto"/>
            <w:bottom w:val="none" w:sz="0" w:space="0" w:color="auto"/>
            <w:right w:val="none" w:sz="0" w:space="0" w:color="auto"/>
          </w:divBdr>
        </w:div>
        <w:div w:id="1214346712">
          <w:marLeft w:val="0"/>
          <w:marRight w:val="0"/>
          <w:marTop w:val="0"/>
          <w:marBottom w:val="0"/>
          <w:divBdr>
            <w:top w:val="none" w:sz="0" w:space="0" w:color="auto"/>
            <w:left w:val="none" w:sz="0" w:space="0" w:color="auto"/>
            <w:bottom w:val="none" w:sz="0" w:space="0" w:color="auto"/>
            <w:right w:val="none" w:sz="0" w:space="0" w:color="auto"/>
          </w:divBdr>
        </w:div>
        <w:div w:id="2134595865">
          <w:marLeft w:val="0"/>
          <w:marRight w:val="0"/>
          <w:marTop w:val="0"/>
          <w:marBottom w:val="0"/>
          <w:divBdr>
            <w:top w:val="none" w:sz="0" w:space="0" w:color="auto"/>
            <w:left w:val="none" w:sz="0" w:space="0" w:color="auto"/>
            <w:bottom w:val="none" w:sz="0" w:space="0" w:color="auto"/>
            <w:right w:val="none" w:sz="0" w:space="0" w:color="auto"/>
          </w:divBdr>
        </w:div>
        <w:div w:id="884757979">
          <w:marLeft w:val="0"/>
          <w:marRight w:val="0"/>
          <w:marTop w:val="0"/>
          <w:marBottom w:val="0"/>
          <w:divBdr>
            <w:top w:val="none" w:sz="0" w:space="0" w:color="auto"/>
            <w:left w:val="none" w:sz="0" w:space="0" w:color="auto"/>
            <w:bottom w:val="none" w:sz="0" w:space="0" w:color="auto"/>
            <w:right w:val="none" w:sz="0" w:space="0" w:color="auto"/>
          </w:divBdr>
        </w:div>
        <w:div w:id="1381247822">
          <w:marLeft w:val="0"/>
          <w:marRight w:val="0"/>
          <w:marTop w:val="0"/>
          <w:marBottom w:val="0"/>
          <w:divBdr>
            <w:top w:val="none" w:sz="0" w:space="0" w:color="auto"/>
            <w:left w:val="none" w:sz="0" w:space="0" w:color="auto"/>
            <w:bottom w:val="none" w:sz="0" w:space="0" w:color="auto"/>
            <w:right w:val="none" w:sz="0" w:space="0" w:color="auto"/>
          </w:divBdr>
        </w:div>
        <w:div w:id="1599949573">
          <w:marLeft w:val="0"/>
          <w:marRight w:val="0"/>
          <w:marTop w:val="0"/>
          <w:marBottom w:val="0"/>
          <w:divBdr>
            <w:top w:val="none" w:sz="0" w:space="0" w:color="auto"/>
            <w:left w:val="none" w:sz="0" w:space="0" w:color="auto"/>
            <w:bottom w:val="none" w:sz="0" w:space="0" w:color="auto"/>
            <w:right w:val="none" w:sz="0" w:space="0" w:color="auto"/>
          </w:divBdr>
        </w:div>
        <w:div w:id="188762496">
          <w:marLeft w:val="0"/>
          <w:marRight w:val="0"/>
          <w:marTop w:val="0"/>
          <w:marBottom w:val="0"/>
          <w:divBdr>
            <w:top w:val="none" w:sz="0" w:space="0" w:color="auto"/>
            <w:left w:val="none" w:sz="0" w:space="0" w:color="auto"/>
            <w:bottom w:val="none" w:sz="0" w:space="0" w:color="auto"/>
            <w:right w:val="none" w:sz="0" w:space="0" w:color="auto"/>
          </w:divBdr>
        </w:div>
        <w:div w:id="1284733276">
          <w:marLeft w:val="0"/>
          <w:marRight w:val="0"/>
          <w:marTop w:val="0"/>
          <w:marBottom w:val="0"/>
          <w:divBdr>
            <w:top w:val="none" w:sz="0" w:space="0" w:color="auto"/>
            <w:left w:val="none" w:sz="0" w:space="0" w:color="auto"/>
            <w:bottom w:val="none" w:sz="0" w:space="0" w:color="auto"/>
            <w:right w:val="none" w:sz="0" w:space="0" w:color="auto"/>
          </w:divBdr>
        </w:div>
        <w:div w:id="2026321915">
          <w:marLeft w:val="0"/>
          <w:marRight w:val="0"/>
          <w:marTop w:val="0"/>
          <w:marBottom w:val="0"/>
          <w:divBdr>
            <w:top w:val="none" w:sz="0" w:space="0" w:color="auto"/>
            <w:left w:val="none" w:sz="0" w:space="0" w:color="auto"/>
            <w:bottom w:val="none" w:sz="0" w:space="0" w:color="auto"/>
            <w:right w:val="none" w:sz="0" w:space="0" w:color="auto"/>
          </w:divBdr>
        </w:div>
        <w:div w:id="511073979">
          <w:marLeft w:val="0"/>
          <w:marRight w:val="0"/>
          <w:marTop w:val="0"/>
          <w:marBottom w:val="0"/>
          <w:divBdr>
            <w:top w:val="none" w:sz="0" w:space="0" w:color="auto"/>
            <w:left w:val="none" w:sz="0" w:space="0" w:color="auto"/>
            <w:bottom w:val="none" w:sz="0" w:space="0" w:color="auto"/>
            <w:right w:val="none" w:sz="0" w:space="0" w:color="auto"/>
          </w:divBdr>
        </w:div>
        <w:div w:id="1576892701">
          <w:marLeft w:val="0"/>
          <w:marRight w:val="0"/>
          <w:marTop w:val="0"/>
          <w:marBottom w:val="0"/>
          <w:divBdr>
            <w:top w:val="none" w:sz="0" w:space="0" w:color="auto"/>
            <w:left w:val="none" w:sz="0" w:space="0" w:color="auto"/>
            <w:bottom w:val="none" w:sz="0" w:space="0" w:color="auto"/>
            <w:right w:val="none" w:sz="0" w:space="0" w:color="auto"/>
          </w:divBdr>
        </w:div>
        <w:div w:id="1937982446">
          <w:marLeft w:val="0"/>
          <w:marRight w:val="0"/>
          <w:marTop w:val="0"/>
          <w:marBottom w:val="0"/>
          <w:divBdr>
            <w:top w:val="none" w:sz="0" w:space="0" w:color="auto"/>
            <w:left w:val="none" w:sz="0" w:space="0" w:color="auto"/>
            <w:bottom w:val="none" w:sz="0" w:space="0" w:color="auto"/>
            <w:right w:val="none" w:sz="0" w:space="0" w:color="auto"/>
          </w:divBdr>
        </w:div>
        <w:div w:id="389424998">
          <w:marLeft w:val="0"/>
          <w:marRight w:val="0"/>
          <w:marTop w:val="0"/>
          <w:marBottom w:val="0"/>
          <w:divBdr>
            <w:top w:val="none" w:sz="0" w:space="0" w:color="auto"/>
            <w:left w:val="none" w:sz="0" w:space="0" w:color="auto"/>
            <w:bottom w:val="none" w:sz="0" w:space="0" w:color="auto"/>
            <w:right w:val="none" w:sz="0" w:space="0" w:color="auto"/>
          </w:divBdr>
        </w:div>
        <w:div w:id="2002394266">
          <w:marLeft w:val="0"/>
          <w:marRight w:val="0"/>
          <w:marTop w:val="0"/>
          <w:marBottom w:val="0"/>
          <w:divBdr>
            <w:top w:val="none" w:sz="0" w:space="0" w:color="auto"/>
            <w:left w:val="none" w:sz="0" w:space="0" w:color="auto"/>
            <w:bottom w:val="none" w:sz="0" w:space="0" w:color="auto"/>
            <w:right w:val="none" w:sz="0" w:space="0" w:color="auto"/>
          </w:divBdr>
        </w:div>
        <w:div w:id="1248345266">
          <w:marLeft w:val="0"/>
          <w:marRight w:val="0"/>
          <w:marTop w:val="0"/>
          <w:marBottom w:val="0"/>
          <w:divBdr>
            <w:top w:val="none" w:sz="0" w:space="0" w:color="auto"/>
            <w:left w:val="none" w:sz="0" w:space="0" w:color="auto"/>
            <w:bottom w:val="none" w:sz="0" w:space="0" w:color="auto"/>
            <w:right w:val="none" w:sz="0" w:space="0" w:color="auto"/>
          </w:divBdr>
        </w:div>
        <w:div w:id="351033170">
          <w:marLeft w:val="0"/>
          <w:marRight w:val="0"/>
          <w:marTop w:val="0"/>
          <w:marBottom w:val="0"/>
          <w:divBdr>
            <w:top w:val="none" w:sz="0" w:space="0" w:color="auto"/>
            <w:left w:val="none" w:sz="0" w:space="0" w:color="auto"/>
            <w:bottom w:val="none" w:sz="0" w:space="0" w:color="auto"/>
            <w:right w:val="none" w:sz="0" w:space="0" w:color="auto"/>
          </w:divBdr>
        </w:div>
        <w:div w:id="2039505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igNumbers@811.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apps.fcc.gov/edocs_public/attachmatch/DOC-315146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FD907-28C2-48AA-84D3-3D172145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1562</Words>
  <Characters>8906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Lancaster</dc:creator>
  <cp:keywords/>
  <dc:description/>
  <cp:lastModifiedBy>Mark Lancaster</cp:lastModifiedBy>
  <cp:revision>8</cp:revision>
  <cp:lastPrinted>2018-01-26T18:26:00Z</cp:lastPrinted>
  <dcterms:created xsi:type="dcterms:W3CDTF">2018-01-26T18:03:00Z</dcterms:created>
  <dcterms:modified xsi:type="dcterms:W3CDTF">2018-01-26T18:50:00Z</dcterms:modified>
</cp:coreProperties>
</file>