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3FBC3" w14:textId="77777777" w:rsidR="00FF4026" w:rsidRPr="00FF4026" w:rsidRDefault="00FF4026" w:rsidP="00FF4026">
      <w:pPr>
        <w:spacing w:before="17" w:line="276" w:lineRule="auto"/>
        <w:jc w:val="center"/>
        <w:textAlignment w:val="baseline"/>
        <w:rPr>
          <w:rFonts w:eastAsia="Times New Roman"/>
          <w:b/>
          <w:color w:val="000000"/>
          <w:spacing w:val="-1"/>
          <w:sz w:val="26"/>
          <w:szCs w:val="26"/>
        </w:rPr>
      </w:pPr>
      <w:r w:rsidRPr="00FF4026">
        <w:rPr>
          <w:rFonts w:eastAsia="Times New Roman"/>
          <w:b/>
          <w:color w:val="000000"/>
          <w:spacing w:val="-1"/>
          <w:sz w:val="26"/>
          <w:szCs w:val="26"/>
        </w:rPr>
        <w:t>Before the</w:t>
      </w:r>
    </w:p>
    <w:p w14:paraId="690E3A42" w14:textId="77777777" w:rsidR="00FF4026" w:rsidRPr="00FF4026" w:rsidRDefault="00FF4026" w:rsidP="00FF4026">
      <w:pPr>
        <w:spacing w:before="3" w:after="334" w:line="276" w:lineRule="auto"/>
        <w:jc w:val="center"/>
        <w:textAlignment w:val="baseline"/>
        <w:rPr>
          <w:rFonts w:eastAsia="Times New Roman"/>
          <w:b/>
          <w:color w:val="000000"/>
          <w:sz w:val="26"/>
          <w:szCs w:val="26"/>
        </w:rPr>
      </w:pPr>
      <w:r w:rsidRPr="00FF4026">
        <w:rPr>
          <w:rFonts w:eastAsia="Times New Roman"/>
          <w:b/>
          <w:color w:val="000000"/>
          <w:sz w:val="26"/>
          <w:szCs w:val="26"/>
        </w:rPr>
        <w:t xml:space="preserve">Federal Communications Commission </w:t>
      </w:r>
      <w:r w:rsidRPr="00FF4026">
        <w:rPr>
          <w:rFonts w:eastAsia="Times New Roman"/>
          <w:b/>
          <w:color w:val="000000"/>
          <w:sz w:val="26"/>
          <w:szCs w:val="26"/>
        </w:rPr>
        <w:br/>
        <w:t>Washington, D.C. 20554</w:t>
      </w:r>
    </w:p>
    <w:p w14:paraId="61DDEEAF" w14:textId="77777777" w:rsidR="00FF4026" w:rsidRPr="00FF4026" w:rsidRDefault="00FF4026" w:rsidP="00FF4026">
      <w:pPr>
        <w:spacing w:line="240" w:lineRule="auto"/>
        <w:rPr>
          <w:rFonts w:eastAsia="Century Schoolbook"/>
          <w:sz w:val="26"/>
          <w:szCs w:val="26"/>
        </w:rPr>
      </w:pPr>
      <w:r w:rsidRPr="00FF4026">
        <w:rPr>
          <w:rFonts w:eastAsia="Century Schoolbook"/>
          <w:sz w:val="26"/>
          <w:szCs w:val="26"/>
        </w:rPr>
        <w:t>In the Matter of</w:t>
      </w:r>
      <w:r w:rsidRPr="00FF4026">
        <w:rPr>
          <w:rFonts w:eastAsia="Century Schoolbook"/>
          <w:sz w:val="26"/>
          <w:szCs w:val="26"/>
        </w:rPr>
        <w:tab/>
      </w:r>
      <w:r w:rsidRPr="00FF4026">
        <w:rPr>
          <w:rFonts w:eastAsia="Century Schoolbook"/>
          <w:sz w:val="26"/>
          <w:szCs w:val="26"/>
        </w:rPr>
        <w:tab/>
      </w:r>
      <w:r w:rsidRPr="00FF4026">
        <w:rPr>
          <w:rFonts w:eastAsia="Century Schoolbook"/>
          <w:sz w:val="26"/>
          <w:szCs w:val="26"/>
        </w:rPr>
        <w:tab/>
      </w:r>
      <w:r w:rsidRPr="00FF4026">
        <w:rPr>
          <w:rFonts w:eastAsia="Century Schoolbook"/>
          <w:sz w:val="26"/>
          <w:szCs w:val="26"/>
        </w:rPr>
        <w:tab/>
        <w:t>)</w:t>
      </w:r>
    </w:p>
    <w:p w14:paraId="1A1AA151" w14:textId="77777777" w:rsidR="00FF4026" w:rsidRPr="00FF4026" w:rsidRDefault="00FF4026" w:rsidP="00FF4026">
      <w:pPr>
        <w:spacing w:line="240" w:lineRule="auto"/>
        <w:rPr>
          <w:rFonts w:eastAsia="Century Schoolbook"/>
          <w:sz w:val="26"/>
          <w:szCs w:val="26"/>
        </w:rPr>
      </w:pPr>
      <w:r w:rsidRPr="00FF4026">
        <w:rPr>
          <w:rFonts w:eastAsia="Century Schoolbook"/>
          <w:sz w:val="26"/>
          <w:szCs w:val="26"/>
        </w:rPr>
        <w:tab/>
      </w:r>
      <w:r w:rsidRPr="00FF4026">
        <w:rPr>
          <w:rFonts w:eastAsia="Century Schoolbook"/>
          <w:sz w:val="26"/>
          <w:szCs w:val="26"/>
        </w:rPr>
        <w:tab/>
      </w:r>
      <w:r w:rsidRPr="00FF4026">
        <w:rPr>
          <w:rFonts w:eastAsia="Century Schoolbook"/>
          <w:sz w:val="26"/>
          <w:szCs w:val="26"/>
        </w:rPr>
        <w:tab/>
      </w:r>
      <w:r w:rsidRPr="00FF4026">
        <w:rPr>
          <w:rFonts w:eastAsia="Century Schoolbook"/>
          <w:sz w:val="26"/>
          <w:szCs w:val="26"/>
        </w:rPr>
        <w:tab/>
      </w:r>
      <w:r w:rsidRPr="00FF4026">
        <w:rPr>
          <w:rFonts w:eastAsia="Century Schoolbook"/>
          <w:sz w:val="26"/>
          <w:szCs w:val="26"/>
        </w:rPr>
        <w:tab/>
      </w:r>
      <w:r w:rsidRPr="00FF4026">
        <w:rPr>
          <w:rFonts w:eastAsia="Century Schoolbook"/>
          <w:sz w:val="26"/>
          <w:szCs w:val="26"/>
        </w:rPr>
        <w:tab/>
        <w:t>)</w:t>
      </w:r>
    </w:p>
    <w:p w14:paraId="0AAB6FEE" w14:textId="77777777" w:rsidR="00FF4026" w:rsidRPr="00FF4026" w:rsidRDefault="00FF4026" w:rsidP="00FF4026">
      <w:pPr>
        <w:spacing w:line="240" w:lineRule="auto"/>
        <w:rPr>
          <w:rFonts w:eastAsia="Century Schoolbook"/>
          <w:sz w:val="26"/>
          <w:szCs w:val="26"/>
        </w:rPr>
      </w:pPr>
      <w:r w:rsidRPr="00FF4026">
        <w:rPr>
          <w:rFonts w:eastAsia="Century Schoolbook"/>
          <w:sz w:val="26"/>
          <w:szCs w:val="26"/>
        </w:rPr>
        <w:t>Misuse of Internet Protocol (IP)</w:t>
      </w:r>
      <w:r w:rsidRPr="00FF4026">
        <w:rPr>
          <w:rFonts w:eastAsia="Century Schoolbook"/>
          <w:sz w:val="26"/>
          <w:szCs w:val="26"/>
        </w:rPr>
        <w:tab/>
      </w:r>
      <w:r w:rsidRPr="00FF4026">
        <w:rPr>
          <w:rFonts w:eastAsia="Century Schoolbook"/>
          <w:sz w:val="26"/>
          <w:szCs w:val="26"/>
        </w:rPr>
        <w:tab/>
        <w:t>)</w:t>
      </w:r>
      <w:r w:rsidRPr="00FF4026">
        <w:rPr>
          <w:rFonts w:eastAsia="Century Schoolbook"/>
          <w:sz w:val="26"/>
          <w:szCs w:val="26"/>
        </w:rPr>
        <w:tab/>
      </w:r>
      <w:r w:rsidRPr="00FF4026">
        <w:rPr>
          <w:rFonts w:eastAsia="Century Schoolbook"/>
          <w:sz w:val="26"/>
          <w:szCs w:val="26"/>
        </w:rPr>
        <w:tab/>
        <w:t>CG Docket No. 13-24</w:t>
      </w:r>
    </w:p>
    <w:p w14:paraId="6DF1A638" w14:textId="77777777" w:rsidR="00FF4026" w:rsidRPr="00FF4026" w:rsidRDefault="00FF4026" w:rsidP="00FF4026">
      <w:pPr>
        <w:spacing w:line="240" w:lineRule="auto"/>
        <w:rPr>
          <w:rFonts w:eastAsia="Century Schoolbook"/>
          <w:sz w:val="26"/>
          <w:szCs w:val="26"/>
        </w:rPr>
      </w:pPr>
      <w:r w:rsidRPr="00FF4026">
        <w:rPr>
          <w:rFonts w:eastAsia="Century Schoolbook"/>
          <w:sz w:val="26"/>
          <w:szCs w:val="26"/>
        </w:rPr>
        <w:t>Captioned Telephone Service</w:t>
      </w:r>
      <w:r w:rsidRPr="00FF4026">
        <w:rPr>
          <w:rFonts w:eastAsia="Century Schoolbook"/>
          <w:sz w:val="26"/>
          <w:szCs w:val="26"/>
        </w:rPr>
        <w:tab/>
      </w:r>
      <w:r w:rsidRPr="00FF4026">
        <w:rPr>
          <w:rFonts w:eastAsia="Century Schoolbook"/>
          <w:sz w:val="26"/>
          <w:szCs w:val="26"/>
        </w:rPr>
        <w:tab/>
        <w:t>)</w:t>
      </w:r>
    </w:p>
    <w:p w14:paraId="6A82AB5A" w14:textId="77777777" w:rsidR="00FF4026" w:rsidRPr="00FF4026" w:rsidRDefault="00FF4026" w:rsidP="00FF4026">
      <w:pPr>
        <w:spacing w:line="240" w:lineRule="auto"/>
        <w:rPr>
          <w:rFonts w:eastAsia="Century Schoolbook"/>
          <w:sz w:val="26"/>
          <w:szCs w:val="26"/>
        </w:rPr>
      </w:pPr>
      <w:r w:rsidRPr="00FF4026">
        <w:rPr>
          <w:rFonts w:eastAsia="Century Schoolbook"/>
          <w:sz w:val="26"/>
          <w:szCs w:val="26"/>
        </w:rPr>
        <w:tab/>
      </w:r>
      <w:r w:rsidRPr="00FF4026">
        <w:rPr>
          <w:rFonts w:eastAsia="Century Schoolbook"/>
          <w:sz w:val="26"/>
          <w:szCs w:val="26"/>
        </w:rPr>
        <w:tab/>
      </w:r>
      <w:r w:rsidRPr="00FF4026">
        <w:rPr>
          <w:rFonts w:eastAsia="Century Schoolbook"/>
          <w:sz w:val="26"/>
          <w:szCs w:val="26"/>
        </w:rPr>
        <w:tab/>
      </w:r>
      <w:r w:rsidRPr="00FF4026">
        <w:rPr>
          <w:rFonts w:eastAsia="Century Schoolbook"/>
          <w:sz w:val="26"/>
          <w:szCs w:val="26"/>
        </w:rPr>
        <w:tab/>
      </w:r>
      <w:r w:rsidRPr="00FF4026">
        <w:rPr>
          <w:rFonts w:eastAsia="Century Schoolbook"/>
          <w:sz w:val="26"/>
          <w:szCs w:val="26"/>
        </w:rPr>
        <w:tab/>
      </w:r>
      <w:r w:rsidRPr="00FF4026">
        <w:rPr>
          <w:rFonts w:eastAsia="Century Schoolbook"/>
          <w:sz w:val="26"/>
          <w:szCs w:val="26"/>
        </w:rPr>
        <w:tab/>
        <w:t>)</w:t>
      </w:r>
    </w:p>
    <w:p w14:paraId="31F48306" w14:textId="77777777" w:rsidR="00FF4026" w:rsidRPr="00FF4026" w:rsidRDefault="00FF4026" w:rsidP="00FF4026">
      <w:pPr>
        <w:spacing w:line="240" w:lineRule="auto"/>
        <w:rPr>
          <w:rFonts w:eastAsia="Century Schoolbook"/>
          <w:sz w:val="26"/>
          <w:szCs w:val="26"/>
        </w:rPr>
      </w:pPr>
      <w:r w:rsidRPr="00FF4026">
        <w:rPr>
          <w:rFonts w:eastAsia="Century Schoolbook"/>
          <w:sz w:val="26"/>
          <w:szCs w:val="26"/>
        </w:rPr>
        <w:t xml:space="preserve">Telecommunications Relay Services </w:t>
      </w:r>
      <w:r w:rsidRPr="00FF4026">
        <w:rPr>
          <w:rFonts w:eastAsia="Century Schoolbook"/>
          <w:sz w:val="26"/>
          <w:szCs w:val="26"/>
        </w:rPr>
        <w:tab/>
        <w:t>)</w:t>
      </w:r>
    </w:p>
    <w:p w14:paraId="0C53432B" w14:textId="77777777" w:rsidR="00FF4026" w:rsidRPr="00FF4026" w:rsidRDefault="00FF4026" w:rsidP="00FF4026">
      <w:pPr>
        <w:spacing w:line="240" w:lineRule="auto"/>
        <w:rPr>
          <w:rFonts w:eastAsia="Century Schoolbook"/>
          <w:sz w:val="26"/>
          <w:szCs w:val="26"/>
        </w:rPr>
      </w:pPr>
      <w:r w:rsidRPr="00FF4026">
        <w:rPr>
          <w:rFonts w:eastAsia="Century Schoolbook"/>
          <w:sz w:val="26"/>
          <w:szCs w:val="26"/>
        </w:rPr>
        <w:t>and Speech-to-Speech Services</w:t>
      </w:r>
      <w:r w:rsidRPr="00FF4026">
        <w:rPr>
          <w:rFonts w:eastAsia="Century Schoolbook"/>
          <w:sz w:val="26"/>
          <w:szCs w:val="26"/>
        </w:rPr>
        <w:tab/>
      </w:r>
      <w:r w:rsidRPr="00FF4026">
        <w:rPr>
          <w:rFonts w:eastAsia="Century Schoolbook"/>
          <w:sz w:val="26"/>
          <w:szCs w:val="26"/>
        </w:rPr>
        <w:tab/>
        <w:t xml:space="preserve">) </w:t>
      </w:r>
      <w:r w:rsidRPr="00FF4026">
        <w:rPr>
          <w:rFonts w:eastAsia="Century Schoolbook"/>
          <w:sz w:val="26"/>
          <w:szCs w:val="26"/>
        </w:rPr>
        <w:tab/>
      </w:r>
      <w:r w:rsidRPr="00FF4026">
        <w:rPr>
          <w:rFonts w:eastAsia="Century Schoolbook"/>
          <w:sz w:val="26"/>
          <w:szCs w:val="26"/>
        </w:rPr>
        <w:tab/>
        <w:t>CG Docket No. 03-123</w:t>
      </w:r>
    </w:p>
    <w:p w14:paraId="71446EC2" w14:textId="77777777" w:rsidR="00FF4026" w:rsidRPr="00FF4026" w:rsidRDefault="00FF4026" w:rsidP="00FF4026">
      <w:pPr>
        <w:spacing w:line="240" w:lineRule="auto"/>
        <w:rPr>
          <w:rFonts w:eastAsia="Century Schoolbook"/>
          <w:sz w:val="26"/>
          <w:szCs w:val="26"/>
        </w:rPr>
      </w:pPr>
      <w:r w:rsidRPr="00FF4026">
        <w:rPr>
          <w:rFonts w:eastAsia="Century Schoolbook"/>
          <w:sz w:val="26"/>
          <w:szCs w:val="26"/>
        </w:rPr>
        <w:t>for Individuals with Hearing</w:t>
      </w:r>
      <w:r w:rsidRPr="00FF4026">
        <w:rPr>
          <w:rFonts w:eastAsia="Century Schoolbook"/>
          <w:sz w:val="26"/>
          <w:szCs w:val="26"/>
        </w:rPr>
        <w:tab/>
      </w:r>
      <w:r w:rsidRPr="00FF4026">
        <w:rPr>
          <w:rFonts w:eastAsia="Century Schoolbook"/>
          <w:sz w:val="26"/>
          <w:szCs w:val="26"/>
        </w:rPr>
        <w:tab/>
        <w:t>)</w:t>
      </w:r>
    </w:p>
    <w:p w14:paraId="6959F3C6" w14:textId="77777777" w:rsidR="00FF4026" w:rsidRPr="00FF4026" w:rsidRDefault="00FF4026" w:rsidP="00FF4026">
      <w:pPr>
        <w:spacing w:line="240" w:lineRule="auto"/>
        <w:rPr>
          <w:rFonts w:eastAsia="Century Schoolbook"/>
          <w:sz w:val="26"/>
          <w:szCs w:val="26"/>
        </w:rPr>
      </w:pPr>
      <w:r w:rsidRPr="00FF4026">
        <w:rPr>
          <w:rFonts w:eastAsia="Century Schoolbook"/>
          <w:sz w:val="26"/>
          <w:szCs w:val="26"/>
        </w:rPr>
        <w:t>and Speech Disabilities</w:t>
      </w:r>
      <w:r w:rsidRPr="00FF4026">
        <w:rPr>
          <w:rFonts w:eastAsia="Century Schoolbook"/>
          <w:sz w:val="26"/>
          <w:szCs w:val="26"/>
        </w:rPr>
        <w:tab/>
      </w:r>
      <w:r w:rsidRPr="00FF4026">
        <w:rPr>
          <w:rFonts w:eastAsia="Century Schoolbook"/>
          <w:sz w:val="26"/>
          <w:szCs w:val="26"/>
        </w:rPr>
        <w:tab/>
      </w:r>
      <w:r w:rsidRPr="00FF4026">
        <w:rPr>
          <w:rFonts w:eastAsia="Century Schoolbook"/>
          <w:sz w:val="26"/>
          <w:szCs w:val="26"/>
        </w:rPr>
        <w:tab/>
        <w:t>)</w:t>
      </w:r>
    </w:p>
    <w:p w14:paraId="3AE9D0F7" w14:textId="77777777" w:rsidR="00FF4026" w:rsidRPr="00FF4026" w:rsidRDefault="00FF4026" w:rsidP="00FF4026">
      <w:pPr>
        <w:spacing w:line="240" w:lineRule="auto"/>
        <w:rPr>
          <w:rFonts w:eastAsia="Century Schoolbook"/>
          <w:sz w:val="26"/>
          <w:szCs w:val="26"/>
        </w:rPr>
      </w:pPr>
    </w:p>
    <w:p w14:paraId="37026BFF" w14:textId="77777777" w:rsidR="00FF4026" w:rsidRPr="00FF4026" w:rsidRDefault="00FF4026" w:rsidP="00FF4026"/>
    <w:p w14:paraId="72F5EE6D" w14:textId="77777777" w:rsidR="00FF4026" w:rsidRPr="00FF4026" w:rsidRDefault="00FF4026" w:rsidP="00FF4026">
      <w:pPr>
        <w:jc w:val="center"/>
        <w:rPr>
          <w:b/>
          <w:sz w:val="26"/>
          <w:szCs w:val="26"/>
        </w:rPr>
      </w:pPr>
      <w:r w:rsidRPr="00FF4026">
        <w:rPr>
          <w:b/>
          <w:sz w:val="26"/>
          <w:szCs w:val="26"/>
        </w:rPr>
        <w:t>MOTION TO ACCEPT LATE-FILED COMMENTS</w:t>
      </w:r>
    </w:p>
    <w:p w14:paraId="5FC8AECD" w14:textId="77777777" w:rsidR="00FF4026" w:rsidRPr="00FF4026" w:rsidRDefault="00FF4026" w:rsidP="00FF4026"/>
    <w:p w14:paraId="30E6DB32" w14:textId="77777777" w:rsidR="00FF4026" w:rsidRPr="00FF4026" w:rsidRDefault="00FF4026" w:rsidP="00FF4026">
      <w:pPr>
        <w:ind w:firstLine="720"/>
        <w:rPr>
          <w:sz w:val="26"/>
          <w:szCs w:val="26"/>
        </w:rPr>
      </w:pPr>
      <w:r w:rsidRPr="00FF4026">
        <w:rPr>
          <w:sz w:val="26"/>
          <w:szCs w:val="26"/>
        </w:rPr>
        <w:t xml:space="preserve">The Pennsylvania Public Utility Commission (Pa. PUC) respectfully submits this Motion to Accept Late-Filed Reply Comments because the accompanying Reply Comments were due on October 16, 2018.  The Reply Comments address the Commission’s </w:t>
      </w:r>
      <w:r w:rsidRPr="00FF4026">
        <w:rPr>
          <w:i/>
          <w:sz w:val="26"/>
          <w:szCs w:val="26"/>
        </w:rPr>
        <w:t>Further Notice of Proposed Rulemaking</w:t>
      </w:r>
      <w:r w:rsidRPr="00FF4026">
        <w:rPr>
          <w:sz w:val="26"/>
          <w:szCs w:val="26"/>
        </w:rPr>
        <w:t xml:space="preserve"> (</w:t>
      </w:r>
      <w:r w:rsidRPr="00FF4026">
        <w:rPr>
          <w:i/>
          <w:sz w:val="26"/>
          <w:szCs w:val="26"/>
        </w:rPr>
        <w:t>FNPRM</w:t>
      </w:r>
      <w:r w:rsidRPr="00FF4026">
        <w:rPr>
          <w:sz w:val="26"/>
          <w:szCs w:val="26"/>
        </w:rPr>
        <w:t xml:space="preserve">), in which it proposed, </w:t>
      </w:r>
      <w:r w:rsidRPr="00FF4026">
        <w:rPr>
          <w:i/>
          <w:sz w:val="26"/>
          <w:szCs w:val="26"/>
        </w:rPr>
        <w:t>inter alia</w:t>
      </w:r>
      <w:r w:rsidRPr="00FF4026">
        <w:rPr>
          <w:sz w:val="26"/>
          <w:szCs w:val="26"/>
        </w:rPr>
        <w:t>, further changes to the rules and compensation structure for Internet Protocol Captioned Telephone Service (IP CTS) calls to ensure that they remain sustainable for those individuals who need to use this form of telecommunications relay service.</w:t>
      </w:r>
      <w:r w:rsidRPr="00FF4026">
        <w:rPr>
          <w:sz w:val="26"/>
          <w:szCs w:val="26"/>
          <w:vertAlign w:val="superscript"/>
        </w:rPr>
        <w:footnoteReference w:id="1"/>
      </w:r>
      <w:r w:rsidRPr="00FF4026">
        <w:rPr>
          <w:sz w:val="26"/>
          <w:szCs w:val="26"/>
        </w:rPr>
        <w:t xml:space="preserve">  </w:t>
      </w:r>
    </w:p>
    <w:p w14:paraId="2373D625" w14:textId="77777777" w:rsidR="00FF4026" w:rsidRPr="00FF4026" w:rsidRDefault="00FF4026" w:rsidP="00FF4026">
      <w:pPr>
        <w:ind w:firstLine="720"/>
        <w:rPr>
          <w:sz w:val="26"/>
          <w:szCs w:val="26"/>
        </w:rPr>
      </w:pPr>
    </w:p>
    <w:p w14:paraId="2DEB2023" w14:textId="77777777" w:rsidR="00FF4026" w:rsidRPr="00FF4026" w:rsidRDefault="00FF4026" w:rsidP="00FF4026">
      <w:pPr>
        <w:ind w:firstLine="720"/>
        <w:rPr>
          <w:sz w:val="26"/>
          <w:szCs w:val="26"/>
        </w:rPr>
      </w:pPr>
      <w:r w:rsidRPr="00FF4026">
        <w:rPr>
          <w:sz w:val="26"/>
          <w:szCs w:val="26"/>
        </w:rPr>
        <w:t xml:space="preserve">In accordance with the filing schedule published in the Federal Register regarding the </w:t>
      </w:r>
      <w:r w:rsidRPr="00FF4026">
        <w:rPr>
          <w:i/>
          <w:sz w:val="26"/>
          <w:szCs w:val="26"/>
        </w:rPr>
        <w:t>FNPRM</w:t>
      </w:r>
      <w:r w:rsidRPr="00FF4026">
        <w:rPr>
          <w:sz w:val="26"/>
          <w:szCs w:val="26"/>
        </w:rPr>
        <w:t xml:space="preserve"> on IP CTS, reply comments were due on or before October </w:t>
      </w:r>
      <w:r w:rsidRPr="00FF4026">
        <w:rPr>
          <w:bCs/>
          <w:sz w:val="26"/>
          <w:szCs w:val="26"/>
        </w:rPr>
        <w:t>16, 2018.</w:t>
      </w:r>
      <w:r w:rsidRPr="00FF4026">
        <w:rPr>
          <w:sz w:val="26"/>
          <w:szCs w:val="26"/>
          <w:vertAlign w:val="superscript"/>
        </w:rPr>
        <w:footnoteReference w:id="2"/>
      </w:r>
      <w:r w:rsidRPr="00FF4026">
        <w:rPr>
          <w:bCs/>
          <w:sz w:val="26"/>
          <w:szCs w:val="26"/>
        </w:rPr>
        <w:t xml:space="preserve">  </w:t>
      </w:r>
      <w:r w:rsidRPr="00FF4026">
        <w:rPr>
          <w:sz w:val="26"/>
          <w:szCs w:val="26"/>
        </w:rPr>
        <w:t xml:space="preserve">The Pa. PUC has a vital interest in maintaining some sort of oversight over the local aspects </w:t>
      </w:r>
      <w:r w:rsidRPr="00FF4026">
        <w:rPr>
          <w:sz w:val="26"/>
          <w:szCs w:val="26"/>
        </w:rPr>
        <w:lastRenderedPageBreak/>
        <w:t xml:space="preserve">of telecommunications relay services implicated by the </w:t>
      </w:r>
      <w:r w:rsidRPr="00FF4026">
        <w:rPr>
          <w:i/>
          <w:sz w:val="26"/>
          <w:szCs w:val="26"/>
        </w:rPr>
        <w:t>FNPRM</w:t>
      </w:r>
      <w:r w:rsidRPr="00FF4026">
        <w:rPr>
          <w:sz w:val="26"/>
          <w:szCs w:val="26"/>
        </w:rPr>
        <w:t>.  The Pa. PUC believes that the record would benefit from state commissions’ input.</w:t>
      </w:r>
    </w:p>
    <w:p w14:paraId="599E7A0E" w14:textId="77777777" w:rsidR="00FF4026" w:rsidRDefault="00FF4026" w:rsidP="00FF4026">
      <w:pPr>
        <w:ind w:firstLine="720"/>
        <w:rPr>
          <w:sz w:val="26"/>
          <w:szCs w:val="26"/>
        </w:rPr>
      </w:pPr>
    </w:p>
    <w:p w14:paraId="303C9843" w14:textId="6939632C" w:rsidR="00FF4026" w:rsidRPr="00FF4026" w:rsidRDefault="00FF4026" w:rsidP="00FF4026">
      <w:pPr>
        <w:ind w:firstLine="720"/>
        <w:rPr>
          <w:sz w:val="26"/>
          <w:szCs w:val="26"/>
        </w:rPr>
      </w:pPr>
      <w:r w:rsidRPr="00FF4026">
        <w:rPr>
          <w:sz w:val="26"/>
          <w:szCs w:val="26"/>
        </w:rPr>
        <w:t>We therefore ask the Commission to accept these late-filed reply comments.</w:t>
      </w:r>
    </w:p>
    <w:p w14:paraId="1FAA0900" w14:textId="77777777" w:rsidR="00FF4026" w:rsidRPr="00FF4026" w:rsidRDefault="00FF4026" w:rsidP="00FF4026">
      <w:pPr>
        <w:rPr>
          <w:sz w:val="26"/>
          <w:szCs w:val="26"/>
        </w:rPr>
      </w:pPr>
    </w:p>
    <w:p w14:paraId="5928037D" w14:textId="77777777" w:rsidR="00FF4026" w:rsidRPr="00FF4026" w:rsidRDefault="00FF4026" w:rsidP="00FF4026">
      <w:pPr>
        <w:ind w:left="3600" w:firstLine="720"/>
        <w:textAlignment w:val="baseline"/>
        <w:rPr>
          <w:rFonts w:eastAsia="Times New Roman"/>
          <w:color w:val="000000"/>
          <w:sz w:val="26"/>
          <w:szCs w:val="26"/>
        </w:rPr>
      </w:pPr>
      <w:r w:rsidRPr="00FF4026">
        <w:rPr>
          <w:rFonts w:eastAsia="Times New Roman"/>
          <w:color w:val="000000"/>
          <w:sz w:val="26"/>
          <w:szCs w:val="26"/>
        </w:rPr>
        <w:t>Respectfully submitted,</w:t>
      </w:r>
    </w:p>
    <w:p w14:paraId="6F1ABEFB" w14:textId="77777777" w:rsidR="00FF4026" w:rsidRPr="00FF4026" w:rsidRDefault="00FF4026" w:rsidP="00FF4026">
      <w:pPr>
        <w:ind w:left="3600" w:firstLine="720"/>
        <w:textAlignment w:val="baseline"/>
        <w:rPr>
          <w:rFonts w:eastAsia="Times New Roman"/>
          <w:color w:val="000000"/>
          <w:sz w:val="26"/>
          <w:szCs w:val="26"/>
        </w:rPr>
      </w:pPr>
    </w:p>
    <w:p w14:paraId="701D8496" w14:textId="77777777" w:rsidR="00FF4026" w:rsidRPr="00FF4026" w:rsidRDefault="00FF4026" w:rsidP="00FF4026">
      <w:pPr>
        <w:spacing w:line="240" w:lineRule="auto"/>
        <w:textAlignment w:val="baseline"/>
        <w:rPr>
          <w:rFonts w:eastAsia="Times New Roman"/>
          <w:color w:val="000000"/>
          <w:sz w:val="26"/>
          <w:szCs w:val="26"/>
        </w:rPr>
      </w:pPr>
      <w:r w:rsidRPr="00FF4026">
        <w:rPr>
          <w:rFonts w:eastAsia="Times New Roman"/>
          <w:color w:val="000000"/>
          <w:sz w:val="26"/>
          <w:szCs w:val="26"/>
        </w:rPr>
        <w:tab/>
      </w:r>
      <w:r w:rsidRPr="00FF4026">
        <w:rPr>
          <w:rFonts w:eastAsia="Times New Roman"/>
          <w:color w:val="000000"/>
          <w:sz w:val="26"/>
          <w:szCs w:val="26"/>
        </w:rPr>
        <w:tab/>
      </w:r>
      <w:r w:rsidRPr="00FF4026">
        <w:rPr>
          <w:rFonts w:eastAsia="Times New Roman"/>
          <w:color w:val="000000"/>
          <w:sz w:val="26"/>
          <w:szCs w:val="26"/>
        </w:rPr>
        <w:tab/>
      </w:r>
      <w:r w:rsidRPr="00FF4026">
        <w:rPr>
          <w:rFonts w:eastAsia="Times New Roman"/>
          <w:color w:val="000000"/>
          <w:sz w:val="26"/>
          <w:szCs w:val="26"/>
        </w:rPr>
        <w:tab/>
      </w:r>
      <w:r w:rsidRPr="00FF4026">
        <w:rPr>
          <w:rFonts w:eastAsia="Times New Roman"/>
          <w:color w:val="000000"/>
          <w:sz w:val="26"/>
          <w:szCs w:val="26"/>
        </w:rPr>
        <w:tab/>
      </w:r>
      <w:r w:rsidRPr="00FF4026">
        <w:rPr>
          <w:rFonts w:eastAsia="Times New Roman"/>
          <w:color w:val="000000"/>
          <w:sz w:val="26"/>
          <w:szCs w:val="26"/>
        </w:rPr>
        <w:tab/>
      </w:r>
      <w:r w:rsidRPr="00FF4026">
        <w:rPr>
          <w:rFonts w:eastAsia="Times New Roman"/>
          <w:color w:val="000000"/>
          <w:sz w:val="26"/>
          <w:szCs w:val="26"/>
          <w:u w:val="single"/>
        </w:rPr>
        <w:t>/s/ David E. Screven</w:t>
      </w:r>
      <w:r w:rsidRPr="00FF4026">
        <w:rPr>
          <w:rFonts w:eastAsia="Times New Roman"/>
          <w:color w:val="000000"/>
          <w:sz w:val="26"/>
          <w:szCs w:val="26"/>
        </w:rPr>
        <w:t xml:space="preserve"> </w:t>
      </w:r>
    </w:p>
    <w:p w14:paraId="377473CA" w14:textId="77777777" w:rsidR="00FF4026" w:rsidRPr="00FF4026" w:rsidRDefault="00FF4026" w:rsidP="00FF4026">
      <w:pPr>
        <w:spacing w:line="240" w:lineRule="auto"/>
        <w:ind w:left="720"/>
        <w:textAlignment w:val="baseline"/>
        <w:rPr>
          <w:rFonts w:eastAsia="Times New Roman"/>
          <w:color w:val="000000"/>
          <w:sz w:val="26"/>
          <w:szCs w:val="26"/>
        </w:rPr>
      </w:pPr>
      <w:r w:rsidRPr="00FF4026">
        <w:rPr>
          <w:rFonts w:eastAsia="Times New Roman"/>
          <w:color w:val="000000"/>
          <w:sz w:val="26"/>
          <w:szCs w:val="26"/>
        </w:rPr>
        <w:tab/>
      </w:r>
      <w:r w:rsidRPr="00FF4026">
        <w:rPr>
          <w:rFonts w:eastAsia="Times New Roman"/>
          <w:color w:val="000000"/>
          <w:sz w:val="26"/>
          <w:szCs w:val="26"/>
        </w:rPr>
        <w:tab/>
      </w:r>
      <w:r w:rsidRPr="00FF4026">
        <w:rPr>
          <w:rFonts w:eastAsia="Times New Roman"/>
          <w:color w:val="000000"/>
          <w:sz w:val="26"/>
          <w:szCs w:val="26"/>
        </w:rPr>
        <w:tab/>
      </w:r>
      <w:r w:rsidRPr="00FF4026">
        <w:rPr>
          <w:rFonts w:eastAsia="Times New Roman"/>
          <w:color w:val="000000"/>
          <w:sz w:val="26"/>
          <w:szCs w:val="26"/>
        </w:rPr>
        <w:tab/>
      </w:r>
      <w:r w:rsidRPr="00FF4026">
        <w:rPr>
          <w:rFonts w:eastAsia="Times New Roman"/>
          <w:color w:val="000000"/>
          <w:sz w:val="26"/>
          <w:szCs w:val="26"/>
        </w:rPr>
        <w:tab/>
        <w:t>David E. Screven</w:t>
      </w:r>
    </w:p>
    <w:p w14:paraId="098AEB9F" w14:textId="77777777" w:rsidR="00FF4026" w:rsidRPr="00FF4026" w:rsidRDefault="00FF4026" w:rsidP="00FF4026">
      <w:pPr>
        <w:spacing w:line="240" w:lineRule="auto"/>
        <w:ind w:left="720"/>
        <w:textAlignment w:val="baseline"/>
        <w:rPr>
          <w:rFonts w:eastAsia="Times New Roman"/>
          <w:color w:val="000000"/>
          <w:sz w:val="26"/>
          <w:szCs w:val="26"/>
        </w:rPr>
      </w:pPr>
      <w:r w:rsidRPr="00FF4026">
        <w:rPr>
          <w:rFonts w:eastAsia="Times New Roman"/>
          <w:color w:val="000000"/>
          <w:sz w:val="26"/>
          <w:szCs w:val="26"/>
        </w:rPr>
        <w:tab/>
      </w:r>
      <w:r w:rsidRPr="00FF4026">
        <w:rPr>
          <w:rFonts w:eastAsia="Times New Roman"/>
          <w:color w:val="000000"/>
          <w:sz w:val="26"/>
          <w:szCs w:val="26"/>
        </w:rPr>
        <w:tab/>
      </w:r>
      <w:r w:rsidRPr="00FF4026">
        <w:rPr>
          <w:rFonts w:eastAsia="Times New Roman"/>
          <w:color w:val="000000"/>
          <w:sz w:val="26"/>
          <w:szCs w:val="26"/>
        </w:rPr>
        <w:tab/>
      </w:r>
      <w:r w:rsidRPr="00FF4026">
        <w:rPr>
          <w:rFonts w:eastAsia="Times New Roman"/>
          <w:color w:val="000000"/>
          <w:sz w:val="26"/>
          <w:szCs w:val="26"/>
        </w:rPr>
        <w:tab/>
      </w:r>
      <w:r w:rsidRPr="00FF4026">
        <w:rPr>
          <w:rFonts w:eastAsia="Times New Roman"/>
          <w:color w:val="000000"/>
          <w:sz w:val="26"/>
          <w:szCs w:val="26"/>
        </w:rPr>
        <w:tab/>
        <w:t>Assistant Counsel</w:t>
      </w:r>
    </w:p>
    <w:p w14:paraId="317DE112" w14:textId="77777777" w:rsidR="00FF4026" w:rsidRPr="00FF4026" w:rsidRDefault="00FF4026" w:rsidP="00FF4026">
      <w:pPr>
        <w:spacing w:line="240" w:lineRule="auto"/>
        <w:ind w:left="720"/>
        <w:textAlignment w:val="baseline"/>
        <w:rPr>
          <w:rFonts w:eastAsia="Times New Roman"/>
          <w:color w:val="000000"/>
          <w:sz w:val="26"/>
          <w:szCs w:val="26"/>
        </w:rPr>
      </w:pPr>
      <w:r w:rsidRPr="00FF4026">
        <w:rPr>
          <w:rFonts w:eastAsia="Times New Roman"/>
          <w:color w:val="000000"/>
          <w:sz w:val="26"/>
          <w:szCs w:val="26"/>
        </w:rPr>
        <w:tab/>
      </w:r>
      <w:r w:rsidRPr="00FF4026">
        <w:rPr>
          <w:rFonts w:eastAsia="Times New Roman"/>
          <w:color w:val="000000"/>
          <w:sz w:val="26"/>
          <w:szCs w:val="26"/>
        </w:rPr>
        <w:tab/>
      </w:r>
      <w:r w:rsidRPr="00FF4026">
        <w:rPr>
          <w:rFonts w:eastAsia="Times New Roman"/>
          <w:color w:val="000000"/>
          <w:sz w:val="26"/>
          <w:szCs w:val="26"/>
        </w:rPr>
        <w:tab/>
      </w:r>
      <w:r w:rsidRPr="00FF4026">
        <w:rPr>
          <w:rFonts w:eastAsia="Times New Roman"/>
          <w:color w:val="000000"/>
          <w:sz w:val="26"/>
          <w:szCs w:val="26"/>
        </w:rPr>
        <w:tab/>
      </w:r>
      <w:r w:rsidRPr="00FF4026">
        <w:rPr>
          <w:rFonts w:eastAsia="Times New Roman"/>
          <w:color w:val="000000"/>
          <w:sz w:val="26"/>
          <w:szCs w:val="26"/>
        </w:rPr>
        <w:tab/>
        <w:t>Pennsylvania Public Utility Commission</w:t>
      </w:r>
    </w:p>
    <w:p w14:paraId="45302CC1" w14:textId="77777777" w:rsidR="00FF4026" w:rsidRPr="00FF4026" w:rsidRDefault="00FF4026" w:rsidP="00FF4026">
      <w:pPr>
        <w:spacing w:line="240" w:lineRule="auto"/>
        <w:ind w:left="3600" w:firstLine="720"/>
        <w:textAlignment w:val="baseline"/>
        <w:rPr>
          <w:rFonts w:eastAsia="Times New Roman"/>
          <w:color w:val="000000"/>
          <w:sz w:val="26"/>
          <w:szCs w:val="26"/>
        </w:rPr>
      </w:pPr>
      <w:r w:rsidRPr="00FF4026">
        <w:rPr>
          <w:rFonts w:eastAsia="Times New Roman"/>
          <w:color w:val="000000"/>
          <w:sz w:val="26"/>
          <w:szCs w:val="26"/>
        </w:rPr>
        <w:t>400 North Street</w:t>
      </w:r>
    </w:p>
    <w:p w14:paraId="6431D150" w14:textId="77777777" w:rsidR="00FF4026" w:rsidRPr="00FF4026" w:rsidRDefault="00FF4026" w:rsidP="00FF4026">
      <w:pPr>
        <w:spacing w:line="240" w:lineRule="auto"/>
        <w:ind w:left="3600" w:firstLine="720"/>
        <w:textAlignment w:val="baseline"/>
        <w:rPr>
          <w:rFonts w:eastAsia="Times New Roman"/>
          <w:color w:val="000000"/>
          <w:sz w:val="26"/>
          <w:szCs w:val="26"/>
        </w:rPr>
      </w:pPr>
      <w:r w:rsidRPr="00FF4026">
        <w:rPr>
          <w:rFonts w:eastAsia="Times New Roman"/>
          <w:color w:val="000000"/>
          <w:sz w:val="26"/>
          <w:szCs w:val="26"/>
        </w:rPr>
        <w:t>Harrisburg, PA 17120</w:t>
      </w:r>
    </w:p>
    <w:p w14:paraId="6637C4CC" w14:textId="77777777" w:rsidR="00FF4026" w:rsidRPr="00FF4026" w:rsidRDefault="00FF4026" w:rsidP="00FF4026">
      <w:pPr>
        <w:spacing w:line="240" w:lineRule="auto"/>
        <w:textAlignment w:val="baseline"/>
        <w:rPr>
          <w:rFonts w:eastAsia="Times New Roman"/>
          <w:color w:val="000000"/>
          <w:sz w:val="26"/>
          <w:szCs w:val="26"/>
        </w:rPr>
      </w:pPr>
    </w:p>
    <w:p w14:paraId="763335B0" w14:textId="77777777" w:rsidR="00FF4026" w:rsidRDefault="00FF4026" w:rsidP="00FF4026">
      <w:pPr>
        <w:spacing w:line="240" w:lineRule="auto"/>
        <w:textAlignment w:val="baseline"/>
        <w:rPr>
          <w:rFonts w:eastAsia="Times New Roman"/>
          <w:color w:val="000000"/>
          <w:sz w:val="26"/>
          <w:szCs w:val="26"/>
        </w:rPr>
        <w:sectPr w:rsidR="00FF4026" w:rsidSect="00626869">
          <w:footerReference w:type="default" r:id="rId8"/>
          <w:footerReference w:type="first" r:id="rId9"/>
          <w:pgSz w:w="12240" w:h="15840"/>
          <w:pgMar w:top="1440" w:right="1440" w:bottom="1440" w:left="1440" w:header="720" w:footer="720" w:gutter="0"/>
          <w:cols w:space="720"/>
          <w:titlePg/>
          <w:docGrid w:linePitch="299"/>
        </w:sectPr>
      </w:pPr>
      <w:r w:rsidRPr="00FF4026">
        <w:rPr>
          <w:rFonts w:eastAsia="Times New Roman"/>
          <w:color w:val="000000"/>
          <w:sz w:val="26"/>
          <w:szCs w:val="26"/>
        </w:rPr>
        <w:t>Dated: October 17, 2018</w:t>
      </w:r>
    </w:p>
    <w:p w14:paraId="7EF1BEA0" w14:textId="4768879B" w:rsidR="00517DFA" w:rsidRPr="008E7909" w:rsidRDefault="00597FF6" w:rsidP="00E62860">
      <w:pPr>
        <w:spacing w:before="17" w:line="276" w:lineRule="auto"/>
        <w:jc w:val="center"/>
        <w:textAlignment w:val="baseline"/>
        <w:rPr>
          <w:rFonts w:eastAsia="Times New Roman"/>
          <w:b/>
          <w:color w:val="000000"/>
          <w:spacing w:val="-1"/>
          <w:sz w:val="26"/>
          <w:szCs w:val="26"/>
        </w:rPr>
      </w:pPr>
      <w:r w:rsidRPr="008E7909">
        <w:rPr>
          <w:rFonts w:eastAsia="Times New Roman"/>
          <w:b/>
          <w:color w:val="000000"/>
          <w:spacing w:val="-1"/>
          <w:sz w:val="26"/>
          <w:szCs w:val="26"/>
        </w:rPr>
        <w:lastRenderedPageBreak/>
        <w:t>Before the</w:t>
      </w:r>
    </w:p>
    <w:p w14:paraId="1B2AEE7F" w14:textId="77777777" w:rsidR="00517DFA" w:rsidRPr="008E7909" w:rsidRDefault="00597FF6" w:rsidP="00E62860">
      <w:pPr>
        <w:spacing w:before="3" w:after="334" w:line="276" w:lineRule="auto"/>
        <w:jc w:val="center"/>
        <w:textAlignment w:val="baseline"/>
        <w:rPr>
          <w:rFonts w:eastAsia="Times New Roman"/>
          <w:b/>
          <w:color w:val="000000"/>
          <w:sz w:val="26"/>
          <w:szCs w:val="26"/>
        </w:rPr>
      </w:pPr>
      <w:r w:rsidRPr="008E7909">
        <w:rPr>
          <w:rFonts w:eastAsia="Times New Roman"/>
          <w:b/>
          <w:color w:val="000000"/>
          <w:sz w:val="26"/>
          <w:szCs w:val="26"/>
        </w:rPr>
        <w:t xml:space="preserve">Federal Communications Commission </w:t>
      </w:r>
      <w:r w:rsidRPr="008E7909">
        <w:rPr>
          <w:rFonts w:eastAsia="Times New Roman"/>
          <w:b/>
          <w:color w:val="000000"/>
          <w:sz w:val="26"/>
          <w:szCs w:val="26"/>
        </w:rPr>
        <w:br/>
        <w:t>Washington, D.C. 20554</w:t>
      </w:r>
    </w:p>
    <w:p w14:paraId="590C470A" w14:textId="77777777" w:rsidR="00FE283B" w:rsidRPr="008E7909" w:rsidRDefault="00FE283B" w:rsidP="00FE283B">
      <w:pPr>
        <w:spacing w:line="240" w:lineRule="auto"/>
        <w:rPr>
          <w:rFonts w:eastAsia="Century Schoolbook"/>
          <w:sz w:val="26"/>
          <w:szCs w:val="26"/>
        </w:rPr>
      </w:pPr>
      <w:r w:rsidRPr="008E7909">
        <w:rPr>
          <w:rFonts w:eastAsia="Century Schoolbook"/>
          <w:sz w:val="26"/>
          <w:szCs w:val="26"/>
        </w:rPr>
        <w:t>In the Matter of</w:t>
      </w:r>
      <w:r w:rsidRPr="008E7909">
        <w:rPr>
          <w:rFonts w:eastAsia="Century Schoolbook"/>
          <w:sz w:val="26"/>
          <w:szCs w:val="26"/>
        </w:rPr>
        <w:tab/>
      </w:r>
      <w:r w:rsidRPr="008E7909">
        <w:rPr>
          <w:rFonts w:eastAsia="Century Schoolbook"/>
          <w:sz w:val="26"/>
          <w:szCs w:val="26"/>
        </w:rPr>
        <w:tab/>
      </w:r>
      <w:r w:rsidRPr="008E7909">
        <w:rPr>
          <w:rFonts w:eastAsia="Century Schoolbook"/>
          <w:sz w:val="26"/>
          <w:szCs w:val="26"/>
        </w:rPr>
        <w:tab/>
      </w:r>
      <w:r w:rsidRPr="008E7909">
        <w:rPr>
          <w:rFonts w:eastAsia="Century Schoolbook"/>
          <w:sz w:val="26"/>
          <w:szCs w:val="26"/>
        </w:rPr>
        <w:tab/>
        <w:t>)</w:t>
      </w:r>
    </w:p>
    <w:p w14:paraId="470E40B8" w14:textId="77777777" w:rsidR="00FE283B" w:rsidRPr="008E7909" w:rsidRDefault="00FE283B" w:rsidP="00FE283B">
      <w:pPr>
        <w:spacing w:line="240" w:lineRule="auto"/>
        <w:rPr>
          <w:rFonts w:eastAsia="Century Schoolbook"/>
          <w:sz w:val="26"/>
          <w:szCs w:val="26"/>
        </w:rPr>
      </w:pPr>
      <w:r w:rsidRPr="008E7909">
        <w:rPr>
          <w:rFonts w:eastAsia="Century Schoolbook"/>
          <w:sz w:val="26"/>
          <w:szCs w:val="26"/>
        </w:rPr>
        <w:tab/>
      </w:r>
      <w:r w:rsidRPr="008E7909">
        <w:rPr>
          <w:rFonts w:eastAsia="Century Schoolbook"/>
          <w:sz w:val="26"/>
          <w:szCs w:val="26"/>
        </w:rPr>
        <w:tab/>
      </w:r>
      <w:r w:rsidRPr="008E7909">
        <w:rPr>
          <w:rFonts w:eastAsia="Century Schoolbook"/>
          <w:sz w:val="26"/>
          <w:szCs w:val="26"/>
        </w:rPr>
        <w:tab/>
      </w:r>
      <w:r w:rsidRPr="008E7909">
        <w:rPr>
          <w:rFonts w:eastAsia="Century Schoolbook"/>
          <w:sz w:val="26"/>
          <w:szCs w:val="26"/>
        </w:rPr>
        <w:tab/>
      </w:r>
      <w:r w:rsidRPr="008E7909">
        <w:rPr>
          <w:rFonts w:eastAsia="Century Schoolbook"/>
          <w:sz w:val="26"/>
          <w:szCs w:val="26"/>
        </w:rPr>
        <w:tab/>
      </w:r>
      <w:r w:rsidRPr="008E7909">
        <w:rPr>
          <w:rFonts w:eastAsia="Century Schoolbook"/>
          <w:sz w:val="26"/>
          <w:szCs w:val="26"/>
        </w:rPr>
        <w:tab/>
        <w:t>)</w:t>
      </w:r>
    </w:p>
    <w:p w14:paraId="08D5B6E0" w14:textId="77777777" w:rsidR="00FE283B" w:rsidRPr="008E7909" w:rsidRDefault="00FE283B" w:rsidP="00FE283B">
      <w:pPr>
        <w:spacing w:line="240" w:lineRule="auto"/>
        <w:rPr>
          <w:rFonts w:eastAsia="Century Schoolbook"/>
          <w:sz w:val="26"/>
          <w:szCs w:val="26"/>
        </w:rPr>
      </w:pPr>
      <w:r w:rsidRPr="008E7909">
        <w:rPr>
          <w:rFonts w:eastAsia="Century Schoolbook"/>
          <w:sz w:val="26"/>
          <w:szCs w:val="26"/>
        </w:rPr>
        <w:t>Misuse of Internet Protocol (IP)</w:t>
      </w:r>
      <w:r w:rsidRPr="008E7909">
        <w:rPr>
          <w:rFonts w:eastAsia="Century Schoolbook"/>
          <w:sz w:val="26"/>
          <w:szCs w:val="26"/>
        </w:rPr>
        <w:tab/>
      </w:r>
      <w:r w:rsidRPr="008E7909">
        <w:rPr>
          <w:rFonts w:eastAsia="Century Schoolbook"/>
          <w:sz w:val="26"/>
          <w:szCs w:val="26"/>
        </w:rPr>
        <w:tab/>
        <w:t>)</w:t>
      </w:r>
      <w:r w:rsidRPr="008E7909">
        <w:rPr>
          <w:rFonts w:eastAsia="Century Schoolbook"/>
          <w:sz w:val="26"/>
          <w:szCs w:val="26"/>
        </w:rPr>
        <w:tab/>
      </w:r>
      <w:r w:rsidRPr="008E7909">
        <w:rPr>
          <w:rFonts w:eastAsia="Century Schoolbook"/>
          <w:sz w:val="26"/>
          <w:szCs w:val="26"/>
        </w:rPr>
        <w:tab/>
        <w:t>CG Docket No. 13-24</w:t>
      </w:r>
    </w:p>
    <w:p w14:paraId="09D575A9" w14:textId="77777777" w:rsidR="00FE283B" w:rsidRPr="008E7909" w:rsidRDefault="00FE283B" w:rsidP="00FE283B">
      <w:pPr>
        <w:spacing w:line="240" w:lineRule="auto"/>
        <w:rPr>
          <w:rFonts w:eastAsia="Century Schoolbook"/>
          <w:sz w:val="26"/>
          <w:szCs w:val="26"/>
        </w:rPr>
      </w:pPr>
      <w:r w:rsidRPr="008E7909">
        <w:rPr>
          <w:rFonts w:eastAsia="Century Schoolbook"/>
          <w:sz w:val="26"/>
          <w:szCs w:val="26"/>
        </w:rPr>
        <w:t>Captioned Telephone Service</w:t>
      </w:r>
      <w:r w:rsidRPr="008E7909">
        <w:rPr>
          <w:rFonts w:eastAsia="Century Schoolbook"/>
          <w:sz w:val="26"/>
          <w:szCs w:val="26"/>
        </w:rPr>
        <w:tab/>
      </w:r>
      <w:r w:rsidRPr="008E7909">
        <w:rPr>
          <w:rFonts w:eastAsia="Century Schoolbook"/>
          <w:sz w:val="26"/>
          <w:szCs w:val="26"/>
        </w:rPr>
        <w:tab/>
        <w:t>)</w:t>
      </w:r>
    </w:p>
    <w:p w14:paraId="5D0F9668" w14:textId="77777777" w:rsidR="00FE283B" w:rsidRPr="008E7909" w:rsidRDefault="00FE283B" w:rsidP="00FE283B">
      <w:pPr>
        <w:spacing w:line="240" w:lineRule="auto"/>
        <w:rPr>
          <w:rFonts w:eastAsia="Century Schoolbook"/>
          <w:sz w:val="26"/>
          <w:szCs w:val="26"/>
        </w:rPr>
      </w:pPr>
      <w:r w:rsidRPr="008E7909">
        <w:rPr>
          <w:rFonts w:eastAsia="Century Schoolbook"/>
          <w:sz w:val="26"/>
          <w:szCs w:val="26"/>
        </w:rPr>
        <w:tab/>
      </w:r>
      <w:r w:rsidRPr="008E7909">
        <w:rPr>
          <w:rFonts w:eastAsia="Century Schoolbook"/>
          <w:sz w:val="26"/>
          <w:szCs w:val="26"/>
        </w:rPr>
        <w:tab/>
      </w:r>
      <w:r w:rsidRPr="008E7909">
        <w:rPr>
          <w:rFonts w:eastAsia="Century Schoolbook"/>
          <w:sz w:val="26"/>
          <w:szCs w:val="26"/>
        </w:rPr>
        <w:tab/>
      </w:r>
      <w:r w:rsidRPr="008E7909">
        <w:rPr>
          <w:rFonts w:eastAsia="Century Schoolbook"/>
          <w:sz w:val="26"/>
          <w:szCs w:val="26"/>
        </w:rPr>
        <w:tab/>
      </w:r>
      <w:r w:rsidRPr="008E7909">
        <w:rPr>
          <w:rFonts w:eastAsia="Century Schoolbook"/>
          <w:sz w:val="26"/>
          <w:szCs w:val="26"/>
        </w:rPr>
        <w:tab/>
      </w:r>
      <w:r w:rsidRPr="008E7909">
        <w:rPr>
          <w:rFonts w:eastAsia="Century Schoolbook"/>
          <w:sz w:val="26"/>
          <w:szCs w:val="26"/>
        </w:rPr>
        <w:tab/>
        <w:t>)</w:t>
      </w:r>
    </w:p>
    <w:p w14:paraId="3A09EE98" w14:textId="77777777" w:rsidR="00FE283B" w:rsidRPr="008E7909" w:rsidRDefault="00FE283B" w:rsidP="00FE283B">
      <w:pPr>
        <w:spacing w:line="240" w:lineRule="auto"/>
        <w:rPr>
          <w:rFonts w:eastAsia="Century Schoolbook"/>
          <w:sz w:val="26"/>
          <w:szCs w:val="26"/>
        </w:rPr>
      </w:pPr>
      <w:r w:rsidRPr="008E7909">
        <w:rPr>
          <w:rFonts w:eastAsia="Century Schoolbook"/>
          <w:sz w:val="26"/>
          <w:szCs w:val="26"/>
        </w:rPr>
        <w:t xml:space="preserve">Telecommunications Relay Services </w:t>
      </w:r>
      <w:r w:rsidRPr="008E7909">
        <w:rPr>
          <w:rFonts w:eastAsia="Century Schoolbook"/>
          <w:sz w:val="26"/>
          <w:szCs w:val="26"/>
        </w:rPr>
        <w:tab/>
        <w:t>)</w:t>
      </w:r>
    </w:p>
    <w:p w14:paraId="2A131CC1" w14:textId="77777777" w:rsidR="00FE283B" w:rsidRPr="008E7909" w:rsidRDefault="00FE283B" w:rsidP="00FE283B">
      <w:pPr>
        <w:spacing w:line="240" w:lineRule="auto"/>
        <w:rPr>
          <w:rFonts w:eastAsia="Century Schoolbook"/>
          <w:sz w:val="26"/>
          <w:szCs w:val="26"/>
        </w:rPr>
      </w:pPr>
      <w:r w:rsidRPr="008E7909">
        <w:rPr>
          <w:rFonts w:eastAsia="Century Schoolbook"/>
          <w:sz w:val="26"/>
          <w:szCs w:val="26"/>
        </w:rPr>
        <w:t>and Speech-to-Speech Services</w:t>
      </w:r>
      <w:r w:rsidRPr="008E7909">
        <w:rPr>
          <w:rFonts w:eastAsia="Century Schoolbook"/>
          <w:sz w:val="26"/>
          <w:szCs w:val="26"/>
        </w:rPr>
        <w:tab/>
      </w:r>
      <w:r w:rsidRPr="008E7909">
        <w:rPr>
          <w:rFonts w:eastAsia="Century Schoolbook"/>
          <w:sz w:val="26"/>
          <w:szCs w:val="26"/>
        </w:rPr>
        <w:tab/>
        <w:t xml:space="preserve">) </w:t>
      </w:r>
      <w:r w:rsidRPr="008E7909">
        <w:rPr>
          <w:rFonts w:eastAsia="Century Schoolbook"/>
          <w:sz w:val="26"/>
          <w:szCs w:val="26"/>
        </w:rPr>
        <w:tab/>
      </w:r>
      <w:r w:rsidRPr="008E7909">
        <w:rPr>
          <w:rFonts w:eastAsia="Century Schoolbook"/>
          <w:sz w:val="26"/>
          <w:szCs w:val="26"/>
        </w:rPr>
        <w:tab/>
        <w:t>CG Docket No. 03-123</w:t>
      </w:r>
    </w:p>
    <w:p w14:paraId="3A42E24B" w14:textId="77777777" w:rsidR="00FE283B" w:rsidRPr="008E7909" w:rsidRDefault="00FE283B" w:rsidP="00FE283B">
      <w:pPr>
        <w:spacing w:line="240" w:lineRule="auto"/>
        <w:rPr>
          <w:rFonts w:eastAsia="Century Schoolbook"/>
          <w:sz w:val="26"/>
          <w:szCs w:val="26"/>
        </w:rPr>
      </w:pPr>
      <w:r w:rsidRPr="008E7909">
        <w:rPr>
          <w:rFonts w:eastAsia="Century Schoolbook"/>
          <w:sz w:val="26"/>
          <w:szCs w:val="26"/>
        </w:rPr>
        <w:t>for Individuals with Hearing</w:t>
      </w:r>
      <w:r w:rsidRPr="008E7909">
        <w:rPr>
          <w:rFonts w:eastAsia="Century Schoolbook"/>
          <w:sz w:val="26"/>
          <w:szCs w:val="26"/>
        </w:rPr>
        <w:tab/>
      </w:r>
      <w:r w:rsidRPr="008E7909">
        <w:rPr>
          <w:rFonts w:eastAsia="Century Schoolbook"/>
          <w:sz w:val="26"/>
          <w:szCs w:val="26"/>
        </w:rPr>
        <w:tab/>
        <w:t>)</w:t>
      </w:r>
    </w:p>
    <w:p w14:paraId="32F02A58" w14:textId="77777777" w:rsidR="00FE283B" w:rsidRPr="008E7909" w:rsidRDefault="00FE283B" w:rsidP="00FE283B">
      <w:pPr>
        <w:spacing w:line="240" w:lineRule="auto"/>
        <w:rPr>
          <w:rFonts w:eastAsia="Century Schoolbook"/>
          <w:sz w:val="26"/>
          <w:szCs w:val="26"/>
        </w:rPr>
      </w:pPr>
      <w:r w:rsidRPr="008E7909">
        <w:rPr>
          <w:rFonts w:eastAsia="Century Schoolbook"/>
          <w:sz w:val="26"/>
          <w:szCs w:val="26"/>
        </w:rPr>
        <w:t>and Speech Disabilities</w:t>
      </w:r>
      <w:r w:rsidRPr="008E7909">
        <w:rPr>
          <w:rFonts w:eastAsia="Century Schoolbook"/>
          <w:sz w:val="26"/>
          <w:szCs w:val="26"/>
        </w:rPr>
        <w:tab/>
      </w:r>
      <w:r w:rsidRPr="008E7909">
        <w:rPr>
          <w:rFonts w:eastAsia="Century Schoolbook"/>
          <w:sz w:val="26"/>
          <w:szCs w:val="26"/>
        </w:rPr>
        <w:tab/>
      </w:r>
      <w:r w:rsidRPr="008E7909">
        <w:rPr>
          <w:rFonts w:eastAsia="Century Schoolbook"/>
          <w:sz w:val="26"/>
          <w:szCs w:val="26"/>
        </w:rPr>
        <w:tab/>
        <w:t>)</w:t>
      </w:r>
    </w:p>
    <w:p w14:paraId="4295364E" w14:textId="77777777" w:rsidR="00FE283B" w:rsidRPr="008E7909" w:rsidRDefault="00FE283B" w:rsidP="00FE283B">
      <w:pPr>
        <w:spacing w:line="240" w:lineRule="auto"/>
        <w:rPr>
          <w:rFonts w:eastAsia="Century Schoolbook"/>
          <w:sz w:val="26"/>
          <w:szCs w:val="26"/>
        </w:rPr>
      </w:pPr>
    </w:p>
    <w:p w14:paraId="71511AFC" w14:textId="77777777" w:rsidR="00FE283B" w:rsidRPr="008E7909" w:rsidRDefault="00FE283B" w:rsidP="00665A1F">
      <w:pPr>
        <w:spacing w:line="240" w:lineRule="auto"/>
        <w:jc w:val="center"/>
        <w:textAlignment w:val="baseline"/>
        <w:rPr>
          <w:rFonts w:eastAsia="Times New Roman"/>
          <w:b/>
          <w:color w:val="000000"/>
          <w:sz w:val="26"/>
          <w:szCs w:val="26"/>
        </w:rPr>
      </w:pPr>
    </w:p>
    <w:p w14:paraId="4F852EC8" w14:textId="77777777" w:rsidR="00665A1F" w:rsidRPr="008E7909" w:rsidRDefault="00603DAB" w:rsidP="00665A1F">
      <w:pPr>
        <w:spacing w:line="240" w:lineRule="auto"/>
        <w:jc w:val="center"/>
        <w:textAlignment w:val="baseline"/>
        <w:rPr>
          <w:rFonts w:eastAsia="Times New Roman"/>
          <w:b/>
          <w:color w:val="000000"/>
          <w:sz w:val="26"/>
          <w:szCs w:val="26"/>
        </w:rPr>
      </w:pPr>
      <w:r>
        <w:rPr>
          <w:rFonts w:eastAsia="Times New Roman"/>
          <w:b/>
          <w:color w:val="000000"/>
          <w:sz w:val="26"/>
          <w:szCs w:val="26"/>
        </w:rPr>
        <w:t xml:space="preserve">REPLY </w:t>
      </w:r>
      <w:r w:rsidR="00597FF6" w:rsidRPr="008E7909">
        <w:rPr>
          <w:rFonts w:eastAsia="Times New Roman"/>
          <w:b/>
          <w:color w:val="000000"/>
          <w:sz w:val="26"/>
          <w:szCs w:val="26"/>
        </w:rPr>
        <w:t>COMMENTS OF THE</w:t>
      </w:r>
    </w:p>
    <w:p w14:paraId="43608499" w14:textId="77777777" w:rsidR="00517DFA" w:rsidRPr="008E7909" w:rsidRDefault="00597FF6" w:rsidP="00665A1F">
      <w:pPr>
        <w:jc w:val="center"/>
        <w:textAlignment w:val="baseline"/>
        <w:rPr>
          <w:rFonts w:eastAsia="Times New Roman"/>
          <w:b/>
          <w:color w:val="000000"/>
          <w:sz w:val="26"/>
          <w:szCs w:val="26"/>
        </w:rPr>
      </w:pPr>
      <w:r w:rsidRPr="008E7909">
        <w:rPr>
          <w:rFonts w:eastAsia="Times New Roman"/>
          <w:b/>
          <w:color w:val="000000"/>
          <w:sz w:val="26"/>
          <w:szCs w:val="26"/>
        </w:rPr>
        <w:t>PENNSYLVANIA PUBLIC UTILITY COMMISSION</w:t>
      </w:r>
    </w:p>
    <w:p w14:paraId="68CBC888" w14:textId="77777777" w:rsidR="009F3F28" w:rsidRPr="008E7909" w:rsidRDefault="009F3F28" w:rsidP="00665A1F">
      <w:pPr>
        <w:jc w:val="center"/>
        <w:textAlignment w:val="baseline"/>
        <w:rPr>
          <w:rFonts w:eastAsia="Times New Roman"/>
          <w:b/>
          <w:color w:val="000000"/>
          <w:sz w:val="26"/>
          <w:szCs w:val="26"/>
        </w:rPr>
      </w:pPr>
    </w:p>
    <w:p w14:paraId="6CD8F946" w14:textId="51DE148E" w:rsidR="006757F8" w:rsidRPr="006757F8" w:rsidRDefault="006757F8" w:rsidP="00316773">
      <w:pPr>
        <w:tabs>
          <w:tab w:val="left" w:pos="720"/>
        </w:tabs>
        <w:textAlignment w:val="baseline"/>
        <w:rPr>
          <w:rFonts w:eastAsia="Times New Roman"/>
          <w:color w:val="000000"/>
          <w:spacing w:val="-1"/>
          <w:sz w:val="26"/>
          <w:szCs w:val="26"/>
        </w:rPr>
      </w:pPr>
      <w:r>
        <w:rPr>
          <w:rFonts w:eastAsia="Times New Roman"/>
          <w:color w:val="000000"/>
          <w:spacing w:val="-1"/>
          <w:sz w:val="26"/>
          <w:szCs w:val="26"/>
        </w:rPr>
        <w:tab/>
      </w:r>
      <w:r w:rsidRPr="006757F8">
        <w:rPr>
          <w:rFonts w:eastAsia="Times New Roman"/>
          <w:color w:val="000000"/>
          <w:spacing w:val="-1"/>
          <w:sz w:val="26"/>
          <w:szCs w:val="26"/>
        </w:rPr>
        <w:t xml:space="preserve">On June 7, 2018, the Federal Communications Commission (Commission) released a </w:t>
      </w:r>
      <w:r w:rsidRPr="006757F8">
        <w:rPr>
          <w:rFonts w:eastAsia="Times New Roman"/>
          <w:i/>
          <w:color w:val="000000"/>
          <w:spacing w:val="-1"/>
          <w:sz w:val="26"/>
          <w:szCs w:val="26"/>
        </w:rPr>
        <w:t>Further Notice of Proposed Rulemaking</w:t>
      </w:r>
      <w:r w:rsidRPr="006757F8">
        <w:rPr>
          <w:rFonts w:eastAsia="Times New Roman"/>
          <w:color w:val="000000"/>
          <w:spacing w:val="-1"/>
          <w:sz w:val="26"/>
          <w:szCs w:val="26"/>
        </w:rPr>
        <w:t xml:space="preserve"> (</w:t>
      </w:r>
      <w:r w:rsidRPr="006757F8">
        <w:rPr>
          <w:rFonts w:eastAsia="Times New Roman"/>
          <w:i/>
          <w:color w:val="000000"/>
          <w:spacing w:val="-1"/>
          <w:sz w:val="26"/>
          <w:szCs w:val="26"/>
        </w:rPr>
        <w:t>FNPRM</w:t>
      </w:r>
      <w:r w:rsidRPr="006757F8">
        <w:rPr>
          <w:rFonts w:eastAsia="Times New Roman"/>
          <w:color w:val="000000"/>
          <w:spacing w:val="-1"/>
          <w:sz w:val="26"/>
          <w:szCs w:val="26"/>
        </w:rPr>
        <w:t xml:space="preserve">), in which it proposed, </w:t>
      </w:r>
      <w:r w:rsidRPr="006757F8">
        <w:rPr>
          <w:rFonts w:eastAsia="Times New Roman"/>
          <w:i/>
          <w:color w:val="000000"/>
          <w:spacing w:val="-1"/>
          <w:sz w:val="26"/>
          <w:szCs w:val="26"/>
        </w:rPr>
        <w:t>inter alia</w:t>
      </w:r>
      <w:r w:rsidRPr="006757F8">
        <w:rPr>
          <w:rFonts w:eastAsia="Times New Roman"/>
          <w:color w:val="000000"/>
          <w:spacing w:val="-1"/>
          <w:sz w:val="26"/>
          <w:szCs w:val="26"/>
        </w:rPr>
        <w:t>, further changes to the rules and compensation structure for Internet Protocol Captioned Telephone Service (IP CTS) calls to ensure that they remain sustainable for those individuals who need to use this form o</w:t>
      </w:r>
      <w:r>
        <w:rPr>
          <w:rFonts w:eastAsia="Times New Roman"/>
          <w:color w:val="000000"/>
          <w:spacing w:val="-1"/>
          <w:sz w:val="26"/>
          <w:szCs w:val="26"/>
        </w:rPr>
        <w:t>f</w:t>
      </w:r>
      <w:r w:rsidRPr="006757F8">
        <w:rPr>
          <w:rFonts w:eastAsia="Times New Roman"/>
          <w:color w:val="000000"/>
          <w:spacing w:val="-1"/>
          <w:sz w:val="26"/>
          <w:szCs w:val="26"/>
        </w:rPr>
        <w:t xml:space="preserve"> telecommunications relay service.</w:t>
      </w:r>
      <w:r w:rsidRPr="006757F8">
        <w:rPr>
          <w:rFonts w:eastAsia="Times New Roman"/>
          <w:color w:val="000000"/>
          <w:spacing w:val="-1"/>
          <w:sz w:val="26"/>
          <w:szCs w:val="26"/>
          <w:vertAlign w:val="superscript"/>
        </w:rPr>
        <w:footnoteReference w:id="3"/>
      </w:r>
      <w:r w:rsidRPr="006757F8">
        <w:rPr>
          <w:rFonts w:eastAsia="Times New Roman"/>
          <w:color w:val="000000"/>
          <w:spacing w:val="-1"/>
          <w:sz w:val="26"/>
          <w:szCs w:val="26"/>
        </w:rPr>
        <w:t xml:space="preserve">  The Commission published in the Federal Register the </w:t>
      </w:r>
      <w:r w:rsidRPr="006757F8">
        <w:rPr>
          <w:rFonts w:eastAsia="Times New Roman"/>
          <w:i/>
          <w:color w:val="000000"/>
          <w:spacing w:val="-1"/>
          <w:sz w:val="26"/>
          <w:szCs w:val="26"/>
        </w:rPr>
        <w:t>FNPRM</w:t>
      </w:r>
      <w:r w:rsidRPr="006757F8">
        <w:rPr>
          <w:rFonts w:eastAsia="Times New Roman"/>
          <w:color w:val="000000"/>
          <w:spacing w:val="-1"/>
          <w:sz w:val="26"/>
          <w:szCs w:val="26"/>
        </w:rPr>
        <w:t xml:space="preserve"> on IP CTS, announcing comment and reply dates.</w:t>
      </w:r>
      <w:r w:rsidRPr="006757F8">
        <w:rPr>
          <w:rFonts w:eastAsia="Times New Roman"/>
          <w:color w:val="000000"/>
          <w:spacing w:val="-1"/>
          <w:sz w:val="26"/>
          <w:szCs w:val="26"/>
          <w:vertAlign w:val="superscript"/>
        </w:rPr>
        <w:footnoteReference w:id="4"/>
      </w:r>
      <w:r w:rsidRPr="006757F8">
        <w:rPr>
          <w:rFonts w:eastAsia="Times New Roman"/>
          <w:color w:val="000000"/>
          <w:spacing w:val="-1"/>
          <w:sz w:val="26"/>
          <w:szCs w:val="26"/>
        </w:rPr>
        <w:t xml:space="preserve">  In accordance with the filing schedule, the Pennsylvania Public Utility Commission (Pa. PUC) submitted </w:t>
      </w:r>
      <w:r w:rsidR="00A35709">
        <w:rPr>
          <w:rFonts w:eastAsia="Times New Roman"/>
          <w:color w:val="000000"/>
          <w:spacing w:val="-1"/>
          <w:sz w:val="26"/>
          <w:szCs w:val="26"/>
        </w:rPr>
        <w:t xml:space="preserve">initial </w:t>
      </w:r>
      <w:bookmarkStart w:id="0" w:name="_GoBack"/>
      <w:bookmarkEnd w:id="0"/>
      <w:r w:rsidR="00114FA9">
        <w:rPr>
          <w:rFonts w:eastAsia="Times New Roman"/>
          <w:color w:val="000000"/>
          <w:spacing w:val="-1"/>
          <w:sz w:val="26"/>
          <w:szCs w:val="26"/>
        </w:rPr>
        <w:t>c</w:t>
      </w:r>
      <w:r w:rsidRPr="006757F8">
        <w:rPr>
          <w:rFonts w:eastAsia="Times New Roman"/>
          <w:color w:val="000000"/>
          <w:spacing w:val="-1"/>
          <w:sz w:val="26"/>
          <w:szCs w:val="26"/>
        </w:rPr>
        <w:t xml:space="preserve">omments on the </w:t>
      </w:r>
      <w:r w:rsidRPr="006757F8">
        <w:rPr>
          <w:rFonts w:eastAsia="Times New Roman"/>
          <w:i/>
          <w:color w:val="000000"/>
          <w:spacing w:val="-1"/>
          <w:sz w:val="26"/>
          <w:szCs w:val="26"/>
        </w:rPr>
        <w:t>FNPRM</w:t>
      </w:r>
      <w:r w:rsidRPr="006757F8">
        <w:rPr>
          <w:rFonts w:eastAsia="Times New Roman"/>
          <w:color w:val="000000"/>
          <w:spacing w:val="-1"/>
          <w:sz w:val="26"/>
          <w:szCs w:val="26"/>
        </w:rPr>
        <w:t xml:space="preserve"> </w:t>
      </w:r>
      <w:r w:rsidRPr="006757F8">
        <w:rPr>
          <w:rFonts w:eastAsia="Times New Roman"/>
          <w:bCs/>
          <w:color w:val="000000"/>
          <w:spacing w:val="-1"/>
          <w:sz w:val="26"/>
          <w:szCs w:val="26"/>
        </w:rPr>
        <w:t>on September 17, 2018.  The Pa. PUC now submits these reply comments in this proceeding</w:t>
      </w:r>
      <w:r w:rsidRPr="006757F8">
        <w:rPr>
          <w:rFonts w:eastAsia="Times New Roman"/>
          <w:color w:val="000000"/>
          <w:spacing w:val="-1"/>
          <w:sz w:val="26"/>
          <w:szCs w:val="26"/>
        </w:rPr>
        <w:t xml:space="preserve">. </w:t>
      </w:r>
    </w:p>
    <w:p w14:paraId="5ADFD389" w14:textId="77777777" w:rsidR="00722057" w:rsidRPr="008E7909" w:rsidRDefault="00722057" w:rsidP="008E7909">
      <w:pPr>
        <w:autoSpaceDE w:val="0"/>
        <w:autoSpaceDN w:val="0"/>
        <w:adjustRightInd w:val="0"/>
        <w:rPr>
          <w:rFonts w:eastAsia="Times New Roman"/>
          <w:color w:val="000000"/>
          <w:spacing w:val="-1"/>
          <w:sz w:val="26"/>
          <w:szCs w:val="26"/>
        </w:rPr>
      </w:pPr>
    </w:p>
    <w:p w14:paraId="57C31831" w14:textId="77777777" w:rsidR="00250720" w:rsidRDefault="00250720" w:rsidP="00665A1F">
      <w:pPr>
        <w:ind w:right="144" w:firstLine="720"/>
        <w:textAlignment w:val="baseline"/>
        <w:rPr>
          <w:rFonts w:eastAsia="Times New Roman"/>
          <w:color w:val="000000"/>
          <w:sz w:val="26"/>
          <w:szCs w:val="26"/>
        </w:rPr>
      </w:pPr>
      <w:r w:rsidRPr="008E7909">
        <w:rPr>
          <w:rFonts w:eastAsia="Times New Roman"/>
          <w:color w:val="000000"/>
          <w:sz w:val="26"/>
          <w:szCs w:val="26"/>
        </w:rPr>
        <w:lastRenderedPageBreak/>
        <w:t xml:space="preserve">As an initial matter, these </w:t>
      </w:r>
      <w:r w:rsidR="00DD6373">
        <w:rPr>
          <w:rFonts w:eastAsia="Times New Roman"/>
          <w:color w:val="000000"/>
          <w:sz w:val="26"/>
          <w:szCs w:val="26"/>
        </w:rPr>
        <w:t xml:space="preserve">reply </w:t>
      </w:r>
      <w:r w:rsidR="009E0C06" w:rsidRPr="008E7909">
        <w:rPr>
          <w:rFonts w:eastAsia="Times New Roman"/>
          <w:color w:val="000000"/>
          <w:sz w:val="26"/>
          <w:szCs w:val="26"/>
        </w:rPr>
        <w:t>c</w:t>
      </w:r>
      <w:r w:rsidRPr="008E7909">
        <w:rPr>
          <w:rFonts w:eastAsia="Times New Roman"/>
          <w:color w:val="000000"/>
          <w:sz w:val="26"/>
          <w:szCs w:val="26"/>
        </w:rPr>
        <w:t>omments should not be construed as binding on the Pa</w:t>
      </w:r>
      <w:r w:rsidR="009E0C06" w:rsidRPr="008E7909">
        <w:rPr>
          <w:rFonts w:eastAsia="Times New Roman"/>
          <w:color w:val="000000"/>
          <w:sz w:val="26"/>
          <w:szCs w:val="26"/>
        </w:rPr>
        <w:t xml:space="preserve">. </w:t>
      </w:r>
      <w:r w:rsidRPr="008E7909">
        <w:rPr>
          <w:rFonts w:eastAsia="Times New Roman"/>
          <w:color w:val="000000"/>
          <w:sz w:val="26"/>
          <w:szCs w:val="26"/>
        </w:rPr>
        <w:t>PUC in any matter before the Pa</w:t>
      </w:r>
      <w:r w:rsidR="009E0C06" w:rsidRPr="008E7909">
        <w:rPr>
          <w:rFonts w:eastAsia="Times New Roman"/>
          <w:color w:val="000000"/>
          <w:sz w:val="26"/>
          <w:szCs w:val="26"/>
        </w:rPr>
        <w:t xml:space="preserve">. </w:t>
      </w:r>
      <w:r w:rsidRPr="008E7909">
        <w:rPr>
          <w:rFonts w:eastAsia="Times New Roman"/>
          <w:color w:val="000000"/>
          <w:sz w:val="26"/>
          <w:szCs w:val="26"/>
        </w:rPr>
        <w:t xml:space="preserve">PUC.  Moreover, the </w:t>
      </w:r>
      <w:r w:rsidR="009E0C06" w:rsidRPr="008E7909">
        <w:rPr>
          <w:rFonts w:eastAsia="Times New Roman"/>
          <w:color w:val="000000"/>
          <w:sz w:val="26"/>
          <w:szCs w:val="26"/>
        </w:rPr>
        <w:t>Pa. PUC</w:t>
      </w:r>
      <w:r w:rsidRPr="008E7909">
        <w:rPr>
          <w:rFonts w:eastAsia="Times New Roman"/>
          <w:color w:val="000000"/>
          <w:sz w:val="26"/>
          <w:szCs w:val="26"/>
        </w:rPr>
        <w:t xml:space="preserve">’s position set forth in these </w:t>
      </w:r>
      <w:r w:rsidR="00603DAB">
        <w:rPr>
          <w:rFonts w:eastAsia="Times New Roman"/>
          <w:color w:val="000000"/>
          <w:sz w:val="26"/>
          <w:szCs w:val="26"/>
        </w:rPr>
        <w:t xml:space="preserve">reply </w:t>
      </w:r>
      <w:r w:rsidR="009E0C06" w:rsidRPr="008E7909">
        <w:rPr>
          <w:rFonts w:eastAsia="Times New Roman"/>
          <w:color w:val="000000"/>
          <w:sz w:val="26"/>
          <w:szCs w:val="26"/>
        </w:rPr>
        <w:t>c</w:t>
      </w:r>
      <w:r w:rsidRPr="008E7909">
        <w:rPr>
          <w:rFonts w:eastAsia="Times New Roman"/>
          <w:color w:val="000000"/>
          <w:sz w:val="26"/>
          <w:szCs w:val="26"/>
        </w:rPr>
        <w:t xml:space="preserve">omments could change in response to later events, including </w:t>
      </w:r>
      <w:r w:rsidR="00BF1B2B" w:rsidRPr="008E7909">
        <w:rPr>
          <w:rFonts w:eastAsia="Times New Roman"/>
          <w:i/>
          <w:color w:val="000000"/>
          <w:sz w:val="26"/>
          <w:szCs w:val="26"/>
        </w:rPr>
        <w:t>E</w:t>
      </w:r>
      <w:r w:rsidRPr="008E7909">
        <w:rPr>
          <w:rFonts w:eastAsia="Times New Roman"/>
          <w:i/>
          <w:color w:val="000000"/>
          <w:sz w:val="26"/>
          <w:szCs w:val="26"/>
        </w:rPr>
        <w:t xml:space="preserve">x </w:t>
      </w:r>
      <w:r w:rsidR="00BF1B2B" w:rsidRPr="008E7909">
        <w:rPr>
          <w:rFonts w:eastAsia="Times New Roman"/>
          <w:i/>
          <w:color w:val="000000"/>
          <w:sz w:val="26"/>
          <w:szCs w:val="26"/>
        </w:rPr>
        <w:t>P</w:t>
      </w:r>
      <w:r w:rsidRPr="008E7909">
        <w:rPr>
          <w:rFonts w:eastAsia="Times New Roman"/>
          <w:i/>
          <w:color w:val="000000"/>
          <w:sz w:val="26"/>
          <w:szCs w:val="26"/>
        </w:rPr>
        <w:t>arte</w:t>
      </w:r>
      <w:r w:rsidRPr="008E7909">
        <w:rPr>
          <w:rFonts w:eastAsia="Times New Roman"/>
          <w:color w:val="000000"/>
          <w:sz w:val="26"/>
          <w:szCs w:val="26"/>
        </w:rPr>
        <w:t xml:space="preserve"> filings, legal proceedings</w:t>
      </w:r>
      <w:r w:rsidR="005C1FF5" w:rsidRPr="008E7909">
        <w:rPr>
          <w:rFonts w:eastAsia="Times New Roman"/>
          <w:color w:val="000000"/>
          <w:sz w:val="26"/>
          <w:szCs w:val="26"/>
        </w:rPr>
        <w:t>,</w:t>
      </w:r>
      <w:r w:rsidRPr="008E7909">
        <w:rPr>
          <w:rFonts w:eastAsia="Times New Roman"/>
          <w:color w:val="000000"/>
          <w:sz w:val="26"/>
          <w:szCs w:val="26"/>
        </w:rPr>
        <w:t xml:space="preserve"> or other regulatory developments at the state or federal level.  Lastly, the </w:t>
      </w:r>
      <w:r w:rsidR="00603DAB">
        <w:rPr>
          <w:rFonts w:eastAsia="Times New Roman"/>
          <w:color w:val="000000"/>
          <w:sz w:val="26"/>
          <w:szCs w:val="26"/>
        </w:rPr>
        <w:t xml:space="preserve">reply </w:t>
      </w:r>
      <w:r w:rsidR="009E0C06" w:rsidRPr="008E7909">
        <w:rPr>
          <w:rFonts w:eastAsia="Times New Roman"/>
          <w:color w:val="000000"/>
          <w:sz w:val="26"/>
          <w:szCs w:val="26"/>
        </w:rPr>
        <w:t>c</w:t>
      </w:r>
      <w:r w:rsidRPr="008E7909">
        <w:rPr>
          <w:rFonts w:eastAsia="Times New Roman"/>
          <w:color w:val="000000"/>
          <w:sz w:val="26"/>
          <w:szCs w:val="26"/>
        </w:rPr>
        <w:t xml:space="preserve">omments build upon </w:t>
      </w:r>
      <w:r w:rsidR="009F3F28" w:rsidRPr="008E7909">
        <w:rPr>
          <w:rFonts w:eastAsia="Times New Roman"/>
          <w:color w:val="000000"/>
          <w:sz w:val="26"/>
          <w:szCs w:val="26"/>
        </w:rPr>
        <w:t xml:space="preserve">and </w:t>
      </w:r>
      <w:r w:rsidR="00603DAB">
        <w:rPr>
          <w:rFonts w:eastAsia="Times New Roman"/>
          <w:color w:val="000000"/>
          <w:sz w:val="26"/>
          <w:szCs w:val="26"/>
        </w:rPr>
        <w:t xml:space="preserve">may </w:t>
      </w:r>
      <w:r w:rsidR="009F3F28" w:rsidRPr="008E7909">
        <w:rPr>
          <w:rFonts w:eastAsia="Times New Roman"/>
          <w:color w:val="000000"/>
          <w:sz w:val="26"/>
          <w:szCs w:val="26"/>
        </w:rPr>
        <w:t xml:space="preserve">incorporate by reference </w:t>
      </w:r>
      <w:r w:rsidRPr="008E7909">
        <w:rPr>
          <w:rFonts w:eastAsia="Times New Roman"/>
          <w:color w:val="000000"/>
          <w:sz w:val="26"/>
          <w:szCs w:val="26"/>
        </w:rPr>
        <w:t xml:space="preserve">prior filings of the </w:t>
      </w:r>
      <w:r w:rsidR="009E0C06" w:rsidRPr="008E7909">
        <w:rPr>
          <w:rFonts w:eastAsia="Times New Roman"/>
          <w:color w:val="000000"/>
          <w:sz w:val="26"/>
          <w:szCs w:val="26"/>
        </w:rPr>
        <w:t>Pa.</w:t>
      </w:r>
      <w:r w:rsidR="009F3F28" w:rsidRPr="008E7909">
        <w:rPr>
          <w:rFonts w:eastAsia="Times New Roman"/>
          <w:color w:val="000000"/>
          <w:sz w:val="26"/>
          <w:szCs w:val="26"/>
        </w:rPr>
        <w:t> </w:t>
      </w:r>
      <w:r w:rsidR="009E0C06" w:rsidRPr="008E7909">
        <w:rPr>
          <w:rFonts w:eastAsia="Times New Roman"/>
          <w:color w:val="000000"/>
          <w:sz w:val="26"/>
          <w:szCs w:val="26"/>
        </w:rPr>
        <w:t>PUC</w:t>
      </w:r>
      <w:r w:rsidRPr="008E7909">
        <w:rPr>
          <w:rFonts w:eastAsia="Times New Roman"/>
          <w:color w:val="000000"/>
          <w:sz w:val="26"/>
          <w:szCs w:val="26"/>
        </w:rPr>
        <w:t xml:space="preserve"> </w:t>
      </w:r>
      <w:r w:rsidR="00FE283B" w:rsidRPr="008E7909">
        <w:rPr>
          <w:rFonts w:eastAsia="Times New Roman"/>
          <w:color w:val="000000"/>
          <w:sz w:val="26"/>
          <w:szCs w:val="26"/>
        </w:rPr>
        <w:t>submitted in the above-captioned dockets</w:t>
      </w:r>
      <w:r w:rsidRPr="008E7909">
        <w:rPr>
          <w:rFonts w:eastAsia="Times New Roman"/>
          <w:color w:val="000000"/>
          <w:sz w:val="26"/>
          <w:szCs w:val="26"/>
        </w:rPr>
        <w:t>.</w:t>
      </w:r>
    </w:p>
    <w:p w14:paraId="7283FF71" w14:textId="77777777" w:rsidR="006757F8" w:rsidRDefault="006757F8" w:rsidP="00665A1F">
      <w:pPr>
        <w:ind w:right="144" w:firstLine="720"/>
        <w:textAlignment w:val="baseline"/>
        <w:rPr>
          <w:rFonts w:eastAsia="Times New Roman"/>
          <w:color w:val="000000"/>
          <w:sz w:val="26"/>
          <w:szCs w:val="26"/>
        </w:rPr>
      </w:pPr>
    </w:p>
    <w:p w14:paraId="4CEB849E" w14:textId="77777777" w:rsidR="006757F8" w:rsidRPr="006757F8" w:rsidRDefault="006757F8" w:rsidP="00316773">
      <w:pPr>
        <w:ind w:right="144"/>
        <w:textAlignment w:val="baseline"/>
        <w:rPr>
          <w:rFonts w:eastAsia="Times New Roman"/>
          <w:b/>
          <w:color w:val="000000"/>
          <w:sz w:val="26"/>
          <w:szCs w:val="26"/>
        </w:rPr>
      </w:pPr>
      <w:r w:rsidRPr="006757F8">
        <w:rPr>
          <w:rFonts w:eastAsia="Times New Roman"/>
          <w:b/>
          <w:color w:val="000000"/>
          <w:sz w:val="26"/>
          <w:szCs w:val="26"/>
        </w:rPr>
        <w:t>Introduction and Summary</w:t>
      </w:r>
    </w:p>
    <w:p w14:paraId="024B70E7" w14:textId="793A3454" w:rsidR="006757F8" w:rsidRPr="006757F8" w:rsidRDefault="006757F8" w:rsidP="006757F8">
      <w:pPr>
        <w:ind w:right="144" w:firstLine="720"/>
        <w:textAlignment w:val="baseline"/>
        <w:rPr>
          <w:rFonts w:eastAsia="Times New Roman"/>
          <w:color w:val="000000"/>
          <w:sz w:val="26"/>
          <w:szCs w:val="26"/>
        </w:rPr>
      </w:pPr>
      <w:r w:rsidRPr="006757F8">
        <w:rPr>
          <w:rFonts w:eastAsia="Times New Roman"/>
          <w:color w:val="000000"/>
          <w:sz w:val="26"/>
          <w:szCs w:val="26"/>
        </w:rPr>
        <w:t>Upon review of the initial comments filed by other interested parties the Pa. PUC asserts</w:t>
      </w:r>
      <w:r w:rsidR="00114FA9">
        <w:rPr>
          <w:rFonts w:eastAsia="Times New Roman"/>
          <w:color w:val="000000"/>
          <w:sz w:val="26"/>
          <w:szCs w:val="26"/>
        </w:rPr>
        <w:t xml:space="preserve"> that</w:t>
      </w:r>
      <w:r w:rsidRPr="006757F8">
        <w:rPr>
          <w:rFonts w:eastAsia="Times New Roman"/>
          <w:color w:val="000000"/>
          <w:sz w:val="26"/>
          <w:szCs w:val="26"/>
        </w:rPr>
        <w:t xml:space="preserve">: (1) the Commission should </w:t>
      </w:r>
      <w:r w:rsidR="001761F6">
        <w:rPr>
          <w:rFonts w:eastAsia="Times New Roman"/>
          <w:color w:val="000000"/>
          <w:sz w:val="26"/>
          <w:szCs w:val="26"/>
        </w:rPr>
        <w:t xml:space="preserve">adopt </w:t>
      </w:r>
      <w:r w:rsidRPr="006757F8">
        <w:rPr>
          <w:rFonts w:eastAsia="Times New Roman"/>
          <w:bCs/>
          <w:color w:val="000000"/>
          <w:sz w:val="26"/>
          <w:szCs w:val="26"/>
        </w:rPr>
        <w:t xml:space="preserve">measures to address </w:t>
      </w:r>
      <w:r w:rsidRPr="006757F8">
        <w:rPr>
          <w:rFonts w:eastAsia="Times New Roman"/>
          <w:color w:val="000000"/>
          <w:sz w:val="26"/>
          <w:szCs w:val="26"/>
        </w:rPr>
        <w:t xml:space="preserve">the uncontrolled growth, waste, and abuse of IP CTS calls at the federal level and establish uniform national standards before </w:t>
      </w:r>
      <w:r w:rsidR="001228C4">
        <w:rPr>
          <w:rFonts w:eastAsia="Times New Roman"/>
          <w:color w:val="000000"/>
          <w:sz w:val="26"/>
          <w:szCs w:val="26"/>
        </w:rPr>
        <w:t xml:space="preserve">attempting to </w:t>
      </w:r>
      <w:r w:rsidR="001228C4" w:rsidRPr="006757F8">
        <w:rPr>
          <w:rFonts w:eastAsia="Times New Roman"/>
          <w:color w:val="000000"/>
          <w:sz w:val="26"/>
          <w:szCs w:val="26"/>
        </w:rPr>
        <w:t>restructur</w:t>
      </w:r>
      <w:r w:rsidR="001228C4">
        <w:rPr>
          <w:rFonts w:eastAsia="Times New Roman"/>
          <w:color w:val="000000"/>
          <w:sz w:val="26"/>
          <w:szCs w:val="26"/>
        </w:rPr>
        <w:t>e</w:t>
      </w:r>
      <w:r w:rsidR="001228C4" w:rsidRPr="006757F8">
        <w:rPr>
          <w:rFonts w:eastAsia="Times New Roman"/>
          <w:color w:val="000000"/>
          <w:sz w:val="26"/>
          <w:szCs w:val="26"/>
        </w:rPr>
        <w:t xml:space="preserve"> </w:t>
      </w:r>
      <w:r w:rsidRPr="006757F8">
        <w:rPr>
          <w:rFonts w:eastAsia="Times New Roman"/>
          <w:color w:val="000000"/>
          <w:sz w:val="26"/>
          <w:szCs w:val="26"/>
        </w:rPr>
        <w:t>the funding of all IP CTS calls or direct</w:t>
      </w:r>
      <w:r w:rsidR="00114FA9">
        <w:rPr>
          <w:rFonts w:eastAsia="Times New Roman"/>
          <w:color w:val="000000"/>
          <w:sz w:val="26"/>
          <w:szCs w:val="26"/>
        </w:rPr>
        <w:t>ing</w:t>
      </w:r>
      <w:r w:rsidRPr="006757F8">
        <w:rPr>
          <w:rFonts w:eastAsia="Times New Roman"/>
          <w:color w:val="000000"/>
          <w:sz w:val="26"/>
          <w:szCs w:val="26"/>
        </w:rPr>
        <w:t xml:space="preserve"> state telecommunications relay services (TRS) programs to administer IP CTS</w:t>
      </w:r>
      <w:r w:rsidR="00631EB0">
        <w:rPr>
          <w:rFonts w:eastAsia="Times New Roman"/>
          <w:color w:val="000000"/>
          <w:sz w:val="26"/>
          <w:szCs w:val="26"/>
        </w:rPr>
        <w:t xml:space="preserve"> and refer</w:t>
      </w:r>
      <w:r w:rsidR="00E20FF2">
        <w:rPr>
          <w:rFonts w:eastAsia="Times New Roman"/>
          <w:color w:val="000000"/>
          <w:sz w:val="26"/>
          <w:szCs w:val="26"/>
        </w:rPr>
        <w:t>ring</w:t>
      </w:r>
      <w:r w:rsidR="00A26D40">
        <w:rPr>
          <w:rFonts w:eastAsia="Times New Roman"/>
          <w:color w:val="000000"/>
          <w:sz w:val="26"/>
          <w:szCs w:val="26"/>
        </w:rPr>
        <w:t xml:space="preserve"> </w:t>
      </w:r>
      <w:r w:rsidR="00631EB0">
        <w:rPr>
          <w:rFonts w:eastAsia="Times New Roman"/>
          <w:color w:val="000000"/>
          <w:sz w:val="26"/>
          <w:szCs w:val="26"/>
        </w:rPr>
        <w:t>the matter to the Joint Board on Separations</w:t>
      </w:r>
      <w:r w:rsidR="00E20FF2">
        <w:rPr>
          <w:rFonts w:eastAsia="Times New Roman"/>
          <w:color w:val="000000"/>
          <w:sz w:val="26"/>
          <w:szCs w:val="26"/>
        </w:rPr>
        <w:t xml:space="preserve"> to </w:t>
      </w:r>
      <w:r w:rsidR="00CD4038">
        <w:rPr>
          <w:rFonts w:eastAsia="Times New Roman"/>
          <w:color w:val="000000"/>
          <w:sz w:val="26"/>
          <w:szCs w:val="26"/>
        </w:rPr>
        <w:t xml:space="preserve">address </w:t>
      </w:r>
      <w:r w:rsidR="00E20FF2">
        <w:rPr>
          <w:rFonts w:eastAsia="Times New Roman"/>
          <w:color w:val="000000"/>
          <w:sz w:val="26"/>
          <w:szCs w:val="26"/>
        </w:rPr>
        <w:t>the jurisdictional separation of costs for IP CTS calls</w:t>
      </w:r>
      <w:r w:rsidRPr="006757F8">
        <w:rPr>
          <w:rFonts w:eastAsia="Times New Roman"/>
          <w:color w:val="000000"/>
          <w:sz w:val="26"/>
          <w:szCs w:val="26"/>
        </w:rPr>
        <w:t>; (2) while the Commission has authority over TRS pursuant to Section 225 of the Communications Act of 1934</w:t>
      </w:r>
      <w:r w:rsidR="009D1700">
        <w:rPr>
          <w:rFonts w:eastAsia="Times New Roman"/>
          <w:color w:val="000000"/>
          <w:sz w:val="26"/>
          <w:szCs w:val="26"/>
        </w:rPr>
        <w:t xml:space="preserve"> (Act)</w:t>
      </w:r>
      <w:r w:rsidRPr="006757F8">
        <w:rPr>
          <w:rFonts w:eastAsia="Times New Roman"/>
          <w:color w:val="000000"/>
          <w:sz w:val="26"/>
          <w:szCs w:val="26"/>
        </w:rPr>
        <w:t xml:space="preserve">, as amended, </w:t>
      </w:r>
      <w:r w:rsidR="00114FA9">
        <w:rPr>
          <w:rFonts w:eastAsia="Times New Roman"/>
          <w:color w:val="000000"/>
          <w:sz w:val="26"/>
          <w:szCs w:val="26"/>
        </w:rPr>
        <w:t xml:space="preserve">to promulgate regulations regarding cost recovery of the costs of intrastate IP CTS, </w:t>
      </w:r>
      <w:r w:rsidRPr="006757F8">
        <w:rPr>
          <w:rFonts w:eastAsia="Times New Roman"/>
          <w:color w:val="000000"/>
          <w:sz w:val="26"/>
          <w:szCs w:val="26"/>
        </w:rPr>
        <w:t xml:space="preserve">it does not have the statutory authority to assess </w:t>
      </w:r>
      <w:r w:rsidRPr="009B1DCA">
        <w:rPr>
          <w:rFonts w:eastAsia="Times New Roman"/>
          <w:i/>
          <w:color w:val="000000"/>
          <w:sz w:val="26"/>
          <w:szCs w:val="26"/>
        </w:rPr>
        <w:t>intrastate</w:t>
      </w:r>
      <w:r w:rsidRPr="006757F8">
        <w:rPr>
          <w:rFonts w:eastAsia="Times New Roman"/>
          <w:color w:val="000000"/>
          <w:sz w:val="26"/>
          <w:szCs w:val="26"/>
        </w:rPr>
        <w:t xml:space="preserve"> </w:t>
      </w:r>
      <w:r w:rsidRPr="009B1DCA">
        <w:rPr>
          <w:rFonts w:eastAsia="Times New Roman"/>
          <w:i/>
          <w:color w:val="000000"/>
          <w:sz w:val="26"/>
          <w:szCs w:val="26"/>
        </w:rPr>
        <w:t>revenues</w:t>
      </w:r>
      <w:r w:rsidRPr="006757F8">
        <w:rPr>
          <w:rFonts w:eastAsia="Times New Roman"/>
          <w:color w:val="000000"/>
          <w:sz w:val="26"/>
          <w:szCs w:val="26"/>
        </w:rPr>
        <w:t xml:space="preserve"> and </w:t>
      </w:r>
      <w:r w:rsidR="00114FA9">
        <w:rPr>
          <w:rFonts w:eastAsia="Times New Roman"/>
          <w:color w:val="000000"/>
          <w:sz w:val="26"/>
          <w:szCs w:val="26"/>
        </w:rPr>
        <w:t>use</w:t>
      </w:r>
      <w:r w:rsidR="00631EB0">
        <w:rPr>
          <w:rFonts w:eastAsia="Times New Roman"/>
          <w:color w:val="000000"/>
          <w:sz w:val="26"/>
          <w:szCs w:val="26"/>
        </w:rPr>
        <w:t xml:space="preserve"> </w:t>
      </w:r>
      <w:r w:rsidRPr="006757F8">
        <w:rPr>
          <w:rFonts w:eastAsia="Times New Roman"/>
          <w:color w:val="000000"/>
          <w:sz w:val="26"/>
          <w:szCs w:val="26"/>
        </w:rPr>
        <w:t xml:space="preserve">state TRS </w:t>
      </w:r>
      <w:r w:rsidR="00114FA9">
        <w:rPr>
          <w:rFonts w:eastAsia="Times New Roman"/>
          <w:color w:val="000000"/>
          <w:sz w:val="26"/>
          <w:szCs w:val="26"/>
        </w:rPr>
        <w:t>funding</w:t>
      </w:r>
      <w:r w:rsidRPr="006757F8">
        <w:rPr>
          <w:rFonts w:eastAsia="Times New Roman"/>
          <w:color w:val="000000"/>
          <w:sz w:val="26"/>
          <w:szCs w:val="26"/>
        </w:rPr>
        <w:t xml:space="preserve"> to fund the </w:t>
      </w:r>
      <w:r w:rsidR="00BD54B5">
        <w:rPr>
          <w:rFonts w:eastAsia="Times New Roman"/>
          <w:i/>
          <w:color w:val="000000"/>
          <w:sz w:val="26"/>
          <w:szCs w:val="26"/>
        </w:rPr>
        <w:t xml:space="preserve">interstate </w:t>
      </w:r>
      <w:r w:rsidRPr="006757F8">
        <w:rPr>
          <w:rFonts w:eastAsia="Times New Roman"/>
          <w:color w:val="000000"/>
          <w:sz w:val="26"/>
          <w:szCs w:val="26"/>
        </w:rPr>
        <w:t xml:space="preserve">costs of IP CTS; and (3) </w:t>
      </w:r>
      <w:r w:rsidR="00114FA9">
        <w:rPr>
          <w:rFonts w:eastAsia="Times New Roman"/>
          <w:color w:val="000000"/>
          <w:sz w:val="26"/>
          <w:szCs w:val="26"/>
        </w:rPr>
        <w:t xml:space="preserve">the Commission should affirm that because </w:t>
      </w:r>
      <w:r w:rsidRPr="006757F8">
        <w:rPr>
          <w:rFonts w:eastAsia="Times New Roman"/>
          <w:color w:val="000000"/>
          <w:sz w:val="26"/>
          <w:szCs w:val="26"/>
        </w:rPr>
        <w:t xml:space="preserve">IP CTS calls are severable between </w:t>
      </w:r>
      <w:r w:rsidRPr="006757F8">
        <w:rPr>
          <w:rFonts w:eastAsia="Times New Roman"/>
          <w:i/>
          <w:color w:val="000000"/>
          <w:sz w:val="26"/>
          <w:szCs w:val="26"/>
        </w:rPr>
        <w:t>interstate</w:t>
      </w:r>
      <w:r w:rsidRPr="006757F8">
        <w:rPr>
          <w:rFonts w:eastAsia="Times New Roman"/>
          <w:color w:val="000000"/>
          <w:sz w:val="26"/>
          <w:szCs w:val="26"/>
        </w:rPr>
        <w:t xml:space="preserve"> and </w:t>
      </w:r>
      <w:r w:rsidRPr="006757F8">
        <w:rPr>
          <w:rFonts w:eastAsia="Times New Roman"/>
          <w:i/>
          <w:color w:val="000000"/>
          <w:sz w:val="26"/>
          <w:szCs w:val="26"/>
        </w:rPr>
        <w:t>intrastate</w:t>
      </w:r>
      <w:r w:rsidRPr="006757F8">
        <w:rPr>
          <w:rFonts w:eastAsia="Times New Roman"/>
          <w:color w:val="000000"/>
          <w:sz w:val="26"/>
          <w:szCs w:val="26"/>
        </w:rPr>
        <w:t xml:space="preserve"> calls, the rationale of </w:t>
      </w:r>
      <w:r w:rsidRPr="006757F8">
        <w:rPr>
          <w:rFonts w:eastAsia="Times New Roman"/>
          <w:i/>
          <w:color w:val="000000"/>
          <w:sz w:val="26"/>
          <w:szCs w:val="26"/>
        </w:rPr>
        <w:t xml:space="preserve">Vonage </w:t>
      </w:r>
      <w:r w:rsidR="001228C4">
        <w:rPr>
          <w:rFonts w:eastAsia="Times New Roman"/>
          <w:i/>
          <w:color w:val="000000"/>
          <w:sz w:val="26"/>
          <w:szCs w:val="26"/>
        </w:rPr>
        <w:t>Preemption Order</w:t>
      </w:r>
      <w:r w:rsidR="00CD4038" w:rsidRPr="00CD4038">
        <w:rPr>
          <w:rFonts w:eastAsia="Times New Roman"/>
          <w:i/>
          <w:iCs/>
          <w:color w:val="000000"/>
          <w:sz w:val="26"/>
          <w:szCs w:val="26"/>
          <w:vertAlign w:val="superscript"/>
        </w:rPr>
        <w:footnoteReference w:id="5"/>
      </w:r>
      <w:r w:rsidR="001228C4">
        <w:rPr>
          <w:rFonts w:eastAsia="Times New Roman"/>
          <w:i/>
          <w:color w:val="000000"/>
          <w:sz w:val="26"/>
          <w:szCs w:val="26"/>
        </w:rPr>
        <w:t xml:space="preserve"> </w:t>
      </w:r>
      <w:r w:rsidRPr="006757F8">
        <w:rPr>
          <w:rFonts w:eastAsia="Times New Roman"/>
          <w:color w:val="000000"/>
          <w:sz w:val="26"/>
          <w:szCs w:val="26"/>
        </w:rPr>
        <w:t>is inapplicable to IP CTS and state</w:t>
      </w:r>
      <w:r w:rsidR="001761F6">
        <w:rPr>
          <w:rFonts w:eastAsia="Times New Roman"/>
          <w:color w:val="000000"/>
          <w:sz w:val="26"/>
          <w:szCs w:val="26"/>
        </w:rPr>
        <w:t>s can assess Voice</w:t>
      </w:r>
      <w:r w:rsidR="000C6DC9">
        <w:rPr>
          <w:rFonts w:eastAsia="Times New Roman"/>
          <w:color w:val="000000"/>
          <w:sz w:val="26"/>
          <w:szCs w:val="26"/>
        </w:rPr>
        <w:t>-</w:t>
      </w:r>
      <w:r w:rsidR="001761F6">
        <w:rPr>
          <w:rFonts w:eastAsia="Times New Roman"/>
          <w:color w:val="000000"/>
          <w:sz w:val="26"/>
          <w:szCs w:val="26"/>
        </w:rPr>
        <w:t>over</w:t>
      </w:r>
      <w:r w:rsidR="000C6DC9">
        <w:rPr>
          <w:rFonts w:eastAsia="Times New Roman"/>
          <w:color w:val="000000"/>
          <w:sz w:val="26"/>
          <w:szCs w:val="26"/>
        </w:rPr>
        <w:t>-</w:t>
      </w:r>
      <w:r w:rsidR="001761F6">
        <w:rPr>
          <w:rFonts w:eastAsia="Times New Roman"/>
          <w:color w:val="000000"/>
          <w:sz w:val="26"/>
          <w:szCs w:val="26"/>
        </w:rPr>
        <w:t>Internet</w:t>
      </w:r>
      <w:r w:rsidR="00631EB0">
        <w:rPr>
          <w:rFonts w:eastAsia="Times New Roman"/>
          <w:color w:val="000000"/>
          <w:sz w:val="26"/>
          <w:szCs w:val="26"/>
        </w:rPr>
        <w:t>-</w:t>
      </w:r>
      <w:r w:rsidR="001761F6">
        <w:rPr>
          <w:rFonts w:eastAsia="Times New Roman"/>
          <w:color w:val="000000"/>
          <w:sz w:val="26"/>
          <w:szCs w:val="26"/>
        </w:rPr>
        <w:t xml:space="preserve">Protocol </w:t>
      </w:r>
      <w:r w:rsidR="005545E2">
        <w:rPr>
          <w:rFonts w:eastAsia="Times New Roman"/>
          <w:color w:val="000000"/>
          <w:sz w:val="26"/>
          <w:szCs w:val="26"/>
        </w:rPr>
        <w:t xml:space="preserve">(VoIP) </w:t>
      </w:r>
      <w:r w:rsidR="001761F6">
        <w:rPr>
          <w:rFonts w:eastAsia="Times New Roman"/>
          <w:color w:val="000000"/>
          <w:sz w:val="26"/>
          <w:szCs w:val="26"/>
        </w:rPr>
        <w:t xml:space="preserve">service providers for </w:t>
      </w:r>
      <w:r w:rsidRPr="006757F8">
        <w:rPr>
          <w:rFonts w:eastAsia="Times New Roman"/>
          <w:color w:val="000000"/>
          <w:sz w:val="26"/>
          <w:szCs w:val="26"/>
        </w:rPr>
        <w:t xml:space="preserve">TRS </w:t>
      </w:r>
      <w:r w:rsidR="001761F6">
        <w:rPr>
          <w:rFonts w:eastAsia="Times New Roman"/>
          <w:color w:val="000000"/>
          <w:sz w:val="26"/>
          <w:szCs w:val="26"/>
        </w:rPr>
        <w:t xml:space="preserve">purposes and state TRS </w:t>
      </w:r>
      <w:r w:rsidRPr="006757F8">
        <w:rPr>
          <w:rFonts w:eastAsia="Times New Roman"/>
          <w:color w:val="000000"/>
          <w:sz w:val="26"/>
          <w:szCs w:val="26"/>
        </w:rPr>
        <w:t>programs have the authority to administer IP</w:t>
      </w:r>
      <w:r w:rsidR="001761F6">
        <w:rPr>
          <w:rFonts w:eastAsia="Times New Roman"/>
          <w:color w:val="000000"/>
          <w:sz w:val="26"/>
          <w:szCs w:val="26"/>
        </w:rPr>
        <w:t xml:space="preserve"> CTS</w:t>
      </w:r>
      <w:r w:rsidR="00114FA9">
        <w:rPr>
          <w:rFonts w:eastAsia="Times New Roman"/>
          <w:color w:val="000000"/>
          <w:sz w:val="26"/>
          <w:szCs w:val="26"/>
        </w:rPr>
        <w:t>.</w:t>
      </w:r>
    </w:p>
    <w:p w14:paraId="2336F6AE" w14:textId="77777777" w:rsidR="006757F8" w:rsidRDefault="006757F8" w:rsidP="00665A1F">
      <w:pPr>
        <w:ind w:right="144" w:firstLine="720"/>
        <w:textAlignment w:val="baseline"/>
        <w:rPr>
          <w:rFonts w:eastAsia="Times New Roman"/>
          <w:color w:val="000000"/>
          <w:sz w:val="26"/>
          <w:szCs w:val="26"/>
        </w:rPr>
        <w:sectPr w:rsidR="006757F8" w:rsidSect="00FF4026">
          <w:footerReference w:type="first" r:id="rId10"/>
          <w:pgSz w:w="12240" w:h="15840"/>
          <w:pgMar w:top="1440" w:right="1440" w:bottom="1440" w:left="1440" w:header="720" w:footer="720" w:gutter="0"/>
          <w:pgNumType w:start="1"/>
          <w:cols w:space="720"/>
          <w:titlePg/>
          <w:docGrid w:linePitch="299"/>
        </w:sectPr>
      </w:pPr>
    </w:p>
    <w:p w14:paraId="0EA243DD" w14:textId="149DE924" w:rsidR="0033376A" w:rsidRDefault="003367DE" w:rsidP="003367DE">
      <w:pPr>
        <w:ind w:right="144"/>
        <w:jc w:val="center"/>
        <w:textAlignment w:val="baseline"/>
        <w:rPr>
          <w:rFonts w:eastAsia="Times New Roman"/>
          <w:b/>
          <w:color w:val="000000"/>
          <w:sz w:val="26"/>
          <w:szCs w:val="26"/>
        </w:rPr>
      </w:pPr>
      <w:r w:rsidRPr="00316773">
        <w:rPr>
          <w:rFonts w:eastAsia="Times New Roman"/>
          <w:b/>
          <w:color w:val="000000"/>
          <w:sz w:val="26"/>
          <w:szCs w:val="26"/>
        </w:rPr>
        <w:lastRenderedPageBreak/>
        <w:t>DISCUSSION</w:t>
      </w:r>
    </w:p>
    <w:p w14:paraId="0905BC0F" w14:textId="77777777" w:rsidR="00FF4026" w:rsidRDefault="00FF4026" w:rsidP="003367DE">
      <w:pPr>
        <w:ind w:right="144"/>
        <w:jc w:val="center"/>
        <w:textAlignment w:val="baseline"/>
        <w:rPr>
          <w:rFonts w:eastAsia="Times New Roman"/>
          <w:b/>
          <w:color w:val="000000"/>
          <w:sz w:val="26"/>
          <w:szCs w:val="26"/>
        </w:rPr>
      </w:pPr>
    </w:p>
    <w:p w14:paraId="021226D1" w14:textId="77777777" w:rsidR="0033376A" w:rsidRDefault="0033376A" w:rsidP="003367DE">
      <w:pPr>
        <w:pStyle w:val="ListParagraph"/>
        <w:numPr>
          <w:ilvl w:val="0"/>
          <w:numId w:val="18"/>
        </w:numPr>
        <w:ind w:left="720"/>
        <w:textAlignment w:val="baseline"/>
        <w:rPr>
          <w:rFonts w:eastAsia="Times New Roman"/>
          <w:b/>
          <w:color w:val="000000"/>
          <w:sz w:val="26"/>
          <w:szCs w:val="26"/>
        </w:rPr>
      </w:pPr>
      <w:r>
        <w:rPr>
          <w:rFonts w:eastAsia="Times New Roman"/>
          <w:b/>
          <w:color w:val="000000"/>
          <w:sz w:val="26"/>
          <w:szCs w:val="26"/>
        </w:rPr>
        <w:t>W</w:t>
      </w:r>
      <w:r w:rsidRPr="0033376A">
        <w:rPr>
          <w:rFonts w:eastAsia="Times New Roman"/>
          <w:b/>
          <w:color w:val="000000"/>
          <w:sz w:val="26"/>
          <w:szCs w:val="26"/>
        </w:rPr>
        <w:t>aste, Fraud</w:t>
      </w:r>
      <w:r w:rsidR="00631EB0">
        <w:rPr>
          <w:rFonts w:eastAsia="Times New Roman"/>
          <w:b/>
          <w:color w:val="000000"/>
          <w:sz w:val="26"/>
          <w:szCs w:val="26"/>
        </w:rPr>
        <w:t>,</w:t>
      </w:r>
      <w:r w:rsidRPr="0033376A">
        <w:rPr>
          <w:rFonts w:eastAsia="Times New Roman"/>
          <w:b/>
          <w:color w:val="000000"/>
          <w:sz w:val="26"/>
          <w:szCs w:val="26"/>
        </w:rPr>
        <w:t xml:space="preserve"> Abuse </w:t>
      </w:r>
      <w:r w:rsidR="00114FA9">
        <w:rPr>
          <w:rFonts w:eastAsia="Times New Roman"/>
          <w:b/>
          <w:color w:val="000000"/>
          <w:sz w:val="26"/>
          <w:szCs w:val="26"/>
        </w:rPr>
        <w:t>A</w:t>
      </w:r>
      <w:r w:rsidRPr="0033376A">
        <w:rPr>
          <w:rFonts w:eastAsia="Times New Roman"/>
          <w:b/>
          <w:color w:val="000000"/>
          <w:sz w:val="26"/>
          <w:szCs w:val="26"/>
        </w:rPr>
        <w:t>nd Uniform Standards</w:t>
      </w:r>
      <w:r w:rsidR="001369AE">
        <w:rPr>
          <w:rFonts w:eastAsia="Times New Roman"/>
          <w:b/>
          <w:color w:val="000000"/>
          <w:sz w:val="26"/>
          <w:szCs w:val="26"/>
        </w:rPr>
        <w:t>.</w:t>
      </w:r>
    </w:p>
    <w:p w14:paraId="0D67D5E1" w14:textId="55A81C0D" w:rsidR="00044CDF" w:rsidRDefault="0033376A" w:rsidP="0033376A">
      <w:pPr>
        <w:ind w:firstLine="720"/>
        <w:textAlignment w:val="baseline"/>
        <w:rPr>
          <w:rFonts w:eastAsia="Times New Roman"/>
          <w:color w:val="000000"/>
          <w:sz w:val="26"/>
          <w:szCs w:val="26"/>
        </w:rPr>
      </w:pPr>
      <w:r>
        <w:rPr>
          <w:rFonts w:eastAsia="Times New Roman"/>
          <w:color w:val="000000"/>
          <w:sz w:val="26"/>
          <w:szCs w:val="26"/>
        </w:rPr>
        <w:t xml:space="preserve">Several commentators </w:t>
      </w:r>
      <w:r w:rsidRPr="00437C8A">
        <w:rPr>
          <w:rFonts w:eastAsia="Times New Roman"/>
          <w:color w:val="000000"/>
          <w:sz w:val="26"/>
          <w:szCs w:val="26"/>
        </w:rPr>
        <w:t>support the Commission’s efforts to focus on the waste</w:t>
      </w:r>
      <w:r w:rsidR="0074640E">
        <w:rPr>
          <w:rFonts w:eastAsia="Times New Roman"/>
          <w:color w:val="000000"/>
          <w:sz w:val="26"/>
          <w:szCs w:val="26"/>
        </w:rPr>
        <w:t xml:space="preserve">, fraud </w:t>
      </w:r>
      <w:r w:rsidRPr="00437C8A">
        <w:rPr>
          <w:rFonts w:eastAsia="Times New Roman"/>
          <w:color w:val="000000"/>
          <w:sz w:val="26"/>
          <w:szCs w:val="26"/>
        </w:rPr>
        <w:t xml:space="preserve">and abuse in IP CTS and </w:t>
      </w:r>
      <w:r w:rsidR="0074640E">
        <w:rPr>
          <w:rFonts w:eastAsia="Times New Roman"/>
          <w:color w:val="000000"/>
          <w:sz w:val="26"/>
          <w:szCs w:val="26"/>
        </w:rPr>
        <w:t xml:space="preserve">also </w:t>
      </w:r>
      <w:r w:rsidRPr="00437C8A">
        <w:rPr>
          <w:rFonts w:eastAsia="Times New Roman"/>
          <w:color w:val="000000"/>
          <w:sz w:val="26"/>
          <w:szCs w:val="26"/>
        </w:rPr>
        <w:t>encourage the Commission to continue to examine the factors contributing to the rapidly increasing size and costs for the program.</w:t>
      </w:r>
      <w:r>
        <w:rPr>
          <w:rStyle w:val="FootnoteReference"/>
          <w:rFonts w:eastAsia="Times New Roman"/>
          <w:color w:val="000000"/>
          <w:sz w:val="26"/>
          <w:szCs w:val="26"/>
        </w:rPr>
        <w:footnoteReference w:id="6"/>
      </w:r>
      <w:r>
        <w:rPr>
          <w:rFonts w:eastAsia="Times New Roman"/>
          <w:color w:val="000000"/>
          <w:sz w:val="26"/>
          <w:szCs w:val="26"/>
        </w:rPr>
        <w:t xml:space="preserve">  However, the commentators also state that </w:t>
      </w:r>
      <w:r w:rsidR="000B59A1" w:rsidRPr="000B59A1">
        <w:rPr>
          <w:rFonts w:eastAsia="Times New Roman"/>
          <w:color w:val="000000"/>
          <w:sz w:val="26"/>
          <w:szCs w:val="26"/>
        </w:rPr>
        <w:t xml:space="preserve">the </w:t>
      </w:r>
      <w:r w:rsidR="000B59A1">
        <w:rPr>
          <w:rFonts w:eastAsia="Times New Roman"/>
          <w:color w:val="000000"/>
          <w:sz w:val="26"/>
          <w:szCs w:val="26"/>
        </w:rPr>
        <w:t xml:space="preserve">Commission </w:t>
      </w:r>
      <w:r w:rsidR="000B59A1" w:rsidRPr="000B59A1">
        <w:rPr>
          <w:rFonts w:eastAsia="Times New Roman"/>
          <w:color w:val="000000"/>
          <w:sz w:val="26"/>
          <w:szCs w:val="26"/>
        </w:rPr>
        <w:t>should prioritize curbing the waste</w:t>
      </w:r>
      <w:r w:rsidR="0074640E">
        <w:rPr>
          <w:rFonts w:eastAsia="Times New Roman"/>
          <w:color w:val="000000"/>
          <w:sz w:val="26"/>
          <w:szCs w:val="26"/>
        </w:rPr>
        <w:t>, fraud</w:t>
      </w:r>
      <w:r w:rsidR="000B59A1" w:rsidRPr="000B59A1">
        <w:rPr>
          <w:rFonts w:eastAsia="Times New Roman"/>
          <w:color w:val="000000"/>
          <w:sz w:val="26"/>
          <w:szCs w:val="26"/>
        </w:rPr>
        <w:t xml:space="preserve"> and abuse of IP CTS</w:t>
      </w:r>
      <w:r w:rsidR="00E20FF2">
        <w:rPr>
          <w:rFonts w:eastAsia="Times New Roman"/>
          <w:color w:val="000000"/>
          <w:sz w:val="26"/>
          <w:szCs w:val="26"/>
        </w:rPr>
        <w:t xml:space="preserve"> before</w:t>
      </w:r>
      <w:r w:rsidR="00E20FF2" w:rsidRPr="00E20FF2">
        <w:rPr>
          <w:rFonts w:eastAsia="Times New Roman"/>
          <w:color w:val="000000"/>
          <w:sz w:val="26"/>
          <w:szCs w:val="26"/>
        </w:rPr>
        <w:t xml:space="preserve"> </w:t>
      </w:r>
      <w:r w:rsidR="00CD4038">
        <w:rPr>
          <w:rFonts w:eastAsia="Times New Roman"/>
          <w:color w:val="000000"/>
          <w:sz w:val="26"/>
          <w:szCs w:val="26"/>
        </w:rPr>
        <w:t xml:space="preserve">attempting to restructure </w:t>
      </w:r>
      <w:r w:rsidR="00E20FF2" w:rsidRPr="000B59A1">
        <w:rPr>
          <w:rFonts w:eastAsia="Times New Roman"/>
          <w:color w:val="000000"/>
          <w:sz w:val="26"/>
          <w:szCs w:val="26"/>
        </w:rPr>
        <w:t xml:space="preserve">IP CTS </w:t>
      </w:r>
      <w:r w:rsidR="00CD4038">
        <w:rPr>
          <w:rFonts w:eastAsia="Times New Roman"/>
          <w:color w:val="000000"/>
          <w:sz w:val="26"/>
          <w:szCs w:val="26"/>
        </w:rPr>
        <w:t xml:space="preserve">funding </w:t>
      </w:r>
      <w:r w:rsidR="00B54132">
        <w:rPr>
          <w:rFonts w:eastAsia="Times New Roman"/>
          <w:color w:val="000000"/>
          <w:sz w:val="26"/>
          <w:szCs w:val="26"/>
        </w:rPr>
        <w:t xml:space="preserve">and </w:t>
      </w:r>
      <w:r w:rsidR="00E20FF2">
        <w:rPr>
          <w:rFonts w:eastAsia="Times New Roman"/>
          <w:color w:val="000000"/>
          <w:sz w:val="26"/>
          <w:szCs w:val="26"/>
        </w:rPr>
        <w:t>shifting its focus to state administration and the referral of the jurisdictional separations of these calls to the Federal-</w:t>
      </w:r>
      <w:r w:rsidR="00E20FF2" w:rsidRPr="00E20FF2">
        <w:rPr>
          <w:rFonts w:eastAsia="Times New Roman"/>
          <w:color w:val="000000"/>
          <w:sz w:val="26"/>
          <w:szCs w:val="26"/>
        </w:rPr>
        <w:t xml:space="preserve"> </w:t>
      </w:r>
      <w:r w:rsidR="00E20FF2">
        <w:rPr>
          <w:rFonts w:eastAsia="Times New Roman"/>
          <w:color w:val="000000"/>
          <w:sz w:val="26"/>
          <w:szCs w:val="26"/>
        </w:rPr>
        <w:t xml:space="preserve">State Joint Board on Separations </w:t>
      </w:r>
      <w:r w:rsidR="006757F8">
        <w:rPr>
          <w:rFonts w:eastAsia="Times New Roman"/>
          <w:color w:val="000000"/>
          <w:sz w:val="26"/>
          <w:szCs w:val="26"/>
        </w:rPr>
        <w:t>under Section 410 of the Act, as amended, 47 U.S.C. §</w:t>
      </w:r>
      <w:r w:rsidR="00114FA9">
        <w:rPr>
          <w:rFonts w:eastAsia="Times New Roman"/>
          <w:color w:val="000000"/>
          <w:sz w:val="26"/>
          <w:szCs w:val="26"/>
        </w:rPr>
        <w:t> </w:t>
      </w:r>
      <w:r w:rsidR="006757F8">
        <w:rPr>
          <w:rFonts w:eastAsia="Times New Roman"/>
          <w:color w:val="000000"/>
          <w:sz w:val="26"/>
          <w:szCs w:val="26"/>
        </w:rPr>
        <w:t>410</w:t>
      </w:r>
      <w:r w:rsidR="00E20FF2">
        <w:rPr>
          <w:rFonts w:eastAsia="Times New Roman"/>
          <w:color w:val="000000"/>
          <w:sz w:val="26"/>
          <w:szCs w:val="26"/>
        </w:rPr>
        <w:t>.</w:t>
      </w:r>
      <w:r w:rsidR="000B59A1" w:rsidRPr="000B59A1">
        <w:rPr>
          <w:rFonts w:eastAsia="Times New Roman"/>
          <w:color w:val="000000"/>
          <w:sz w:val="26"/>
          <w:szCs w:val="26"/>
        </w:rPr>
        <w:t xml:space="preserve"> </w:t>
      </w:r>
      <w:r w:rsidR="000B59A1">
        <w:rPr>
          <w:rStyle w:val="FootnoteReference"/>
          <w:rFonts w:eastAsia="Times New Roman"/>
          <w:color w:val="000000"/>
          <w:sz w:val="26"/>
          <w:szCs w:val="26"/>
        </w:rPr>
        <w:footnoteReference w:id="7"/>
      </w:r>
      <w:r w:rsidR="000B59A1">
        <w:rPr>
          <w:rFonts w:eastAsia="Times New Roman"/>
          <w:color w:val="000000"/>
          <w:sz w:val="26"/>
          <w:szCs w:val="26"/>
        </w:rPr>
        <w:t xml:space="preserve">  </w:t>
      </w:r>
    </w:p>
    <w:p w14:paraId="6384C3D3" w14:textId="77777777" w:rsidR="00044CDF" w:rsidRDefault="00044CDF" w:rsidP="0033376A">
      <w:pPr>
        <w:ind w:firstLine="720"/>
        <w:textAlignment w:val="baseline"/>
        <w:rPr>
          <w:rFonts w:eastAsia="Times New Roman"/>
          <w:color w:val="000000"/>
          <w:sz w:val="26"/>
          <w:szCs w:val="26"/>
        </w:rPr>
      </w:pPr>
    </w:p>
    <w:p w14:paraId="77595123" w14:textId="77777777" w:rsidR="0033376A" w:rsidRDefault="0033376A" w:rsidP="0033376A">
      <w:pPr>
        <w:ind w:firstLine="720"/>
        <w:textAlignment w:val="baseline"/>
        <w:rPr>
          <w:rFonts w:eastAsia="Times New Roman"/>
          <w:color w:val="000000"/>
          <w:sz w:val="26"/>
          <w:szCs w:val="26"/>
        </w:rPr>
      </w:pPr>
      <w:r>
        <w:rPr>
          <w:rFonts w:eastAsia="Times New Roman"/>
          <w:color w:val="000000"/>
          <w:sz w:val="26"/>
          <w:szCs w:val="26"/>
        </w:rPr>
        <w:t>The Arizona Commission for Deaf and the Hard of Hearing (ACDHH) states that a uniform approach is essential to establishing the stability and clear guidelines necessary for the smooth administration and seamless provision of IP CTS to consumers across the country.</w:t>
      </w:r>
      <w:r>
        <w:rPr>
          <w:rStyle w:val="FootnoteReference"/>
          <w:rFonts w:eastAsia="Times New Roman"/>
          <w:color w:val="000000"/>
          <w:sz w:val="26"/>
          <w:szCs w:val="26"/>
        </w:rPr>
        <w:footnoteReference w:id="8"/>
      </w:r>
      <w:r>
        <w:rPr>
          <w:rFonts w:eastAsia="Times New Roman"/>
          <w:color w:val="000000"/>
          <w:sz w:val="26"/>
          <w:szCs w:val="26"/>
        </w:rPr>
        <w:t xml:space="preserve">  As the Kansas Corporation Commission (KCC) note</w:t>
      </w:r>
      <w:r w:rsidR="0074640E">
        <w:rPr>
          <w:rFonts w:eastAsia="Times New Roman"/>
          <w:color w:val="000000"/>
          <w:sz w:val="26"/>
          <w:szCs w:val="26"/>
        </w:rPr>
        <w:t>s</w:t>
      </w:r>
      <w:r>
        <w:rPr>
          <w:rFonts w:eastAsia="Times New Roman"/>
          <w:color w:val="000000"/>
          <w:sz w:val="26"/>
          <w:szCs w:val="26"/>
        </w:rPr>
        <w:t xml:space="preserve"> in its comments, “to pursue state administration of IP CTS programs prior to implementing rules and regulations to control and reduce waste, fraud and abuse of the existing problems at the federal level would only spread the problems over a larger audience.”</w:t>
      </w:r>
      <w:r>
        <w:rPr>
          <w:rStyle w:val="FootnoteReference"/>
          <w:rFonts w:eastAsia="Times New Roman"/>
          <w:color w:val="000000"/>
          <w:sz w:val="26"/>
          <w:szCs w:val="26"/>
        </w:rPr>
        <w:footnoteReference w:id="9"/>
      </w:r>
      <w:r>
        <w:rPr>
          <w:rFonts w:eastAsia="Times New Roman"/>
          <w:color w:val="000000"/>
          <w:sz w:val="26"/>
          <w:szCs w:val="26"/>
        </w:rPr>
        <w:t xml:space="preserve"> </w:t>
      </w:r>
    </w:p>
    <w:p w14:paraId="388AA39A" w14:textId="77777777" w:rsidR="00D06088" w:rsidRDefault="00D06088" w:rsidP="0033376A">
      <w:pPr>
        <w:ind w:firstLine="720"/>
        <w:rPr>
          <w:rFonts w:eastAsia="Times New Roman"/>
          <w:color w:val="000000"/>
          <w:sz w:val="26"/>
          <w:szCs w:val="26"/>
        </w:rPr>
      </w:pPr>
    </w:p>
    <w:p w14:paraId="39B31666" w14:textId="19C4116C" w:rsidR="003C2FAC" w:rsidRDefault="00114FA9" w:rsidP="0033376A">
      <w:pPr>
        <w:ind w:firstLine="720"/>
        <w:rPr>
          <w:rFonts w:eastAsia="Times New Roman"/>
          <w:color w:val="000000"/>
          <w:sz w:val="26"/>
          <w:szCs w:val="26"/>
        </w:rPr>
      </w:pPr>
      <w:r>
        <w:rPr>
          <w:rFonts w:eastAsia="Times New Roman"/>
          <w:color w:val="000000"/>
          <w:sz w:val="26"/>
          <w:szCs w:val="26"/>
        </w:rPr>
        <w:t xml:space="preserve">The Pa. PUC commends </w:t>
      </w:r>
      <w:r w:rsidR="0033376A">
        <w:rPr>
          <w:rFonts w:eastAsia="Times New Roman"/>
          <w:color w:val="000000"/>
          <w:sz w:val="26"/>
          <w:szCs w:val="26"/>
        </w:rPr>
        <w:t>the Commission for taking steps to more effectively and efficiently administer and support IP CTS and prevent waste, fraud and abuse</w:t>
      </w:r>
      <w:r>
        <w:rPr>
          <w:rFonts w:eastAsia="Times New Roman"/>
          <w:color w:val="000000"/>
          <w:sz w:val="26"/>
          <w:szCs w:val="26"/>
        </w:rPr>
        <w:t>.</w:t>
      </w:r>
      <w:r w:rsidR="0033376A">
        <w:rPr>
          <w:rFonts w:eastAsia="Times New Roman"/>
          <w:color w:val="000000"/>
          <w:sz w:val="26"/>
          <w:szCs w:val="26"/>
        </w:rPr>
        <w:t xml:space="preserve"> </w:t>
      </w:r>
      <w:r>
        <w:rPr>
          <w:rFonts w:eastAsia="Times New Roman"/>
          <w:color w:val="000000"/>
          <w:sz w:val="26"/>
          <w:szCs w:val="26"/>
        </w:rPr>
        <w:t>T</w:t>
      </w:r>
      <w:r w:rsidR="0033376A">
        <w:rPr>
          <w:rFonts w:eastAsia="Times New Roman"/>
          <w:color w:val="000000"/>
          <w:sz w:val="26"/>
          <w:szCs w:val="26"/>
        </w:rPr>
        <w:t>he Pa. PUC agrees</w:t>
      </w:r>
      <w:r>
        <w:rPr>
          <w:rFonts w:eastAsia="Times New Roman"/>
          <w:color w:val="000000"/>
          <w:sz w:val="26"/>
          <w:szCs w:val="26"/>
        </w:rPr>
        <w:t>, however,</w:t>
      </w:r>
      <w:r w:rsidR="0033376A">
        <w:rPr>
          <w:rFonts w:eastAsia="Times New Roman"/>
          <w:color w:val="000000"/>
          <w:sz w:val="26"/>
          <w:szCs w:val="26"/>
        </w:rPr>
        <w:t xml:space="preserve"> with the other commentators that have noted that it would not be desirable to implement state administration of IP CTS programs </w:t>
      </w:r>
      <w:r w:rsidR="0074640E">
        <w:rPr>
          <w:rFonts w:eastAsia="Times New Roman"/>
          <w:color w:val="000000"/>
          <w:sz w:val="26"/>
          <w:szCs w:val="26"/>
        </w:rPr>
        <w:t xml:space="preserve">while </w:t>
      </w:r>
      <w:r w:rsidR="0033376A">
        <w:rPr>
          <w:rFonts w:eastAsia="Times New Roman"/>
          <w:color w:val="000000"/>
          <w:sz w:val="26"/>
          <w:szCs w:val="26"/>
        </w:rPr>
        <w:t xml:space="preserve">usage for IP CTS calls </w:t>
      </w:r>
      <w:r w:rsidR="0074640E">
        <w:rPr>
          <w:rFonts w:eastAsia="Times New Roman"/>
          <w:color w:val="000000"/>
          <w:sz w:val="26"/>
          <w:szCs w:val="26"/>
        </w:rPr>
        <w:t xml:space="preserve">is </w:t>
      </w:r>
      <w:r w:rsidR="0033376A">
        <w:rPr>
          <w:rFonts w:eastAsia="Times New Roman"/>
          <w:color w:val="000000"/>
          <w:sz w:val="26"/>
          <w:szCs w:val="26"/>
        </w:rPr>
        <w:t xml:space="preserve">still uncontrolled and other issues regarding waste, fraud and abuse have not been </w:t>
      </w:r>
      <w:r w:rsidR="0033376A">
        <w:rPr>
          <w:rFonts w:eastAsia="Times New Roman"/>
          <w:color w:val="000000"/>
          <w:sz w:val="26"/>
          <w:szCs w:val="26"/>
        </w:rPr>
        <w:lastRenderedPageBreak/>
        <w:t>fully addressed or resolved by the Commission.</w:t>
      </w:r>
      <w:r w:rsidR="0033376A">
        <w:rPr>
          <w:rStyle w:val="FootnoteReference"/>
          <w:rFonts w:eastAsia="Times New Roman"/>
          <w:color w:val="000000"/>
          <w:sz w:val="26"/>
          <w:szCs w:val="26"/>
        </w:rPr>
        <w:footnoteReference w:id="10"/>
      </w:r>
      <w:r w:rsidR="0033376A">
        <w:rPr>
          <w:rFonts w:eastAsia="Times New Roman"/>
          <w:color w:val="000000"/>
          <w:sz w:val="26"/>
          <w:szCs w:val="26"/>
        </w:rPr>
        <w:t xml:space="preserve">  </w:t>
      </w:r>
      <w:r w:rsidR="00BD54B5">
        <w:rPr>
          <w:rFonts w:eastAsia="Times New Roman"/>
          <w:color w:val="000000"/>
          <w:sz w:val="26"/>
          <w:szCs w:val="26"/>
        </w:rPr>
        <w:t xml:space="preserve">Moreover, </w:t>
      </w:r>
      <w:r w:rsidR="00E20FF2">
        <w:rPr>
          <w:rFonts w:eastAsia="Times New Roman"/>
          <w:color w:val="000000"/>
          <w:sz w:val="26"/>
          <w:szCs w:val="26"/>
        </w:rPr>
        <w:t xml:space="preserve">elimination of waste, fraud and abuse can only be accomplished if the Commission establishes clear, uniform standards at the federal level.  Accordingly, </w:t>
      </w:r>
      <w:r w:rsidR="0033376A">
        <w:rPr>
          <w:rFonts w:eastAsia="Times New Roman"/>
          <w:color w:val="000000"/>
          <w:sz w:val="26"/>
          <w:szCs w:val="26"/>
        </w:rPr>
        <w:t xml:space="preserve">the Commission should not implement </w:t>
      </w:r>
      <w:r w:rsidR="00631EB0">
        <w:rPr>
          <w:rFonts w:eastAsia="Times New Roman"/>
          <w:color w:val="000000"/>
          <w:sz w:val="26"/>
          <w:szCs w:val="26"/>
        </w:rPr>
        <w:t xml:space="preserve">any of </w:t>
      </w:r>
      <w:r w:rsidR="0033376A">
        <w:rPr>
          <w:rFonts w:eastAsia="Times New Roman"/>
          <w:color w:val="000000"/>
          <w:sz w:val="26"/>
          <w:szCs w:val="26"/>
        </w:rPr>
        <w:t>its proposal</w:t>
      </w:r>
      <w:r w:rsidR="00631EB0">
        <w:rPr>
          <w:rFonts w:eastAsia="Times New Roman"/>
          <w:color w:val="000000"/>
          <w:sz w:val="26"/>
          <w:szCs w:val="26"/>
        </w:rPr>
        <w:t>s</w:t>
      </w:r>
      <w:r w:rsidR="0033376A">
        <w:rPr>
          <w:rFonts w:eastAsia="Times New Roman"/>
          <w:color w:val="000000"/>
          <w:sz w:val="26"/>
          <w:szCs w:val="26"/>
        </w:rPr>
        <w:t xml:space="preserve"> </w:t>
      </w:r>
      <w:r w:rsidR="00631EB0">
        <w:rPr>
          <w:rFonts w:eastAsia="Times New Roman"/>
          <w:color w:val="000000"/>
          <w:sz w:val="26"/>
          <w:szCs w:val="26"/>
        </w:rPr>
        <w:t>b</w:t>
      </w:r>
      <w:r w:rsidR="0033376A">
        <w:rPr>
          <w:rFonts w:eastAsia="Times New Roman"/>
          <w:color w:val="000000"/>
          <w:sz w:val="26"/>
          <w:szCs w:val="26"/>
        </w:rPr>
        <w:t xml:space="preserve">efore it identifies and addresses means to reduce waste, fraud and abuse in the manner IP CTS equipment is currently being distributed and the way user eligibility is currently being determined by some distributors.  </w:t>
      </w:r>
    </w:p>
    <w:p w14:paraId="266F1D86" w14:textId="77777777" w:rsidR="000B59A1" w:rsidRDefault="000B59A1" w:rsidP="0033376A">
      <w:pPr>
        <w:ind w:firstLine="720"/>
        <w:rPr>
          <w:rFonts w:eastAsia="Times New Roman"/>
          <w:color w:val="000000"/>
          <w:sz w:val="26"/>
          <w:szCs w:val="26"/>
        </w:rPr>
      </w:pPr>
    </w:p>
    <w:p w14:paraId="0FCC68B0" w14:textId="77777777" w:rsidR="003025E1" w:rsidRPr="00AC2A65" w:rsidRDefault="00583C5F" w:rsidP="003367DE">
      <w:pPr>
        <w:pStyle w:val="ListParagraph"/>
        <w:spacing w:line="240" w:lineRule="auto"/>
        <w:ind w:right="90" w:hanging="720"/>
        <w:textAlignment w:val="baseline"/>
        <w:rPr>
          <w:rFonts w:eastAsia="Times New Roman"/>
          <w:b/>
          <w:color w:val="000000"/>
          <w:sz w:val="26"/>
          <w:szCs w:val="26"/>
        </w:rPr>
      </w:pPr>
      <w:r>
        <w:rPr>
          <w:rFonts w:eastAsia="Times New Roman"/>
          <w:color w:val="000000"/>
          <w:sz w:val="26"/>
          <w:szCs w:val="26"/>
        </w:rPr>
        <w:t xml:space="preserve">  </w:t>
      </w:r>
      <w:r w:rsidR="0033376A">
        <w:rPr>
          <w:rFonts w:eastAsia="Times New Roman"/>
          <w:b/>
          <w:color w:val="000000"/>
          <w:sz w:val="26"/>
          <w:szCs w:val="26"/>
        </w:rPr>
        <w:t>I</w:t>
      </w:r>
      <w:r w:rsidR="009E0C06" w:rsidRPr="008E7909">
        <w:rPr>
          <w:rFonts w:eastAsia="Times New Roman"/>
          <w:b/>
          <w:color w:val="000000"/>
          <w:sz w:val="26"/>
          <w:szCs w:val="26"/>
        </w:rPr>
        <w:t>I.</w:t>
      </w:r>
      <w:r w:rsidR="009E0C06" w:rsidRPr="008E7909">
        <w:rPr>
          <w:rFonts w:eastAsia="Times New Roman"/>
          <w:b/>
          <w:color w:val="000000"/>
          <w:sz w:val="26"/>
          <w:szCs w:val="26"/>
        </w:rPr>
        <w:tab/>
      </w:r>
      <w:r w:rsidR="00114FA9">
        <w:rPr>
          <w:rFonts w:eastAsia="Times New Roman"/>
          <w:b/>
          <w:color w:val="000000"/>
          <w:sz w:val="26"/>
          <w:szCs w:val="26"/>
        </w:rPr>
        <w:t>Expansion Of The Contribution Base For IP CTS To Include Intrastate Voice Service Revenues.</w:t>
      </w:r>
    </w:p>
    <w:p w14:paraId="2FD8D499" w14:textId="7E1B37FB" w:rsidR="00693DB8" w:rsidRDefault="006F140D" w:rsidP="003367DE">
      <w:pPr>
        <w:spacing w:before="160"/>
        <w:ind w:firstLine="720"/>
        <w:rPr>
          <w:rFonts w:eastAsia="Times New Roman"/>
          <w:color w:val="000000"/>
          <w:sz w:val="26"/>
          <w:szCs w:val="26"/>
        </w:rPr>
      </w:pPr>
      <w:r>
        <w:rPr>
          <w:rFonts w:eastAsia="Times New Roman"/>
          <w:color w:val="000000"/>
          <w:sz w:val="26"/>
          <w:szCs w:val="26"/>
        </w:rPr>
        <w:t xml:space="preserve">In the </w:t>
      </w:r>
      <w:r w:rsidRPr="004352B4">
        <w:rPr>
          <w:rFonts w:eastAsia="Times New Roman"/>
          <w:i/>
          <w:color w:val="000000"/>
          <w:sz w:val="26"/>
          <w:szCs w:val="26"/>
        </w:rPr>
        <w:t>FNPRM</w:t>
      </w:r>
      <w:r>
        <w:rPr>
          <w:rFonts w:eastAsia="Times New Roman"/>
          <w:color w:val="000000"/>
          <w:sz w:val="26"/>
          <w:szCs w:val="26"/>
        </w:rPr>
        <w:t xml:space="preserve">, </w:t>
      </w:r>
      <w:r w:rsidR="001A4AF9">
        <w:rPr>
          <w:rFonts w:eastAsia="Times New Roman"/>
          <w:color w:val="000000"/>
          <w:sz w:val="26"/>
          <w:szCs w:val="26"/>
        </w:rPr>
        <w:t xml:space="preserve">in order to recover the cost </w:t>
      </w:r>
      <w:r w:rsidR="0008432D">
        <w:rPr>
          <w:rFonts w:eastAsia="Times New Roman"/>
          <w:color w:val="000000"/>
          <w:sz w:val="26"/>
          <w:szCs w:val="26"/>
        </w:rPr>
        <w:t>of</w:t>
      </w:r>
      <w:r w:rsidR="001A4AF9">
        <w:rPr>
          <w:rFonts w:eastAsia="Times New Roman"/>
          <w:color w:val="000000"/>
          <w:sz w:val="26"/>
          <w:szCs w:val="26"/>
        </w:rPr>
        <w:t xml:space="preserve"> the exponential growth in IP CTS minutes, </w:t>
      </w:r>
      <w:r>
        <w:rPr>
          <w:rFonts w:eastAsia="Times New Roman"/>
          <w:color w:val="000000"/>
          <w:sz w:val="26"/>
          <w:szCs w:val="26"/>
        </w:rPr>
        <w:t>the Commission propose</w:t>
      </w:r>
      <w:r w:rsidR="00EB727B">
        <w:rPr>
          <w:rFonts w:eastAsia="Times New Roman"/>
          <w:color w:val="000000"/>
          <w:sz w:val="26"/>
          <w:szCs w:val="26"/>
        </w:rPr>
        <w:t xml:space="preserve">s a </w:t>
      </w:r>
      <w:r w:rsidR="00EB727B" w:rsidRPr="00EB727B">
        <w:rPr>
          <w:rFonts w:eastAsia="Times New Roman"/>
          <w:color w:val="000000"/>
          <w:sz w:val="26"/>
          <w:szCs w:val="26"/>
        </w:rPr>
        <w:t xml:space="preserve">modification to the existing approach for assessing contributions to the </w:t>
      </w:r>
      <w:r w:rsidR="004F0981">
        <w:rPr>
          <w:rFonts w:eastAsia="Times New Roman"/>
          <w:color w:val="000000"/>
          <w:sz w:val="26"/>
          <w:szCs w:val="26"/>
        </w:rPr>
        <w:t>i</w:t>
      </w:r>
      <w:r w:rsidR="001369AE">
        <w:rPr>
          <w:rFonts w:eastAsia="Times New Roman"/>
          <w:color w:val="000000"/>
          <w:sz w:val="26"/>
          <w:szCs w:val="26"/>
        </w:rPr>
        <w:t xml:space="preserve">nterstate </w:t>
      </w:r>
      <w:r w:rsidR="00EB727B">
        <w:rPr>
          <w:rFonts w:eastAsia="Times New Roman"/>
          <w:color w:val="000000"/>
          <w:sz w:val="26"/>
          <w:szCs w:val="26"/>
        </w:rPr>
        <w:t xml:space="preserve">telecommunications relay service fund </w:t>
      </w:r>
      <w:r w:rsidR="00EB727B" w:rsidRPr="00EB727B">
        <w:rPr>
          <w:rFonts w:eastAsia="Times New Roman"/>
          <w:color w:val="000000"/>
          <w:sz w:val="26"/>
          <w:szCs w:val="26"/>
        </w:rPr>
        <w:t>(</w:t>
      </w:r>
      <w:r w:rsidR="00EB727B">
        <w:rPr>
          <w:rFonts w:eastAsia="Times New Roman"/>
          <w:color w:val="000000"/>
          <w:sz w:val="26"/>
          <w:szCs w:val="26"/>
        </w:rPr>
        <w:t xml:space="preserve">TRS </w:t>
      </w:r>
      <w:r w:rsidR="00EB727B" w:rsidRPr="00EB727B">
        <w:rPr>
          <w:rFonts w:eastAsia="Times New Roman"/>
          <w:color w:val="000000"/>
          <w:sz w:val="26"/>
          <w:szCs w:val="26"/>
        </w:rPr>
        <w:t>Fund)</w:t>
      </w:r>
      <w:r w:rsidR="00E20FF2">
        <w:rPr>
          <w:rFonts w:eastAsia="Times New Roman"/>
          <w:color w:val="000000"/>
          <w:sz w:val="26"/>
          <w:szCs w:val="26"/>
        </w:rPr>
        <w:t xml:space="preserve"> for IP CTS calls</w:t>
      </w:r>
      <w:r w:rsidR="00532467">
        <w:rPr>
          <w:rFonts w:eastAsia="Times New Roman"/>
          <w:color w:val="000000"/>
          <w:sz w:val="26"/>
          <w:szCs w:val="26"/>
        </w:rPr>
        <w:t xml:space="preserve">.  </w:t>
      </w:r>
      <w:r>
        <w:rPr>
          <w:rFonts w:eastAsia="Times New Roman"/>
          <w:color w:val="000000"/>
          <w:sz w:val="26"/>
          <w:szCs w:val="26"/>
        </w:rPr>
        <w:t>Essentially, the Commission propos</w:t>
      </w:r>
      <w:r w:rsidR="00114FA9">
        <w:rPr>
          <w:rFonts w:eastAsia="Times New Roman"/>
          <w:color w:val="000000"/>
          <w:sz w:val="26"/>
          <w:szCs w:val="26"/>
        </w:rPr>
        <w:t>es</w:t>
      </w:r>
      <w:r>
        <w:rPr>
          <w:rFonts w:eastAsia="Times New Roman"/>
          <w:color w:val="000000"/>
          <w:sz w:val="26"/>
          <w:szCs w:val="26"/>
        </w:rPr>
        <w:t xml:space="preserve"> </w:t>
      </w:r>
      <w:r w:rsidR="001369AE">
        <w:rPr>
          <w:rFonts w:eastAsia="Times New Roman"/>
          <w:color w:val="000000"/>
          <w:sz w:val="26"/>
          <w:szCs w:val="26"/>
        </w:rPr>
        <w:t xml:space="preserve">to </w:t>
      </w:r>
      <w:r w:rsidR="001A4AF9">
        <w:rPr>
          <w:rFonts w:eastAsia="Times New Roman"/>
          <w:color w:val="000000"/>
          <w:sz w:val="26"/>
          <w:szCs w:val="26"/>
        </w:rPr>
        <w:t xml:space="preserve">expand the TRS contribution base in order </w:t>
      </w:r>
      <w:r w:rsidRPr="00C04745">
        <w:rPr>
          <w:rFonts w:eastAsia="Times New Roman"/>
          <w:color w:val="000000"/>
          <w:sz w:val="26"/>
          <w:szCs w:val="26"/>
        </w:rPr>
        <w:t xml:space="preserve">to </w:t>
      </w:r>
      <w:r w:rsidR="001369AE">
        <w:rPr>
          <w:rFonts w:eastAsia="Times New Roman"/>
          <w:color w:val="000000"/>
          <w:sz w:val="26"/>
          <w:szCs w:val="26"/>
        </w:rPr>
        <w:t xml:space="preserve">be able to </w:t>
      </w:r>
      <w:r>
        <w:rPr>
          <w:rFonts w:eastAsia="Times New Roman"/>
          <w:color w:val="000000"/>
          <w:sz w:val="26"/>
          <w:szCs w:val="26"/>
        </w:rPr>
        <w:t xml:space="preserve">assess </w:t>
      </w:r>
      <w:r w:rsidR="001A4AF9">
        <w:rPr>
          <w:rFonts w:eastAsia="Times New Roman"/>
          <w:color w:val="000000"/>
          <w:sz w:val="26"/>
          <w:szCs w:val="26"/>
        </w:rPr>
        <w:t xml:space="preserve">the </w:t>
      </w:r>
      <w:r w:rsidRPr="00C04745">
        <w:rPr>
          <w:rFonts w:eastAsia="Times New Roman"/>
          <w:i/>
          <w:iCs/>
          <w:color w:val="000000"/>
          <w:sz w:val="26"/>
          <w:szCs w:val="26"/>
        </w:rPr>
        <w:t>i</w:t>
      </w:r>
      <w:r w:rsidRPr="00FA3C19">
        <w:rPr>
          <w:rFonts w:eastAsia="Times New Roman"/>
          <w:i/>
          <w:iCs/>
          <w:color w:val="000000"/>
          <w:sz w:val="26"/>
          <w:szCs w:val="26"/>
        </w:rPr>
        <w:t>ntra</w:t>
      </w:r>
      <w:r w:rsidRPr="00FA3C19">
        <w:rPr>
          <w:rFonts w:eastAsia="Times New Roman"/>
          <w:i/>
          <w:color w:val="000000"/>
          <w:sz w:val="26"/>
          <w:szCs w:val="26"/>
        </w:rPr>
        <w:t>state</w:t>
      </w:r>
      <w:r w:rsidRPr="00C04745">
        <w:rPr>
          <w:rFonts w:eastAsia="Times New Roman"/>
          <w:color w:val="000000"/>
          <w:sz w:val="26"/>
          <w:szCs w:val="26"/>
        </w:rPr>
        <w:t xml:space="preserve"> end-user revenues of</w:t>
      </w:r>
      <w:r>
        <w:rPr>
          <w:rFonts w:eastAsia="Times New Roman"/>
          <w:color w:val="000000"/>
          <w:sz w:val="26"/>
          <w:szCs w:val="26"/>
        </w:rPr>
        <w:t xml:space="preserve"> </w:t>
      </w:r>
      <w:r w:rsidRPr="00C04745">
        <w:rPr>
          <w:rFonts w:eastAsia="Times New Roman"/>
          <w:color w:val="000000"/>
          <w:sz w:val="26"/>
          <w:szCs w:val="26"/>
        </w:rPr>
        <w:t>telecommunications carriers and VoIP service providers</w:t>
      </w:r>
      <w:r w:rsidR="00581787">
        <w:rPr>
          <w:rFonts w:eastAsia="Times New Roman"/>
          <w:color w:val="000000"/>
          <w:sz w:val="26"/>
          <w:szCs w:val="26"/>
        </w:rPr>
        <w:t xml:space="preserve"> in order </w:t>
      </w:r>
      <w:r w:rsidR="00581787" w:rsidRPr="00581787">
        <w:rPr>
          <w:rFonts w:eastAsia="Times New Roman"/>
          <w:color w:val="000000"/>
          <w:sz w:val="26"/>
          <w:szCs w:val="26"/>
        </w:rPr>
        <w:t xml:space="preserve">to support the provision of </w:t>
      </w:r>
      <w:r w:rsidR="00114FA9">
        <w:rPr>
          <w:rFonts w:eastAsia="Times New Roman"/>
          <w:i/>
          <w:color w:val="000000"/>
          <w:sz w:val="26"/>
          <w:szCs w:val="26"/>
        </w:rPr>
        <w:t xml:space="preserve">interstate </w:t>
      </w:r>
      <w:r w:rsidR="00581787" w:rsidRPr="00581787">
        <w:rPr>
          <w:rFonts w:eastAsia="Times New Roman"/>
          <w:color w:val="000000"/>
          <w:sz w:val="26"/>
          <w:szCs w:val="26"/>
        </w:rPr>
        <w:t>IP CTS</w:t>
      </w:r>
      <w:r w:rsidR="00581787">
        <w:rPr>
          <w:rFonts w:eastAsia="Times New Roman"/>
          <w:color w:val="000000"/>
          <w:sz w:val="26"/>
          <w:szCs w:val="26"/>
        </w:rPr>
        <w:t>.</w:t>
      </w:r>
      <w:r w:rsidR="001761F6">
        <w:rPr>
          <w:rFonts w:eastAsia="Times New Roman"/>
          <w:color w:val="000000"/>
          <w:sz w:val="26"/>
          <w:szCs w:val="26"/>
        </w:rPr>
        <w:t xml:space="preserve">  </w:t>
      </w:r>
    </w:p>
    <w:p w14:paraId="2C60AEF3" w14:textId="77777777" w:rsidR="006F140D" w:rsidRDefault="006F140D" w:rsidP="009720B1">
      <w:pPr>
        <w:ind w:firstLine="720"/>
        <w:rPr>
          <w:rFonts w:eastAsia="Times New Roman"/>
          <w:color w:val="000000"/>
          <w:sz w:val="26"/>
          <w:szCs w:val="26"/>
          <w:lang w:val="en"/>
        </w:rPr>
      </w:pPr>
    </w:p>
    <w:p w14:paraId="1424710E" w14:textId="753F9DED" w:rsidR="006F140D" w:rsidRDefault="006F140D" w:rsidP="006F140D">
      <w:pPr>
        <w:ind w:firstLine="720"/>
        <w:rPr>
          <w:rFonts w:eastAsia="Times New Roman"/>
          <w:color w:val="000000"/>
          <w:sz w:val="26"/>
          <w:szCs w:val="26"/>
        </w:rPr>
      </w:pPr>
      <w:r>
        <w:rPr>
          <w:rFonts w:eastAsia="Times New Roman"/>
          <w:color w:val="000000"/>
          <w:sz w:val="26"/>
          <w:szCs w:val="26"/>
        </w:rPr>
        <w:t xml:space="preserve">In their comments, </w:t>
      </w:r>
      <w:r w:rsidR="00114FA9">
        <w:rPr>
          <w:rFonts w:eastAsia="Times New Roman"/>
          <w:color w:val="000000"/>
          <w:sz w:val="26"/>
          <w:szCs w:val="26"/>
        </w:rPr>
        <w:t xml:space="preserve">two separate groups of consumers contend that </w:t>
      </w:r>
      <w:r>
        <w:rPr>
          <w:rFonts w:eastAsia="Times New Roman"/>
          <w:color w:val="000000"/>
          <w:sz w:val="26"/>
          <w:szCs w:val="26"/>
        </w:rPr>
        <w:t>t</w:t>
      </w:r>
      <w:r w:rsidRPr="00325E28">
        <w:rPr>
          <w:rFonts w:eastAsia="Times New Roman"/>
          <w:color w:val="000000"/>
          <w:sz w:val="26"/>
          <w:szCs w:val="26"/>
        </w:rPr>
        <w:t>he Commission should</w:t>
      </w:r>
      <w:r>
        <w:rPr>
          <w:rFonts w:eastAsia="Times New Roman"/>
          <w:color w:val="000000"/>
          <w:sz w:val="26"/>
          <w:szCs w:val="26"/>
        </w:rPr>
        <w:t xml:space="preserve"> </w:t>
      </w:r>
      <w:r w:rsidRPr="00325E28">
        <w:rPr>
          <w:rFonts w:eastAsia="Times New Roman"/>
          <w:color w:val="000000"/>
          <w:sz w:val="26"/>
          <w:szCs w:val="26"/>
        </w:rPr>
        <w:t xml:space="preserve">expand the TRS Fund base </w:t>
      </w:r>
      <w:r>
        <w:rPr>
          <w:rFonts w:eastAsia="Times New Roman"/>
          <w:color w:val="000000"/>
          <w:sz w:val="26"/>
          <w:szCs w:val="26"/>
        </w:rPr>
        <w:t xml:space="preserve">and use a percentage of annual intrastate revenues to fund the </w:t>
      </w:r>
      <w:r w:rsidR="00631EB0">
        <w:rPr>
          <w:rFonts w:eastAsia="Times New Roman"/>
          <w:color w:val="000000"/>
          <w:sz w:val="26"/>
          <w:szCs w:val="26"/>
        </w:rPr>
        <w:t>i</w:t>
      </w:r>
      <w:r>
        <w:rPr>
          <w:rFonts w:eastAsia="Times New Roman"/>
          <w:color w:val="000000"/>
          <w:sz w:val="26"/>
          <w:szCs w:val="26"/>
        </w:rPr>
        <w:t xml:space="preserve">nterstate </w:t>
      </w:r>
      <w:r w:rsidR="00631EB0">
        <w:rPr>
          <w:rFonts w:eastAsia="Times New Roman"/>
          <w:color w:val="000000"/>
          <w:sz w:val="26"/>
          <w:szCs w:val="26"/>
        </w:rPr>
        <w:t xml:space="preserve">TRS </w:t>
      </w:r>
      <w:r>
        <w:rPr>
          <w:rFonts w:eastAsia="Times New Roman"/>
          <w:color w:val="000000"/>
          <w:sz w:val="26"/>
          <w:szCs w:val="26"/>
        </w:rPr>
        <w:t xml:space="preserve">and recover the cost for </w:t>
      </w:r>
      <w:r w:rsidRPr="00325E28">
        <w:rPr>
          <w:rFonts w:eastAsia="Times New Roman"/>
          <w:color w:val="000000"/>
          <w:sz w:val="26"/>
          <w:szCs w:val="26"/>
        </w:rPr>
        <w:t>IP CTS minutes</w:t>
      </w:r>
      <w:r>
        <w:rPr>
          <w:rFonts w:eastAsia="Times New Roman"/>
          <w:color w:val="000000"/>
          <w:sz w:val="26"/>
          <w:szCs w:val="26"/>
        </w:rPr>
        <w:t>.</w:t>
      </w:r>
      <w:r>
        <w:rPr>
          <w:rStyle w:val="FootnoteReference"/>
          <w:rFonts w:eastAsia="Times New Roman"/>
          <w:color w:val="000000"/>
          <w:sz w:val="26"/>
          <w:szCs w:val="26"/>
        </w:rPr>
        <w:footnoteReference w:id="11"/>
      </w:r>
      <w:r>
        <w:rPr>
          <w:rFonts w:eastAsia="Times New Roman"/>
          <w:color w:val="000000"/>
          <w:sz w:val="26"/>
          <w:szCs w:val="26"/>
        </w:rPr>
        <w:t xml:space="preserve">  The</w:t>
      </w:r>
      <w:r w:rsidR="00114FA9">
        <w:rPr>
          <w:rFonts w:eastAsia="Times New Roman"/>
          <w:color w:val="000000"/>
          <w:sz w:val="26"/>
          <w:szCs w:val="26"/>
        </w:rPr>
        <w:t>se c</w:t>
      </w:r>
      <w:r>
        <w:rPr>
          <w:rFonts w:eastAsia="Times New Roman"/>
          <w:color w:val="000000"/>
          <w:sz w:val="26"/>
          <w:szCs w:val="26"/>
        </w:rPr>
        <w:t xml:space="preserve">onsumer </w:t>
      </w:r>
      <w:r w:rsidR="00114FA9">
        <w:rPr>
          <w:rFonts w:eastAsia="Times New Roman"/>
          <w:color w:val="000000"/>
          <w:sz w:val="26"/>
          <w:szCs w:val="26"/>
        </w:rPr>
        <w:t>g</w:t>
      </w:r>
      <w:r>
        <w:rPr>
          <w:rFonts w:eastAsia="Times New Roman"/>
          <w:color w:val="000000"/>
          <w:sz w:val="26"/>
          <w:szCs w:val="26"/>
        </w:rPr>
        <w:t xml:space="preserve">roups assert that </w:t>
      </w:r>
      <w:r w:rsidRPr="00325E28">
        <w:rPr>
          <w:rFonts w:eastAsia="Times New Roman"/>
          <w:color w:val="000000"/>
          <w:sz w:val="26"/>
          <w:szCs w:val="26"/>
        </w:rPr>
        <w:t>the Commission has the statutory authority to assess intrastate revenue</w:t>
      </w:r>
      <w:r w:rsidR="004F0981">
        <w:rPr>
          <w:rFonts w:eastAsia="Times New Roman"/>
          <w:color w:val="000000"/>
          <w:sz w:val="26"/>
          <w:szCs w:val="26"/>
        </w:rPr>
        <w:t>s</w:t>
      </w:r>
      <w:r w:rsidRPr="00325E28">
        <w:rPr>
          <w:rFonts w:eastAsia="Times New Roman"/>
          <w:color w:val="000000"/>
          <w:sz w:val="26"/>
          <w:szCs w:val="26"/>
        </w:rPr>
        <w:t xml:space="preserve"> under Section</w:t>
      </w:r>
      <w:r>
        <w:rPr>
          <w:rFonts w:eastAsia="Times New Roman"/>
          <w:color w:val="000000"/>
          <w:sz w:val="26"/>
          <w:szCs w:val="26"/>
        </w:rPr>
        <w:t xml:space="preserve"> </w:t>
      </w:r>
      <w:r w:rsidRPr="00325E28">
        <w:rPr>
          <w:rFonts w:eastAsia="Times New Roman"/>
          <w:color w:val="000000"/>
          <w:sz w:val="26"/>
          <w:szCs w:val="26"/>
        </w:rPr>
        <w:t>225(b)(2)</w:t>
      </w:r>
      <w:r>
        <w:rPr>
          <w:rFonts w:eastAsia="Times New Roman"/>
          <w:color w:val="000000"/>
          <w:sz w:val="26"/>
          <w:szCs w:val="26"/>
        </w:rPr>
        <w:t xml:space="preserve"> of the Act, as amended, </w:t>
      </w:r>
      <w:r w:rsidRPr="00325E28">
        <w:rPr>
          <w:rFonts w:eastAsia="Times New Roman"/>
          <w:color w:val="000000"/>
          <w:sz w:val="26"/>
          <w:szCs w:val="26"/>
        </w:rPr>
        <w:t xml:space="preserve">which </w:t>
      </w:r>
      <w:r>
        <w:rPr>
          <w:rFonts w:eastAsia="Times New Roman"/>
          <w:color w:val="000000"/>
          <w:sz w:val="26"/>
          <w:szCs w:val="26"/>
        </w:rPr>
        <w:t xml:space="preserve">they assert </w:t>
      </w:r>
      <w:r w:rsidRPr="00325E28">
        <w:rPr>
          <w:rFonts w:eastAsia="Times New Roman"/>
          <w:color w:val="000000"/>
          <w:sz w:val="26"/>
          <w:szCs w:val="26"/>
        </w:rPr>
        <w:t xml:space="preserve">explicitly grants to the </w:t>
      </w:r>
      <w:r>
        <w:rPr>
          <w:rFonts w:eastAsia="Times New Roman"/>
          <w:color w:val="000000"/>
          <w:sz w:val="26"/>
          <w:szCs w:val="26"/>
        </w:rPr>
        <w:t xml:space="preserve">Commission </w:t>
      </w:r>
      <w:r w:rsidRPr="00325E28">
        <w:rPr>
          <w:rFonts w:eastAsia="Times New Roman"/>
          <w:color w:val="000000"/>
          <w:sz w:val="26"/>
          <w:szCs w:val="26"/>
        </w:rPr>
        <w:t xml:space="preserve">authority over carriers engaged in intrastate communications for purposes of administering and enforcing the </w:t>
      </w:r>
      <w:r>
        <w:rPr>
          <w:rFonts w:eastAsia="Times New Roman"/>
          <w:color w:val="000000"/>
          <w:sz w:val="26"/>
          <w:szCs w:val="26"/>
        </w:rPr>
        <w:t>provisioning of TRS</w:t>
      </w:r>
      <w:r w:rsidRPr="00325E28">
        <w:rPr>
          <w:rFonts w:eastAsia="Times New Roman"/>
          <w:color w:val="000000"/>
          <w:sz w:val="26"/>
          <w:szCs w:val="26"/>
        </w:rPr>
        <w:t>.</w:t>
      </w:r>
      <w:r>
        <w:rPr>
          <w:rStyle w:val="FootnoteReference"/>
          <w:rFonts w:eastAsia="Times New Roman"/>
          <w:color w:val="000000"/>
          <w:sz w:val="26"/>
          <w:szCs w:val="26"/>
        </w:rPr>
        <w:footnoteReference w:id="12"/>
      </w:r>
    </w:p>
    <w:p w14:paraId="5511D238" w14:textId="77777777" w:rsidR="006F140D" w:rsidRDefault="006F140D" w:rsidP="006F140D">
      <w:pPr>
        <w:ind w:firstLine="720"/>
        <w:rPr>
          <w:rFonts w:eastAsia="Times New Roman"/>
          <w:color w:val="000000"/>
          <w:sz w:val="26"/>
          <w:szCs w:val="26"/>
        </w:rPr>
      </w:pPr>
      <w:r>
        <w:rPr>
          <w:rFonts w:eastAsia="Times New Roman"/>
          <w:color w:val="000000"/>
          <w:sz w:val="26"/>
          <w:szCs w:val="26"/>
        </w:rPr>
        <w:lastRenderedPageBreak/>
        <w:t xml:space="preserve">However, other commentators </w:t>
      </w:r>
      <w:r w:rsidR="001369AE">
        <w:rPr>
          <w:rFonts w:eastAsia="Times New Roman"/>
          <w:color w:val="000000"/>
          <w:sz w:val="26"/>
          <w:szCs w:val="26"/>
        </w:rPr>
        <w:t xml:space="preserve">have </w:t>
      </w:r>
      <w:r>
        <w:rPr>
          <w:rFonts w:eastAsia="Times New Roman"/>
          <w:color w:val="000000"/>
          <w:sz w:val="26"/>
          <w:szCs w:val="26"/>
        </w:rPr>
        <w:t xml:space="preserve">expressed opposition to the Commission’s proposal to </w:t>
      </w:r>
      <w:r w:rsidRPr="003025E1">
        <w:rPr>
          <w:rFonts w:eastAsia="Times New Roman"/>
          <w:color w:val="000000"/>
          <w:sz w:val="26"/>
          <w:szCs w:val="26"/>
        </w:rPr>
        <w:t xml:space="preserve">expand the IP CTS contribution base to </w:t>
      </w:r>
      <w:r>
        <w:rPr>
          <w:rFonts w:eastAsia="Times New Roman"/>
          <w:color w:val="000000"/>
          <w:sz w:val="26"/>
          <w:szCs w:val="26"/>
        </w:rPr>
        <w:t xml:space="preserve">assess </w:t>
      </w:r>
      <w:r w:rsidRPr="003025E1">
        <w:rPr>
          <w:rFonts w:eastAsia="Times New Roman"/>
          <w:color w:val="000000"/>
          <w:sz w:val="26"/>
          <w:szCs w:val="26"/>
        </w:rPr>
        <w:t>annual intrastate</w:t>
      </w:r>
      <w:r>
        <w:rPr>
          <w:rFonts w:eastAsia="Times New Roman"/>
          <w:color w:val="000000"/>
          <w:sz w:val="26"/>
          <w:szCs w:val="26"/>
        </w:rPr>
        <w:t xml:space="preserve"> </w:t>
      </w:r>
      <w:r w:rsidRPr="003025E1">
        <w:rPr>
          <w:rFonts w:eastAsia="Times New Roman"/>
          <w:color w:val="000000"/>
          <w:sz w:val="26"/>
          <w:szCs w:val="26"/>
        </w:rPr>
        <w:t xml:space="preserve">revenues </w:t>
      </w:r>
      <w:r>
        <w:rPr>
          <w:rFonts w:eastAsia="Times New Roman"/>
          <w:color w:val="000000"/>
          <w:sz w:val="26"/>
          <w:szCs w:val="26"/>
        </w:rPr>
        <w:t xml:space="preserve">in order to recover the costs of IP </w:t>
      </w:r>
      <w:r w:rsidRPr="003025E1">
        <w:rPr>
          <w:rFonts w:eastAsia="Times New Roman"/>
          <w:color w:val="000000"/>
          <w:sz w:val="26"/>
          <w:szCs w:val="26"/>
        </w:rPr>
        <w:t xml:space="preserve">CTS </w:t>
      </w:r>
      <w:r>
        <w:rPr>
          <w:rFonts w:eastAsia="Times New Roman"/>
          <w:color w:val="000000"/>
          <w:sz w:val="26"/>
          <w:szCs w:val="26"/>
        </w:rPr>
        <w:t>calls.</w:t>
      </w:r>
      <w:r w:rsidR="002B303E">
        <w:rPr>
          <w:rFonts w:eastAsia="Times New Roman"/>
          <w:color w:val="000000"/>
          <w:sz w:val="26"/>
          <w:szCs w:val="26"/>
        </w:rPr>
        <w:t xml:space="preserve">  T</w:t>
      </w:r>
      <w:r>
        <w:rPr>
          <w:rFonts w:eastAsia="Times New Roman"/>
          <w:color w:val="000000"/>
          <w:sz w:val="26"/>
          <w:szCs w:val="26"/>
        </w:rPr>
        <w:t xml:space="preserve">he </w:t>
      </w:r>
      <w:r w:rsidR="004F0981">
        <w:rPr>
          <w:rFonts w:eastAsia="Times New Roman"/>
          <w:color w:val="000000"/>
          <w:sz w:val="26"/>
          <w:szCs w:val="26"/>
        </w:rPr>
        <w:t>California Public Utilities Commission (</w:t>
      </w:r>
      <w:r>
        <w:rPr>
          <w:rFonts w:eastAsia="Times New Roman"/>
          <w:color w:val="000000"/>
          <w:sz w:val="26"/>
          <w:szCs w:val="26"/>
        </w:rPr>
        <w:t>CPUC</w:t>
      </w:r>
      <w:r w:rsidR="004F0981">
        <w:rPr>
          <w:rFonts w:eastAsia="Times New Roman"/>
          <w:color w:val="000000"/>
          <w:sz w:val="26"/>
          <w:szCs w:val="26"/>
        </w:rPr>
        <w:t>)</w:t>
      </w:r>
      <w:r>
        <w:rPr>
          <w:rFonts w:eastAsia="Times New Roman"/>
          <w:color w:val="000000"/>
          <w:sz w:val="26"/>
          <w:szCs w:val="26"/>
        </w:rPr>
        <w:t xml:space="preserve">, NARUC and the National Association for State Relay Administration (NASRA) </w:t>
      </w:r>
      <w:r w:rsidR="002B303E">
        <w:rPr>
          <w:rFonts w:eastAsia="Times New Roman"/>
          <w:color w:val="000000"/>
          <w:sz w:val="26"/>
          <w:szCs w:val="26"/>
        </w:rPr>
        <w:t xml:space="preserve">all </w:t>
      </w:r>
      <w:r>
        <w:rPr>
          <w:rFonts w:eastAsia="Times New Roman"/>
          <w:color w:val="000000"/>
          <w:sz w:val="26"/>
          <w:szCs w:val="26"/>
        </w:rPr>
        <w:t xml:space="preserve">note that the Commission’s proposed </w:t>
      </w:r>
      <w:r w:rsidRPr="003025E1">
        <w:rPr>
          <w:rFonts w:eastAsia="Times New Roman"/>
          <w:color w:val="000000"/>
          <w:sz w:val="26"/>
          <w:szCs w:val="26"/>
        </w:rPr>
        <w:t xml:space="preserve">solution </w:t>
      </w:r>
      <w:r>
        <w:rPr>
          <w:rFonts w:eastAsia="Times New Roman"/>
          <w:color w:val="000000"/>
          <w:sz w:val="26"/>
          <w:szCs w:val="26"/>
        </w:rPr>
        <w:t xml:space="preserve">to expand the TRS contribution base </w:t>
      </w:r>
      <w:r w:rsidRPr="003025E1">
        <w:rPr>
          <w:rFonts w:eastAsia="Times New Roman"/>
          <w:color w:val="000000"/>
          <w:sz w:val="26"/>
          <w:szCs w:val="26"/>
        </w:rPr>
        <w:t>to include intrastate</w:t>
      </w:r>
      <w:r>
        <w:rPr>
          <w:rFonts w:eastAsia="Times New Roman"/>
          <w:color w:val="000000"/>
          <w:sz w:val="26"/>
          <w:szCs w:val="26"/>
        </w:rPr>
        <w:t xml:space="preserve"> </w:t>
      </w:r>
      <w:r w:rsidRPr="003025E1">
        <w:rPr>
          <w:rFonts w:eastAsia="Times New Roman"/>
          <w:color w:val="000000"/>
          <w:sz w:val="26"/>
          <w:szCs w:val="26"/>
        </w:rPr>
        <w:t xml:space="preserve">revenues </w:t>
      </w:r>
      <w:r>
        <w:rPr>
          <w:rFonts w:eastAsia="Times New Roman"/>
          <w:color w:val="000000"/>
          <w:sz w:val="26"/>
          <w:szCs w:val="26"/>
        </w:rPr>
        <w:t xml:space="preserve">to recover the </w:t>
      </w:r>
      <w:r w:rsidR="002B303E">
        <w:rPr>
          <w:rFonts w:eastAsia="Times New Roman"/>
          <w:color w:val="000000"/>
          <w:sz w:val="26"/>
          <w:szCs w:val="26"/>
        </w:rPr>
        <w:t xml:space="preserve">exponential growth in the </w:t>
      </w:r>
      <w:r>
        <w:rPr>
          <w:rFonts w:eastAsia="Times New Roman"/>
          <w:color w:val="000000"/>
          <w:sz w:val="26"/>
          <w:szCs w:val="26"/>
        </w:rPr>
        <w:t xml:space="preserve">costs of IP CTS calls </w:t>
      </w:r>
      <w:r w:rsidRPr="003025E1">
        <w:rPr>
          <w:rFonts w:eastAsia="Times New Roman"/>
          <w:color w:val="000000"/>
          <w:sz w:val="26"/>
          <w:szCs w:val="26"/>
        </w:rPr>
        <w:t xml:space="preserve">does nothing to address the legal basis </w:t>
      </w:r>
      <w:r>
        <w:rPr>
          <w:rFonts w:eastAsia="Times New Roman"/>
          <w:color w:val="000000"/>
          <w:sz w:val="26"/>
          <w:szCs w:val="26"/>
        </w:rPr>
        <w:t xml:space="preserve">for the Commission’s ability </w:t>
      </w:r>
      <w:r w:rsidRPr="003025E1">
        <w:rPr>
          <w:rFonts w:eastAsia="Times New Roman"/>
          <w:color w:val="000000"/>
          <w:sz w:val="26"/>
          <w:szCs w:val="26"/>
        </w:rPr>
        <w:t>to access</w:t>
      </w:r>
      <w:r>
        <w:rPr>
          <w:rFonts w:eastAsia="Times New Roman"/>
          <w:color w:val="000000"/>
          <w:sz w:val="26"/>
          <w:szCs w:val="26"/>
        </w:rPr>
        <w:t xml:space="preserve"> “</w:t>
      </w:r>
      <w:r w:rsidRPr="003025E1">
        <w:rPr>
          <w:rFonts w:eastAsia="Times New Roman"/>
          <w:color w:val="000000"/>
          <w:sz w:val="26"/>
          <w:szCs w:val="26"/>
        </w:rPr>
        <w:t>intrastate revenues</w:t>
      </w:r>
      <w:r>
        <w:rPr>
          <w:rFonts w:eastAsia="Times New Roman"/>
          <w:color w:val="000000"/>
          <w:sz w:val="26"/>
          <w:szCs w:val="26"/>
        </w:rPr>
        <w:t>”</w:t>
      </w:r>
      <w:r w:rsidRPr="003025E1">
        <w:rPr>
          <w:rFonts w:eastAsia="Times New Roman"/>
          <w:color w:val="000000"/>
          <w:sz w:val="26"/>
          <w:szCs w:val="26"/>
        </w:rPr>
        <w:t xml:space="preserve"> </w:t>
      </w:r>
      <w:r w:rsidR="008A301E">
        <w:rPr>
          <w:rFonts w:eastAsia="Times New Roman"/>
          <w:color w:val="000000"/>
          <w:sz w:val="26"/>
          <w:szCs w:val="26"/>
        </w:rPr>
        <w:t xml:space="preserve">so that it can </w:t>
      </w:r>
      <w:r>
        <w:rPr>
          <w:rFonts w:eastAsia="Times New Roman"/>
          <w:color w:val="000000"/>
          <w:sz w:val="26"/>
          <w:szCs w:val="26"/>
        </w:rPr>
        <w:t>recover the costs of IP CTS calls</w:t>
      </w:r>
      <w:r w:rsidR="008A301E">
        <w:rPr>
          <w:rFonts w:eastAsia="Times New Roman"/>
          <w:color w:val="000000"/>
          <w:sz w:val="26"/>
          <w:szCs w:val="26"/>
        </w:rPr>
        <w:t xml:space="preserve"> and continue to compensate  eligible IP CTS providers from the </w:t>
      </w:r>
      <w:r w:rsidR="00D60147">
        <w:rPr>
          <w:rFonts w:eastAsia="Times New Roman"/>
          <w:color w:val="000000"/>
          <w:sz w:val="26"/>
          <w:szCs w:val="26"/>
        </w:rPr>
        <w:t>i</w:t>
      </w:r>
      <w:r w:rsidR="001369AE">
        <w:rPr>
          <w:rFonts w:eastAsia="Times New Roman"/>
          <w:color w:val="000000"/>
          <w:sz w:val="26"/>
          <w:szCs w:val="26"/>
        </w:rPr>
        <w:t xml:space="preserve">nterstate </w:t>
      </w:r>
      <w:r w:rsidR="008A301E">
        <w:rPr>
          <w:rFonts w:eastAsia="Times New Roman"/>
          <w:color w:val="000000"/>
          <w:sz w:val="26"/>
          <w:szCs w:val="26"/>
        </w:rPr>
        <w:t>TRS Fund</w:t>
      </w:r>
      <w:r>
        <w:rPr>
          <w:rFonts w:eastAsia="Times New Roman"/>
          <w:color w:val="000000"/>
          <w:sz w:val="26"/>
          <w:szCs w:val="26"/>
        </w:rPr>
        <w:t>.</w:t>
      </w:r>
      <w:r>
        <w:rPr>
          <w:rStyle w:val="FootnoteReference"/>
          <w:rFonts w:eastAsia="Times New Roman"/>
          <w:color w:val="000000"/>
          <w:sz w:val="26"/>
          <w:szCs w:val="26"/>
        </w:rPr>
        <w:footnoteReference w:id="13"/>
      </w:r>
    </w:p>
    <w:p w14:paraId="27BA87A9" w14:textId="77777777" w:rsidR="00114FA9" w:rsidRDefault="00114FA9" w:rsidP="006F140D">
      <w:pPr>
        <w:ind w:firstLine="720"/>
        <w:rPr>
          <w:rFonts w:eastAsia="Times New Roman"/>
          <w:color w:val="000000"/>
          <w:sz w:val="26"/>
          <w:szCs w:val="26"/>
          <w:lang w:val="en"/>
        </w:rPr>
      </w:pPr>
    </w:p>
    <w:p w14:paraId="39F325A7" w14:textId="503C6759" w:rsidR="00114FA9" w:rsidRDefault="00114FA9" w:rsidP="00114FA9">
      <w:pPr>
        <w:ind w:firstLine="720"/>
        <w:rPr>
          <w:rFonts w:eastAsia="Times New Roman"/>
          <w:color w:val="000000"/>
          <w:sz w:val="26"/>
          <w:szCs w:val="26"/>
          <w:lang w:val="en"/>
        </w:rPr>
      </w:pPr>
      <w:r>
        <w:rPr>
          <w:rFonts w:eastAsia="Times New Roman"/>
          <w:color w:val="000000"/>
          <w:sz w:val="26"/>
          <w:szCs w:val="26"/>
        </w:rPr>
        <w:t>In its comments, the Pa. PUC did not take issue with the Commission’s authority to promulgate regulations regarding cost allocations between the interstate and intrastate TRS costs.</w:t>
      </w:r>
      <w:r>
        <w:rPr>
          <w:rStyle w:val="FootnoteReference"/>
          <w:rFonts w:eastAsia="Times New Roman"/>
          <w:color w:val="000000"/>
          <w:sz w:val="26"/>
          <w:szCs w:val="26"/>
        </w:rPr>
        <w:footnoteReference w:id="14"/>
      </w:r>
      <w:r>
        <w:rPr>
          <w:rFonts w:eastAsia="Times New Roman"/>
          <w:color w:val="000000"/>
          <w:sz w:val="26"/>
          <w:szCs w:val="26"/>
        </w:rPr>
        <w:t xml:space="preserve"> </w:t>
      </w:r>
      <w:r w:rsidR="00E20FF2">
        <w:rPr>
          <w:rFonts w:eastAsia="Times New Roman"/>
          <w:color w:val="000000"/>
          <w:sz w:val="26"/>
          <w:szCs w:val="26"/>
        </w:rPr>
        <w:t xml:space="preserve"> </w:t>
      </w:r>
      <w:r>
        <w:rPr>
          <w:rFonts w:eastAsia="Times New Roman"/>
          <w:color w:val="000000"/>
          <w:sz w:val="26"/>
          <w:szCs w:val="26"/>
        </w:rPr>
        <w:t xml:space="preserve">However, the Pa. PUC believes that the Commission’s statutory ability to differentiate between interstate and intrastate TRS costs does not grant the Commission the </w:t>
      </w:r>
      <w:r w:rsidR="00E20FF2">
        <w:rPr>
          <w:rFonts w:eastAsia="Times New Roman"/>
          <w:color w:val="000000"/>
          <w:sz w:val="26"/>
          <w:szCs w:val="26"/>
        </w:rPr>
        <w:t xml:space="preserve">plenary </w:t>
      </w:r>
      <w:r>
        <w:rPr>
          <w:rFonts w:eastAsia="Times New Roman"/>
          <w:color w:val="000000"/>
          <w:sz w:val="26"/>
          <w:szCs w:val="26"/>
        </w:rPr>
        <w:t xml:space="preserve">authority to assess </w:t>
      </w:r>
      <w:r w:rsidRPr="006442F6">
        <w:rPr>
          <w:rFonts w:eastAsia="Times New Roman"/>
          <w:i/>
          <w:color w:val="000000"/>
          <w:sz w:val="26"/>
          <w:szCs w:val="26"/>
        </w:rPr>
        <w:t>intrastate revenues</w:t>
      </w:r>
      <w:r>
        <w:rPr>
          <w:rFonts w:eastAsia="Times New Roman"/>
          <w:color w:val="000000"/>
          <w:sz w:val="26"/>
          <w:szCs w:val="26"/>
        </w:rPr>
        <w:t xml:space="preserve"> for the purpose of recovering </w:t>
      </w:r>
      <w:r>
        <w:rPr>
          <w:rFonts w:eastAsia="Times New Roman"/>
          <w:i/>
          <w:color w:val="000000"/>
          <w:sz w:val="26"/>
          <w:szCs w:val="26"/>
        </w:rPr>
        <w:t xml:space="preserve">interstate </w:t>
      </w:r>
      <w:r w:rsidRPr="009B1DCA">
        <w:rPr>
          <w:rFonts w:eastAsia="Times New Roman"/>
          <w:i/>
          <w:color w:val="000000"/>
          <w:sz w:val="26"/>
          <w:szCs w:val="26"/>
        </w:rPr>
        <w:t>TRS costs</w:t>
      </w:r>
      <w:r>
        <w:rPr>
          <w:rFonts w:eastAsia="Times New Roman"/>
          <w:color w:val="000000"/>
          <w:sz w:val="26"/>
          <w:szCs w:val="26"/>
        </w:rPr>
        <w:t xml:space="preserve">. </w:t>
      </w:r>
      <w:r w:rsidR="00E20FF2">
        <w:rPr>
          <w:rFonts w:eastAsia="Times New Roman"/>
          <w:color w:val="000000"/>
          <w:sz w:val="26"/>
          <w:szCs w:val="26"/>
        </w:rPr>
        <w:t xml:space="preserve"> </w:t>
      </w:r>
      <w:r w:rsidR="00CD4038">
        <w:rPr>
          <w:rFonts w:eastAsia="Times New Roman"/>
          <w:color w:val="000000"/>
          <w:sz w:val="26"/>
          <w:szCs w:val="26"/>
        </w:rPr>
        <w:t>Consequently</w:t>
      </w:r>
      <w:r>
        <w:rPr>
          <w:rFonts w:eastAsia="Times New Roman"/>
          <w:color w:val="000000"/>
          <w:sz w:val="26"/>
          <w:szCs w:val="26"/>
        </w:rPr>
        <w:t xml:space="preserve">, the Pa. PUC agrees with those commentators who assert that the Commission lacks the requisite statutory authority to assess </w:t>
      </w:r>
      <w:r w:rsidRPr="009B1DCA">
        <w:rPr>
          <w:rFonts w:eastAsia="Times New Roman"/>
          <w:i/>
          <w:color w:val="000000"/>
          <w:sz w:val="26"/>
          <w:szCs w:val="26"/>
        </w:rPr>
        <w:t>intrastate</w:t>
      </w:r>
      <w:r>
        <w:rPr>
          <w:rFonts w:eastAsia="Times New Roman"/>
          <w:color w:val="000000"/>
          <w:sz w:val="26"/>
          <w:szCs w:val="26"/>
        </w:rPr>
        <w:t xml:space="preserve"> service revenues in order to fund the </w:t>
      </w:r>
      <w:r w:rsidRPr="009B1DCA">
        <w:rPr>
          <w:rFonts w:eastAsia="Times New Roman"/>
          <w:i/>
          <w:color w:val="000000"/>
          <w:sz w:val="26"/>
          <w:szCs w:val="26"/>
        </w:rPr>
        <w:t>interstate</w:t>
      </w:r>
      <w:r>
        <w:rPr>
          <w:rFonts w:eastAsia="Times New Roman"/>
          <w:color w:val="000000"/>
          <w:sz w:val="26"/>
          <w:szCs w:val="26"/>
        </w:rPr>
        <w:t xml:space="preserve"> costs of IP</w:t>
      </w:r>
      <w:r w:rsidR="003367DE">
        <w:rPr>
          <w:rFonts w:eastAsia="Times New Roman"/>
          <w:color w:val="000000"/>
          <w:sz w:val="26"/>
          <w:szCs w:val="26"/>
        </w:rPr>
        <w:t> </w:t>
      </w:r>
      <w:r>
        <w:rPr>
          <w:rFonts w:eastAsia="Times New Roman"/>
          <w:color w:val="000000"/>
          <w:sz w:val="26"/>
          <w:szCs w:val="26"/>
        </w:rPr>
        <w:t>CTS.</w:t>
      </w:r>
      <w:r>
        <w:rPr>
          <w:rStyle w:val="FootnoteReference"/>
          <w:rFonts w:eastAsia="Times New Roman"/>
          <w:color w:val="000000"/>
          <w:sz w:val="26"/>
          <w:szCs w:val="26"/>
        </w:rPr>
        <w:footnoteReference w:id="15"/>
      </w:r>
      <w:r>
        <w:rPr>
          <w:rFonts w:eastAsia="Times New Roman"/>
          <w:color w:val="000000"/>
          <w:sz w:val="26"/>
          <w:szCs w:val="26"/>
          <w:lang w:val="en"/>
        </w:rPr>
        <w:t xml:space="preserve"> </w:t>
      </w:r>
    </w:p>
    <w:p w14:paraId="3FF8478B" w14:textId="77777777" w:rsidR="006F140D" w:rsidRDefault="006F140D" w:rsidP="009720B1">
      <w:pPr>
        <w:ind w:firstLine="720"/>
        <w:rPr>
          <w:rFonts w:eastAsia="Times New Roman"/>
          <w:color w:val="000000"/>
          <w:sz w:val="26"/>
          <w:szCs w:val="26"/>
          <w:lang w:val="en"/>
        </w:rPr>
      </w:pPr>
    </w:p>
    <w:p w14:paraId="32DD6B1A" w14:textId="3855A3DD" w:rsidR="009D50BA" w:rsidRDefault="000C27B8" w:rsidP="000C27B8">
      <w:pPr>
        <w:ind w:firstLine="720"/>
        <w:rPr>
          <w:rFonts w:eastAsia="Times New Roman"/>
          <w:color w:val="000000"/>
          <w:sz w:val="26"/>
          <w:szCs w:val="26"/>
          <w:lang w:val="en"/>
        </w:rPr>
      </w:pPr>
      <w:r w:rsidRPr="000C27B8">
        <w:rPr>
          <w:rFonts w:eastAsia="Times New Roman"/>
          <w:color w:val="000000"/>
          <w:sz w:val="26"/>
          <w:szCs w:val="26"/>
          <w:lang w:val="en"/>
        </w:rPr>
        <w:t xml:space="preserve">The </w:t>
      </w:r>
      <w:r>
        <w:rPr>
          <w:rFonts w:eastAsia="Times New Roman"/>
          <w:color w:val="000000"/>
          <w:sz w:val="26"/>
          <w:szCs w:val="26"/>
          <w:lang w:val="en"/>
        </w:rPr>
        <w:t xml:space="preserve">Act, as amended, </w:t>
      </w:r>
      <w:r w:rsidRPr="000C27B8">
        <w:rPr>
          <w:rFonts w:eastAsia="Times New Roman"/>
          <w:color w:val="000000"/>
          <w:sz w:val="26"/>
          <w:szCs w:val="26"/>
        </w:rPr>
        <w:t>create</w:t>
      </w:r>
      <w:r>
        <w:rPr>
          <w:rFonts w:eastAsia="Times New Roman"/>
          <w:color w:val="000000"/>
          <w:sz w:val="26"/>
          <w:szCs w:val="26"/>
        </w:rPr>
        <w:t>d</w:t>
      </w:r>
      <w:r w:rsidRPr="000C27B8">
        <w:rPr>
          <w:rFonts w:eastAsia="Times New Roman"/>
          <w:color w:val="000000"/>
          <w:sz w:val="26"/>
          <w:szCs w:val="26"/>
        </w:rPr>
        <w:t xml:space="preserve"> a system of </w:t>
      </w:r>
      <w:r w:rsidR="009E2983">
        <w:rPr>
          <w:rFonts w:eastAsia="Times New Roman"/>
          <w:color w:val="000000"/>
          <w:sz w:val="26"/>
          <w:szCs w:val="26"/>
        </w:rPr>
        <w:t>“</w:t>
      </w:r>
      <w:r w:rsidRPr="000C27B8">
        <w:rPr>
          <w:rFonts w:eastAsia="Times New Roman"/>
          <w:color w:val="000000"/>
          <w:sz w:val="26"/>
          <w:szCs w:val="26"/>
        </w:rPr>
        <w:t>dual jurisdiction</w:t>
      </w:r>
      <w:r w:rsidR="009E2983">
        <w:rPr>
          <w:rFonts w:eastAsia="Times New Roman"/>
          <w:color w:val="000000"/>
          <w:sz w:val="26"/>
          <w:szCs w:val="26"/>
        </w:rPr>
        <w:t>”</w:t>
      </w:r>
      <w:r w:rsidRPr="000C27B8">
        <w:rPr>
          <w:rFonts w:eastAsia="Times New Roman"/>
          <w:color w:val="000000"/>
          <w:sz w:val="26"/>
          <w:szCs w:val="26"/>
        </w:rPr>
        <w:t xml:space="preserve"> over communications</w:t>
      </w:r>
      <w:r>
        <w:rPr>
          <w:rFonts w:eastAsia="Times New Roman"/>
          <w:color w:val="000000"/>
          <w:sz w:val="26"/>
          <w:szCs w:val="26"/>
        </w:rPr>
        <w:t xml:space="preserve"> </w:t>
      </w:r>
      <w:r w:rsidRPr="000C27B8">
        <w:rPr>
          <w:rFonts w:eastAsia="Times New Roman"/>
          <w:color w:val="000000"/>
          <w:sz w:val="26"/>
          <w:szCs w:val="26"/>
          <w:lang w:val="en"/>
        </w:rPr>
        <w:t>between federal and state authorities.</w:t>
      </w:r>
      <w:r>
        <w:rPr>
          <w:rFonts w:eastAsia="Times New Roman"/>
          <w:color w:val="000000"/>
          <w:sz w:val="26"/>
          <w:szCs w:val="26"/>
          <w:lang w:val="en"/>
        </w:rPr>
        <w:t xml:space="preserve">  </w:t>
      </w:r>
      <w:r w:rsidR="000E6DA6">
        <w:rPr>
          <w:rFonts w:eastAsia="Times New Roman"/>
          <w:color w:val="000000"/>
          <w:sz w:val="26"/>
          <w:szCs w:val="26"/>
          <w:lang w:val="en"/>
        </w:rPr>
        <w:t xml:space="preserve">Section 2(a) of the </w:t>
      </w:r>
      <w:r w:rsidR="00E34C23">
        <w:rPr>
          <w:rFonts w:eastAsia="Times New Roman"/>
          <w:color w:val="000000"/>
          <w:sz w:val="26"/>
          <w:szCs w:val="26"/>
        </w:rPr>
        <w:t>Act</w:t>
      </w:r>
      <w:r>
        <w:rPr>
          <w:rFonts w:eastAsia="Times New Roman"/>
          <w:color w:val="000000"/>
          <w:sz w:val="26"/>
          <w:szCs w:val="26"/>
        </w:rPr>
        <w:t xml:space="preserve"> </w:t>
      </w:r>
      <w:r w:rsidR="00271ADC" w:rsidRPr="00271ADC">
        <w:rPr>
          <w:rFonts w:eastAsia="Times New Roman"/>
          <w:color w:val="000000"/>
          <w:sz w:val="26"/>
          <w:szCs w:val="26"/>
        </w:rPr>
        <w:t xml:space="preserve">grants the </w:t>
      </w:r>
      <w:r>
        <w:rPr>
          <w:rFonts w:eastAsia="Times New Roman"/>
          <w:color w:val="000000"/>
          <w:sz w:val="26"/>
          <w:szCs w:val="26"/>
        </w:rPr>
        <w:t xml:space="preserve">Commission </w:t>
      </w:r>
      <w:r w:rsidR="00E34C23">
        <w:rPr>
          <w:rFonts w:eastAsia="Times New Roman"/>
          <w:color w:val="000000"/>
          <w:sz w:val="26"/>
          <w:szCs w:val="26"/>
        </w:rPr>
        <w:t xml:space="preserve">the exclusive </w:t>
      </w:r>
      <w:r w:rsidR="00271ADC" w:rsidRPr="00271ADC">
        <w:rPr>
          <w:rFonts w:eastAsia="Times New Roman"/>
          <w:color w:val="000000"/>
          <w:sz w:val="26"/>
          <w:szCs w:val="26"/>
        </w:rPr>
        <w:t xml:space="preserve">authority to </w:t>
      </w:r>
      <w:r w:rsidR="009E2983">
        <w:rPr>
          <w:rFonts w:eastAsia="Times New Roman"/>
          <w:color w:val="000000"/>
          <w:sz w:val="26"/>
          <w:szCs w:val="26"/>
        </w:rPr>
        <w:t>“</w:t>
      </w:r>
      <w:r w:rsidR="00271ADC" w:rsidRPr="00271ADC">
        <w:rPr>
          <w:rFonts w:eastAsia="Times New Roman"/>
          <w:color w:val="000000"/>
          <w:sz w:val="26"/>
          <w:szCs w:val="26"/>
        </w:rPr>
        <w:t xml:space="preserve">regulat[e] </w:t>
      </w:r>
      <w:r w:rsidR="00E34C23">
        <w:rPr>
          <w:rFonts w:eastAsia="Times New Roman"/>
          <w:color w:val="000000"/>
          <w:sz w:val="26"/>
          <w:szCs w:val="26"/>
        </w:rPr>
        <w:t xml:space="preserve">all </w:t>
      </w:r>
      <w:r w:rsidR="00271ADC" w:rsidRPr="00271ADC">
        <w:rPr>
          <w:rFonts w:eastAsia="Times New Roman"/>
          <w:i/>
          <w:iCs/>
          <w:color w:val="000000"/>
          <w:sz w:val="26"/>
          <w:szCs w:val="26"/>
        </w:rPr>
        <w:t xml:space="preserve">interstate </w:t>
      </w:r>
      <w:r w:rsidR="00271ADC" w:rsidRPr="00271ADC">
        <w:rPr>
          <w:rFonts w:eastAsia="Times New Roman"/>
          <w:color w:val="000000"/>
          <w:sz w:val="26"/>
          <w:szCs w:val="26"/>
        </w:rPr>
        <w:t>and foreign communication by wire and</w:t>
      </w:r>
      <w:r w:rsidR="00271ADC">
        <w:rPr>
          <w:rFonts w:eastAsia="Times New Roman"/>
          <w:color w:val="000000"/>
          <w:sz w:val="26"/>
          <w:szCs w:val="26"/>
        </w:rPr>
        <w:t xml:space="preserve"> </w:t>
      </w:r>
      <w:r w:rsidR="00271ADC" w:rsidRPr="00271ADC">
        <w:rPr>
          <w:rFonts w:eastAsia="Times New Roman"/>
          <w:color w:val="000000"/>
          <w:sz w:val="26"/>
          <w:szCs w:val="26"/>
        </w:rPr>
        <w:t>radio</w:t>
      </w:r>
      <w:r w:rsidR="00114FA9">
        <w:rPr>
          <w:rFonts w:eastAsia="Times New Roman"/>
          <w:color w:val="000000"/>
          <w:sz w:val="26"/>
          <w:szCs w:val="26"/>
        </w:rPr>
        <w:t>[.]</w:t>
      </w:r>
      <w:r w:rsidR="009E2983">
        <w:rPr>
          <w:rFonts w:eastAsia="Times New Roman"/>
          <w:color w:val="000000"/>
          <w:sz w:val="26"/>
          <w:szCs w:val="26"/>
        </w:rPr>
        <w:t>”</w:t>
      </w:r>
      <w:r w:rsidR="00E34C23">
        <w:rPr>
          <w:rStyle w:val="FootnoteReference"/>
          <w:rFonts w:eastAsia="Times New Roman"/>
          <w:color w:val="000000"/>
          <w:sz w:val="26"/>
          <w:szCs w:val="26"/>
        </w:rPr>
        <w:footnoteReference w:id="16"/>
      </w:r>
      <w:r w:rsidR="00271ADC">
        <w:rPr>
          <w:rFonts w:eastAsia="Times New Roman"/>
          <w:color w:val="000000"/>
          <w:sz w:val="26"/>
          <w:szCs w:val="26"/>
        </w:rPr>
        <w:t xml:space="preserve">  Concomitantly, </w:t>
      </w:r>
      <w:r w:rsidR="000E6DA6">
        <w:rPr>
          <w:rFonts w:eastAsia="Times New Roman"/>
          <w:color w:val="000000"/>
          <w:sz w:val="26"/>
          <w:szCs w:val="26"/>
        </w:rPr>
        <w:t xml:space="preserve">Section 2(b) of </w:t>
      </w:r>
      <w:r w:rsidR="00271ADC" w:rsidRPr="00271ADC">
        <w:rPr>
          <w:rFonts w:eastAsia="Times New Roman"/>
          <w:color w:val="000000"/>
          <w:sz w:val="26"/>
          <w:szCs w:val="26"/>
        </w:rPr>
        <w:t xml:space="preserve">the Act </w:t>
      </w:r>
      <w:r w:rsidRPr="00E34C23">
        <w:rPr>
          <w:rFonts w:eastAsia="Times New Roman"/>
          <w:color w:val="000000"/>
          <w:sz w:val="26"/>
          <w:szCs w:val="26"/>
          <w:lang w:val="en"/>
        </w:rPr>
        <w:t xml:space="preserve">reserves to the </w:t>
      </w:r>
      <w:r w:rsidR="005C7BDE">
        <w:rPr>
          <w:rFonts w:eastAsia="Times New Roman"/>
          <w:color w:val="000000"/>
          <w:sz w:val="26"/>
          <w:szCs w:val="26"/>
          <w:lang w:val="en"/>
        </w:rPr>
        <w:t>s</w:t>
      </w:r>
      <w:r w:rsidRPr="00E34C23">
        <w:rPr>
          <w:rFonts w:eastAsia="Times New Roman"/>
          <w:color w:val="000000"/>
          <w:sz w:val="26"/>
          <w:szCs w:val="26"/>
          <w:lang w:val="en"/>
        </w:rPr>
        <w:t xml:space="preserve">tates jurisdiction over </w:t>
      </w:r>
      <w:r w:rsidR="009E2983">
        <w:rPr>
          <w:rFonts w:eastAsia="Times New Roman"/>
          <w:color w:val="000000"/>
          <w:sz w:val="26"/>
          <w:szCs w:val="26"/>
          <w:lang w:val="en"/>
        </w:rPr>
        <w:t>“</w:t>
      </w:r>
      <w:r w:rsidRPr="00E34C23">
        <w:rPr>
          <w:rFonts w:eastAsia="Times New Roman"/>
          <w:color w:val="000000"/>
          <w:sz w:val="26"/>
          <w:szCs w:val="26"/>
          <w:lang w:val="en"/>
        </w:rPr>
        <w:t xml:space="preserve">charges, classifications, practices, services, facilities, or regulations for or in connection with </w:t>
      </w:r>
      <w:r w:rsidRPr="000C27B8">
        <w:rPr>
          <w:rFonts w:eastAsia="Times New Roman"/>
          <w:i/>
          <w:color w:val="000000"/>
          <w:sz w:val="26"/>
          <w:szCs w:val="26"/>
          <w:lang w:val="en"/>
        </w:rPr>
        <w:t>intrastate</w:t>
      </w:r>
      <w:r w:rsidRPr="00E34C23">
        <w:rPr>
          <w:rFonts w:eastAsia="Times New Roman"/>
          <w:color w:val="000000"/>
          <w:sz w:val="26"/>
          <w:szCs w:val="26"/>
          <w:lang w:val="en"/>
        </w:rPr>
        <w:t xml:space="preserve"> communication service by wire or radio of any carrier.</w:t>
      </w:r>
      <w:r w:rsidR="009E2983">
        <w:rPr>
          <w:rFonts w:eastAsia="Times New Roman"/>
          <w:color w:val="000000"/>
          <w:sz w:val="26"/>
          <w:szCs w:val="26"/>
          <w:lang w:val="en"/>
        </w:rPr>
        <w:t>”</w:t>
      </w:r>
      <w:r>
        <w:rPr>
          <w:rStyle w:val="FootnoteReference"/>
          <w:rFonts w:eastAsia="Times New Roman"/>
          <w:color w:val="000000"/>
          <w:sz w:val="26"/>
          <w:szCs w:val="26"/>
          <w:lang w:val="en"/>
        </w:rPr>
        <w:footnoteReference w:id="17"/>
      </w:r>
      <w:r w:rsidR="006A4CAD">
        <w:rPr>
          <w:rFonts w:eastAsia="Times New Roman"/>
          <w:color w:val="000000"/>
          <w:sz w:val="26"/>
          <w:szCs w:val="26"/>
          <w:lang w:val="en"/>
        </w:rPr>
        <w:t xml:space="preserve">  </w:t>
      </w:r>
      <w:r>
        <w:rPr>
          <w:rFonts w:eastAsia="Times New Roman"/>
          <w:color w:val="000000"/>
          <w:sz w:val="26"/>
          <w:szCs w:val="26"/>
          <w:lang w:val="en"/>
        </w:rPr>
        <w:t xml:space="preserve">Generally, </w:t>
      </w:r>
      <w:r>
        <w:rPr>
          <w:rFonts w:eastAsia="Times New Roman"/>
          <w:color w:val="000000"/>
          <w:sz w:val="26"/>
          <w:szCs w:val="26"/>
          <w:lang w:val="en"/>
        </w:rPr>
        <w:lastRenderedPageBreak/>
        <w:t xml:space="preserve">Section 2(b) of the Act has been interpreted </w:t>
      </w:r>
      <w:r w:rsidR="000E6DA6">
        <w:rPr>
          <w:rFonts w:eastAsia="Times New Roman"/>
          <w:color w:val="000000"/>
          <w:sz w:val="26"/>
          <w:szCs w:val="26"/>
          <w:lang w:val="en"/>
        </w:rPr>
        <w:t xml:space="preserve">as fencing </w:t>
      </w:r>
      <w:r w:rsidR="000E6DA6" w:rsidRPr="000E6DA6">
        <w:rPr>
          <w:rFonts w:eastAsia="Times New Roman"/>
          <w:color w:val="000000"/>
          <w:sz w:val="26"/>
          <w:szCs w:val="26"/>
          <w:lang w:val="en"/>
        </w:rPr>
        <w:t xml:space="preserve">off </w:t>
      </w:r>
      <w:r w:rsidR="00114FA9">
        <w:rPr>
          <w:rFonts w:eastAsia="Times New Roman"/>
          <w:color w:val="000000"/>
          <w:sz w:val="26"/>
          <w:szCs w:val="26"/>
          <w:lang w:val="en"/>
        </w:rPr>
        <w:t xml:space="preserve">intrastate matters </w:t>
      </w:r>
      <w:r w:rsidR="000E6DA6" w:rsidRPr="000E6DA6">
        <w:rPr>
          <w:rFonts w:eastAsia="Times New Roman"/>
          <w:color w:val="000000"/>
          <w:sz w:val="26"/>
          <w:szCs w:val="26"/>
          <w:lang w:val="en"/>
        </w:rPr>
        <w:t xml:space="preserve">from </w:t>
      </w:r>
      <w:r w:rsidR="000E6DA6">
        <w:rPr>
          <w:rFonts w:eastAsia="Times New Roman"/>
          <w:color w:val="000000"/>
          <w:sz w:val="26"/>
          <w:szCs w:val="26"/>
          <w:lang w:val="en"/>
        </w:rPr>
        <w:t xml:space="preserve">the Commission’s </w:t>
      </w:r>
      <w:r w:rsidR="000E6DA6" w:rsidRPr="000E6DA6">
        <w:rPr>
          <w:rFonts w:eastAsia="Times New Roman"/>
          <w:color w:val="000000"/>
          <w:sz w:val="26"/>
          <w:szCs w:val="26"/>
          <w:lang w:val="en"/>
        </w:rPr>
        <w:t>reach or regulation</w:t>
      </w:r>
      <w:r w:rsidR="000E6DA6">
        <w:rPr>
          <w:rFonts w:eastAsia="Times New Roman"/>
          <w:color w:val="000000"/>
          <w:sz w:val="26"/>
          <w:szCs w:val="26"/>
          <w:lang w:val="en"/>
        </w:rPr>
        <w:t>.  However, t</w:t>
      </w:r>
      <w:r w:rsidRPr="000C27B8">
        <w:rPr>
          <w:rFonts w:eastAsia="Times New Roman"/>
          <w:color w:val="000000"/>
          <w:sz w:val="26"/>
          <w:szCs w:val="26"/>
          <w:lang w:val="en"/>
        </w:rPr>
        <w:t>he reservation of state regulatory authority over intrastate communication</w:t>
      </w:r>
      <w:r w:rsidR="00631EB0">
        <w:rPr>
          <w:rFonts w:eastAsia="Times New Roman"/>
          <w:color w:val="000000"/>
          <w:sz w:val="26"/>
          <w:szCs w:val="26"/>
          <w:lang w:val="en"/>
        </w:rPr>
        <w:t>s</w:t>
      </w:r>
      <w:r w:rsidRPr="000C27B8">
        <w:rPr>
          <w:rFonts w:eastAsia="Times New Roman"/>
          <w:color w:val="000000"/>
          <w:sz w:val="26"/>
          <w:szCs w:val="26"/>
          <w:lang w:val="en"/>
        </w:rPr>
        <w:t xml:space="preserve"> is made </w:t>
      </w:r>
      <w:r w:rsidR="009E2983">
        <w:rPr>
          <w:rFonts w:eastAsia="Times New Roman"/>
          <w:color w:val="000000"/>
          <w:sz w:val="26"/>
          <w:szCs w:val="26"/>
          <w:lang w:val="en"/>
        </w:rPr>
        <w:t>“</w:t>
      </w:r>
      <w:r w:rsidRPr="000C27B8">
        <w:rPr>
          <w:rFonts w:eastAsia="Times New Roman"/>
          <w:color w:val="000000"/>
          <w:sz w:val="26"/>
          <w:szCs w:val="26"/>
          <w:lang w:val="en"/>
        </w:rPr>
        <w:t xml:space="preserve">[s]ubject to the provisions of [47 U.S.C.] section </w:t>
      </w:r>
      <w:r w:rsidR="000E6DA6">
        <w:rPr>
          <w:rFonts w:eastAsia="Times New Roman"/>
          <w:color w:val="000000"/>
          <w:sz w:val="26"/>
          <w:szCs w:val="26"/>
          <w:lang w:val="en"/>
        </w:rPr>
        <w:t>225</w:t>
      </w:r>
      <w:r w:rsidRPr="000C27B8">
        <w:rPr>
          <w:rFonts w:eastAsia="Times New Roman"/>
          <w:color w:val="000000"/>
          <w:sz w:val="26"/>
          <w:szCs w:val="26"/>
          <w:lang w:val="en"/>
        </w:rPr>
        <w:t>,</w:t>
      </w:r>
      <w:r w:rsidR="009E2983">
        <w:rPr>
          <w:rFonts w:eastAsia="Times New Roman"/>
          <w:color w:val="000000"/>
          <w:sz w:val="26"/>
          <w:szCs w:val="26"/>
          <w:lang w:val="en"/>
        </w:rPr>
        <w:t>”</w:t>
      </w:r>
      <w:r w:rsidR="00631EB0">
        <w:rPr>
          <w:rStyle w:val="FootnoteReference"/>
          <w:rFonts w:eastAsia="Times New Roman"/>
          <w:color w:val="000000"/>
          <w:sz w:val="26"/>
          <w:szCs w:val="26"/>
          <w:lang w:val="en"/>
        </w:rPr>
        <w:footnoteReference w:id="18"/>
      </w:r>
      <w:r w:rsidR="000E6DA6">
        <w:rPr>
          <w:rFonts w:eastAsia="Times New Roman"/>
          <w:color w:val="000000"/>
          <w:sz w:val="26"/>
          <w:szCs w:val="26"/>
          <w:lang w:val="en"/>
        </w:rPr>
        <w:t xml:space="preserve"> </w:t>
      </w:r>
      <w:r w:rsidRPr="000C27B8">
        <w:rPr>
          <w:rFonts w:eastAsia="Times New Roman"/>
          <w:color w:val="000000"/>
          <w:sz w:val="26"/>
          <w:szCs w:val="26"/>
          <w:lang w:val="en"/>
        </w:rPr>
        <w:t xml:space="preserve">which directs the Commission </w:t>
      </w:r>
      <w:r w:rsidR="000E6DA6" w:rsidRPr="000E6DA6">
        <w:rPr>
          <w:rFonts w:eastAsia="Times New Roman"/>
          <w:color w:val="000000"/>
          <w:sz w:val="26"/>
          <w:szCs w:val="26"/>
          <w:lang w:val="en"/>
        </w:rPr>
        <w:t xml:space="preserve">to </w:t>
      </w:r>
      <w:r w:rsidR="000E6DA6">
        <w:rPr>
          <w:rFonts w:eastAsia="Times New Roman"/>
          <w:color w:val="000000"/>
          <w:sz w:val="26"/>
          <w:szCs w:val="26"/>
          <w:lang w:val="en"/>
        </w:rPr>
        <w:t>“</w:t>
      </w:r>
      <w:r w:rsidR="000E6DA6" w:rsidRPr="000E6DA6">
        <w:rPr>
          <w:rFonts w:eastAsia="Times New Roman"/>
          <w:color w:val="000000"/>
          <w:sz w:val="26"/>
          <w:szCs w:val="26"/>
          <w:lang w:val="en"/>
        </w:rPr>
        <w:t>ensure that interstate and intrastate telecommunications relay services are available, to the extent possible and in the most efficient manner, to hearing-impaired and speech-impaired individuals in the United States</w:t>
      </w:r>
      <w:r w:rsidR="000E6DA6">
        <w:rPr>
          <w:rFonts w:eastAsia="Times New Roman"/>
          <w:color w:val="000000"/>
          <w:sz w:val="26"/>
          <w:szCs w:val="26"/>
          <w:lang w:val="en"/>
        </w:rPr>
        <w:t>” i</w:t>
      </w:r>
      <w:r w:rsidR="000E6DA6" w:rsidRPr="000E6DA6">
        <w:rPr>
          <w:rFonts w:eastAsia="Times New Roman"/>
          <w:color w:val="000000"/>
          <w:sz w:val="26"/>
          <w:szCs w:val="26"/>
          <w:lang w:val="en"/>
        </w:rPr>
        <w:t xml:space="preserve">n order to carry out the purposes established under </w:t>
      </w:r>
      <w:r w:rsidR="000E6DA6">
        <w:rPr>
          <w:rFonts w:eastAsia="Times New Roman"/>
          <w:color w:val="000000"/>
          <w:sz w:val="26"/>
          <w:szCs w:val="26"/>
          <w:lang w:val="en"/>
        </w:rPr>
        <w:t>Section 1 of the Act, 47</w:t>
      </w:r>
      <w:r w:rsidR="003367DE">
        <w:rPr>
          <w:rFonts w:eastAsia="Times New Roman"/>
          <w:color w:val="000000"/>
          <w:sz w:val="26"/>
          <w:szCs w:val="26"/>
          <w:lang w:val="en"/>
        </w:rPr>
        <w:t> </w:t>
      </w:r>
      <w:r w:rsidR="000E6DA6">
        <w:rPr>
          <w:rFonts w:eastAsia="Times New Roman"/>
          <w:color w:val="000000"/>
          <w:sz w:val="26"/>
          <w:szCs w:val="26"/>
          <w:lang w:val="en"/>
        </w:rPr>
        <w:t xml:space="preserve">U.S.C. § </w:t>
      </w:r>
      <w:r w:rsidR="000E6DA6" w:rsidRPr="000E6DA6">
        <w:rPr>
          <w:rFonts w:eastAsia="Times New Roman"/>
          <w:color w:val="000000"/>
          <w:sz w:val="26"/>
          <w:szCs w:val="26"/>
          <w:lang w:val="en"/>
        </w:rPr>
        <w:t>151</w:t>
      </w:r>
      <w:r w:rsidR="000E6DA6">
        <w:rPr>
          <w:rFonts w:eastAsia="Times New Roman"/>
          <w:color w:val="000000"/>
          <w:sz w:val="26"/>
          <w:szCs w:val="26"/>
          <w:lang w:val="en"/>
        </w:rPr>
        <w:t>.</w:t>
      </w:r>
      <w:r w:rsidR="000E6DA6">
        <w:rPr>
          <w:rStyle w:val="FootnoteReference"/>
          <w:rFonts w:eastAsia="Times New Roman"/>
          <w:color w:val="000000"/>
          <w:sz w:val="26"/>
          <w:szCs w:val="26"/>
          <w:lang w:val="en"/>
        </w:rPr>
        <w:footnoteReference w:id="19"/>
      </w:r>
      <w:r w:rsidR="009D50BA">
        <w:rPr>
          <w:rFonts w:eastAsia="Times New Roman"/>
          <w:color w:val="000000"/>
          <w:sz w:val="26"/>
          <w:szCs w:val="26"/>
          <w:lang w:val="en"/>
        </w:rPr>
        <w:t xml:space="preserve">  Thus, t</w:t>
      </w:r>
      <w:r w:rsidR="009D50BA" w:rsidRPr="000C27B8">
        <w:rPr>
          <w:rFonts w:eastAsia="Times New Roman"/>
          <w:color w:val="000000"/>
          <w:sz w:val="26"/>
          <w:szCs w:val="26"/>
          <w:lang w:val="en"/>
        </w:rPr>
        <w:t xml:space="preserve">he </w:t>
      </w:r>
      <w:r w:rsidR="005C7BDE">
        <w:rPr>
          <w:rFonts w:eastAsia="Times New Roman"/>
          <w:color w:val="000000"/>
          <w:sz w:val="26"/>
          <w:szCs w:val="26"/>
          <w:lang w:val="en"/>
        </w:rPr>
        <w:t>s</w:t>
      </w:r>
      <w:r w:rsidR="009D50BA" w:rsidRPr="000C27B8">
        <w:rPr>
          <w:rFonts w:eastAsia="Times New Roman"/>
          <w:color w:val="000000"/>
          <w:sz w:val="26"/>
          <w:szCs w:val="26"/>
          <w:lang w:val="en"/>
        </w:rPr>
        <w:t>tates</w:t>
      </w:r>
      <w:r w:rsidR="00C6775D">
        <w:rPr>
          <w:rFonts w:eastAsia="Times New Roman"/>
          <w:color w:val="000000"/>
          <w:sz w:val="26"/>
          <w:szCs w:val="26"/>
          <w:lang w:val="en"/>
        </w:rPr>
        <w:t>’</w:t>
      </w:r>
      <w:r w:rsidR="009D50BA" w:rsidRPr="000C27B8">
        <w:rPr>
          <w:rFonts w:eastAsia="Times New Roman"/>
          <w:color w:val="000000"/>
          <w:sz w:val="26"/>
          <w:szCs w:val="26"/>
          <w:lang w:val="en"/>
        </w:rPr>
        <w:t xml:space="preserve"> </w:t>
      </w:r>
      <w:r w:rsidR="00422697">
        <w:rPr>
          <w:rFonts w:eastAsia="Times New Roman"/>
          <w:color w:val="000000"/>
          <w:sz w:val="26"/>
          <w:szCs w:val="26"/>
          <w:lang w:val="en"/>
        </w:rPr>
        <w:t xml:space="preserve">exclusive </w:t>
      </w:r>
      <w:r w:rsidR="009D50BA" w:rsidRPr="000C27B8">
        <w:rPr>
          <w:rFonts w:eastAsia="Times New Roman"/>
          <w:color w:val="000000"/>
          <w:sz w:val="26"/>
          <w:szCs w:val="26"/>
          <w:lang w:val="en"/>
        </w:rPr>
        <w:t>authority over intrastate communication</w:t>
      </w:r>
      <w:r w:rsidR="00631EB0">
        <w:rPr>
          <w:rFonts w:eastAsia="Times New Roman"/>
          <w:color w:val="000000"/>
          <w:sz w:val="26"/>
          <w:szCs w:val="26"/>
          <w:lang w:val="en"/>
        </w:rPr>
        <w:t>s</w:t>
      </w:r>
      <w:r w:rsidR="009D50BA" w:rsidRPr="000C27B8">
        <w:rPr>
          <w:rFonts w:eastAsia="Times New Roman"/>
          <w:color w:val="000000"/>
          <w:sz w:val="26"/>
          <w:szCs w:val="26"/>
          <w:lang w:val="en"/>
        </w:rPr>
        <w:t xml:space="preserve"> under section 152(b) </w:t>
      </w:r>
      <w:r w:rsidR="009D50BA">
        <w:rPr>
          <w:rFonts w:eastAsia="Times New Roman"/>
          <w:color w:val="000000"/>
          <w:sz w:val="26"/>
          <w:szCs w:val="26"/>
          <w:lang w:val="en"/>
        </w:rPr>
        <w:t xml:space="preserve">of the Act </w:t>
      </w:r>
      <w:r w:rsidR="009D50BA" w:rsidRPr="000C27B8">
        <w:rPr>
          <w:rFonts w:eastAsia="Times New Roman"/>
          <w:color w:val="000000"/>
          <w:sz w:val="26"/>
          <w:szCs w:val="26"/>
          <w:lang w:val="en"/>
        </w:rPr>
        <w:t xml:space="preserve">is limited by the </w:t>
      </w:r>
      <w:r w:rsidR="009D50BA">
        <w:rPr>
          <w:rFonts w:eastAsia="Times New Roman"/>
          <w:color w:val="000000"/>
          <w:sz w:val="26"/>
          <w:szCs w:val="26"/>
          <w:lang w:val="en"/>
        </w:rPr>
        <w:t>Commission</w:t>
      </w:r>
      <w:r w:rsidR="00422697">
        <w:rPr>
          <w:rFonts w:eastAsia="Times New Roman"/>
          <w:color w:val="000000"/>
          <w:sz w:val="26"/>
          <w:szCs w:val="26"/>
          <w:lang w:val="en"/>
        </w:rPr>
        <w:t>’</w:t>
      </w:r>
      <w:r w:rsidR="009D50BA" w:rsidRPr="000C27B8">
        <w:rPr>
          <w:rFonts w:eastAsia="Times New Roman"/>
          <w:color w:val="000000"/>
          <w:sz w:val="26"/>
          <w:szCs w:val="26"/>
          <w:lang w:val="en"/>
        </w:rPr>
        <w:t xml:space="preserve">s general jurisdiction over </w:t>
      </w:r>
      <w:r w:rsidR="009D50BA">
        <w:rPr>
          <w:rFonts w:eastAsia="Times New Roman"/>
          <w:color w:val="000000"/>
          <w:sz w:val="26"/>
          <w:szCs w:val="26"/>
          <w:lang w:val="en"/>
        </w:rPr>
        <w:t>telecommunications relay services</w:t>
      </w:r>
      <w:r w:rsidR="009D50BA" w:rsidRPr="000C27B8">
        <w:rPr>
          <w:rFonts w:eastAsia="Times New Roman"/>
          <w:color w:val="000000"/>
          <w:sz w:val="26"/>
          <w:szCs w:val="26"/>
          <w:lang w:val="en"/>
        </w:rPr>
        <w:t>.</w:t>
      </w:r>
      <w:r w:rsidR="009D50BA">
        <w:rPr>
          <w:rStyle w:val="FootnoteReference"/>
          <w:rFonts w:eastAsia="Times New Roman"/>
          <w:color w:val="000000"/>
          <w:sz w:val="26"/>
          <w:szCs w:val="26"/>
          <w:lang w:val="en"/>
        </w:rPr>
        <w:footnoteReference w:id="20"/>
      </w:r>
    </w:p>
    <w:p w14:paraId="7362827C" w14:textId="77777777" w:rsidR="009D50BA" w:rsidRDefault="009D50BA" w:rsidP="000C27B8">
      <w:pPr>
        <w:ind w:firstLine="720"/>
        <w:rPr>
          <w:rFonts w:eastAsia="Times New Roman"/>
          <w:color w:val="000000"/>
          <w:sz w:val="26"/>
          <w:szCs w:val="26"/>
          <w:lang w:val="en"/>
        </w:rPr>
      </w:pPr>
    </w:p>
    <w:p w14:paraId="2534B82C" w14:textId="77777777" w:rsidR="00114FA9" w:rsidRDefault="000E6DA6" w:rsidP="009D50BA">
      <w:pPr>
        <w:ind w:firstLine="720"/>
        <w:rPr>
          <w:rFonts w:eastAsia="Times New Roman"/>
          <w:color w:val="000000"/>
          <w:sz w:val="26"/>
          <w:szCs w:val="26"/>
        </w:rPr>
      </w:pPr>
      <w:r>
        <w:rPr>
          <w:rFonts w:eastAsia="Times New Roman"/>
          <w:color w:val="000000"/>
          <w:sz w:val="26"/>
          <w:szCs w:val="26"/>
        </w:rPr>
        <w:t>Section 225 of the Act was enacted because p</w:t>
      </w:r>
      <w:r w:rsidR="00767764" w:rsidRPr="00767764">
        <w:rPr>
          <w:rFonts w:eastAsia="Times New Roman"/>
          <w:color w:val="000000"/>
          <w:sz w:val="26"/>
          <w:szCs w:val="26"/>
        </w:rPr>
        <w:t xml:space="preserve">rior to </w:t>
      </w:r>
      <w:r>
        <w:rPr>
          <w:rFonts w:eastAsia="Times New Roman"/>
          <w:color w:val="000000"/>
          <w:sz w:val="26"/>
          <w:szCs w:val="26"/>
        </w:rPr>
        <w:t xml:space="preserve">its </w:t>
      </w:r>
      <w:r w:rsidR="00767764" w:rsidRPr="00767764">
        <w:rPr>
          <w:rFonts w:eastAsia="Times New Roman"/>
          <w:color w:val="000000"/>
          <w:sz w:val="26"/>
          <w:szCs w:val="26"/>
        </w:rPr>
        <w:t>enactment</w:t>
      </w:r>
      <w:r>
        <w:rPr>
          <w:rFonts w:eastAsia="Times New Roman"/>
          <w:color w:val="000000"/>
          <w:sz w:val="26"/>
          <w:szCs w:val="26"/>
        </w:rPr>
        <w:t xml:space="preserve">, </w:t>
      </w:r>
      <w:r w:rsidR="00767764" w:rsidRPr="00767764">
        <w:rPr>
          <w:rFonts w:eastAsia="Times New Roman"/>
          <w:color w:val="000000"/>
          <w:sz w:val="26"/>
          <w:szCs w:val="26"/>
        </w:rPr>
        <w:t xml:space="preserve">some </w:t>
      </w:r>
      <w:r w:rsidR="00357F51">
        <w:rPr>
          <w:rFonts w:eastAsia="Times New Roman"/>
          <w:color w:val="000000"/>
          <w:sz w:val="26"/>
          <w:szCs w:val="26"/>
        </w:rPr>
        <w:t>s</w:t>
      </w:r>
      <w:r w:rsidR="00767764" w:rsidRPr="00767764">
        <w:rPr>
          <w:rFonts w:eastAsia="Times New Roman"/>
          <w:color w:val="000000"/>
          <w:sz w:val="26"/>
          <w:szCs w:val="26"/>
        </w:rPr>
        <w:t>tates</w:t>
      </w:r>
      <w:r w:rsidR="00767764">
        <w:rPr>
          <w:rFonts w:eastAsia="Times New Roman"/>
          <w:color w:val="000000"/>
          <w:sz w:val="26"/>
          <w:szCs w:val="26"/>
        </w:rPr>
        <w:t xml:space="preserve"> </w:t>
      </w:r>
      <w:r w:rsidR="00767764" w:rsidRPr="00767764">
        <w:rPr>
          <w:rFonts w:eastAsia="Times New Roman"/>
          <w:color w:val="000000"/>
          <w:sz w:val="26"/>
          <w:szCs w:val="26"/>
        </w:rPr>
        <w:t>offered relay services, but the services offered differed from state to state, were subject to many</w:t>
      </w:r>
      <w:r w:rsidR="00767764">
        <w:rPr>
          <w:rFonts w:eastAsia="Times New Roman"/>
          <w:color w:val="000000"/>
          <w:sz w:val="26"/>
          <w:szCs w:val="26"/>
        </w:rPr>
        <w:t xml:space="preserve"> </w:t>
      </w:r>
      <w:r w:rsidR="00767764" w:rsidRPr="00767764">
        <w:rPr>
          <w:rFonts w:eastAsia="Times New Roman"/>
          <w:color w:val="000000"/>
          <w:sz w:val="26"/>
          <w:szCs w:val="26"/>
        </w:rPr>
        <w:t xml:space="preserve">limitations, and were generally </w:t>
      </w:r>
      <w:r w:rsidR="000A13FB">
        <w:rPr>
          <w:rFonts w:eastAsia="Times New Roman"/>
          <w:color w:val="000000"/>
          <w:sz w:val="26"/>
          <w:szCs w:val="26"/>
        </w:rPr>
        <w:t>confined</w:t>
      </w:r>
      <w:r w:rsidR="000A13FB" w:rsidRPr="00767764">
        <w:rPr>
          <w:rFonts w:eastAsia="Times New Roman"/>
          <w:color w:val="000000"/>
          <w:sz w:val="26"/>
          <w:szCs w:val="26"/>
        </w:rPr>
        <w:t xml:space="preserve"> </w:t>
      </w:r>
      <w:r w:rsidR="00767764" w:rsidRPr="00767764">
        <w:rPr>
          <w:rFonts w:eastAsia="Times New Roman"/>
          <w:color w:val="000000"/>
          <w:sz w:val="26"/>
          <w:szCs w:val="26"/>
        </w:rPr>
        <w:t>to intrastate calls.</w:t>
      </w:r>
      <w:r w:rsidR="00767764">
        <w:rPr>
          <w:rFonts w:eastAsia="Times New Roman"/>
          <w:color w:val="000000"/>
          <w:sz w:val="26"/>
          <w:szCs w:val="26"/>
        </w:rPr>
        <w:t xml:space="preserve">  </w:t>
      </w:r>
      <w:r w:rsidR="005046E0">
        <w:rPr>
          <w:rFonts w:eastAsia="Times New Roman"/>
          <w:color w:val="000000"/>
          <w:sz w:val="26"/>
          <w:szCs w:val="26"/>
        </w:rPr>
        <w:t xml:space="preserve">Congress </w:t>
      </w:r>
      <w:r w:rsidR="00114FA9">
        <w:rPr>
          <w:rFonts w:eastAsia="Times New Roman"/>
          <w:color w:val="000000"/>
          <w:sz w:val="26"/>
          <w:szCs w:val="26"/>
        </w:rPr>
        <w:t xml:space="preserve">sought </w:t>
      </w:r>
      <w:r w:rsidR="005046E0">
        <w:rPr>
          <w:rFonts w:eastAsia="Times New Roman"/>
          <w:color w:val="000000"/>
          <w:sz w:val="26"/>
          <w:szCs w:val="26"/>
        </w:rPr>
        <w:t xml:space="preserve">to </w:t>
      </w:r>
      <w:r w:rsidR="005046E0" w:rsidRPr="005046E0">
        <w:rPr>
          <w:rFonts w:eastAsia="Times New Roman"/>
          <w:color w:val="000000"/>
          <w:sz w:val="26"/>
          <w:szCs w:val="26"/>
        </w:rPr>
        <w:t xml:space="preserve">ensure that interstate and intrastate telecommunications relay services </w:t>
      </w:r>
      <w:r w:rsidR="005046E0">
        <w:rPr>
          <w:rFonts w:eastAsia="Times New Roman"/>
          <w:color w:val="000000"/>
          <w:sz w:val="26"/>
          <w:szCs w:val="26"/>
        </w:rPr>
        <w:t>we</w:t>
      </w:r>
      <w:r w:rsidR="005046E0" w:rsidRPr="005046E0">
        <w:rPr>
          <w:rFonts w:eastAsia="Times New Roman"/>
          <w:color w:val="000000"/>
          <w:sz w:val="26"/>
          <w:szCs w:val="26"/>
        </w:rPr>
        <w:t xml:space="preserve">re </w:t>
      </w:r>
      <w:r w:rsidR="00114FA9">
        <w:rPr>
          <w:rFonts w:eastAsia="Times New Roman"/>
          <w:color w:val="000000"/>
          <w:sz w:val="26"/>
          <w:szCs w:val="26"/>
        </w:rPr>
        <w:t xml:space="preserve">widely and efficiently </w:t>
      </w:r>
      <w:r w:rsidR="005046E0" w:rsidRPr="005046E0">
        <w:rPr>
          <w:rFonts w:eastAsia="Times New Roman"/>
          <w:color w:val="000000"/>
          <w:sz w:val="26"/>
          <w:szCs w:val="26"/>
        </w:rPr>
        <w:t>available</w:t>
      </w:r>
      <w:r w:rsidR="00D2696F">
        <w:rPr>
          <w:rFonts w:eastAsia="Times New Roman"/>
          <w:color w:val="000000"/>
          <w:sz w:val="26"/>
          <w:szCs w:val="26"/>
        </w:rPr>
        <w:t>.</w:t>
      </w:r>
      <w:r w:rsidR="005046E0">
        <w:rPr>
          <w:rFonts w:eastAsia="Times New Roman"/>
          <w:color w:val="000000"/>
          <w:sz w:val="26"/>
          <w:szCs w:val="26"/>
        </w:rPr>
        <w:t xml:space="preserve">  </w:t>
      </w:r>
      <w:r w:rsidR="00683518">
        <w:rPr>
          <w:rFonts w:eastAsia="Times New Roman"/>
          <w:color w:val="000000"/>
          <w:sz w:val="26"/>
          <w:szCs w:val="26"/>
        </w:rPr>
        <w:t xml:space="preserve">Thus, the </w:t>
      </w:r>
      <w:r w:rsidR="005046E0">
        <w:rPr>
          <w:rFonts w:eastAsia="Times New Roman"/>
          <w:color w:val="000000"/>
          <w:sz w:val="26"/>
          <w:szCs w:val="26"/>
        </w:rPr>
        <w:t xml:space="preserve">primary </w:t>
      </w:r>
      <w:r w:rsidR="005046E0" w:rsidRPr="005046E0">
        <w:rPr>
          <w:rFonts w:eastAsia="Times New Roman"/>
          <w:color w:val="000000"/>
          <w:sz w:val="26"/>
          <w:szCs w:val="26"/>
        </w:rPr>
        <w:t xml:space="preserve">intent of </w:t>
      </w:r>
      <w:r w:rsidR="005046E0">
        <w:rPr>
          <w:rFonts w:eastAsia="Times New Roman"/>
          <w:color w:val="000000"/>
          <w:sz w:val="26"/>
          <w:szCs w:val="26"/>
        </w:rPr>
        <w:t xml:space="preserve">Section 225 </w:t>
      </w:r>
      <w:r w:rsidR="005046E0" w:rsidRPr="005046E0">
        <w:rPr>
          <w:rFonts w:eastAsia="Times New Roman"/>
          <w:color w:val="000000"/>
          <w:sz w:val="26"/>
          <w:szCs w:val="26"/>
        </w:rPr>
        <w:t xml:space="preserve">is to </w:t>
      </w:r>
      <w:r w:rsidR="00683518">
        <w:rPr>
          <w:rFonts w:eastAsia="Times New Roman"/>
          <w:color w:val="000000"/>
          <w:sz w:val="26"/>
          <w:szCs w:val="26"/>
        </w:rPr>
        <w:t xml:space="preserve">ensure that </w:t>
      </w:r>
      <w:r w:rsidR="005046E0" w:rsidRPr="005046E0">
        <w:rPr>
          <w:rFonts w:eastAsia="Times New Roman"/>
          <w:color w:val="000000"/>
          <w:sz w:val="26"/>
          <w:szCs w:val="26"/>
        </w:rPr>
        <w:t xml:space="preserve">individuals with hearing or speech disabilities </w:t>
      </w:r>
      <w:r w:rsidR="000A13FB">
        <w:rPr>
          <w:rFonts w:eastAsia="Times New Roman"/>
          <w:color w:val="000000"/>
          <w:sz w:val="26"/>
          <w:szCs w:val="26"/>
        </w:rPr>
        <w:t xml:space="preserve">who need to use </w:t>
      </w:r>
      <w:r w:rsidR="005046E0" w:rsidRPr="005046E0">
        <w:rPr>
          <w:rFonts w:eastAsia="Times New Roman"/>
          <w:color w:val="000000"/>
          <w:sz w:val="26"/>
          <w:szCs w:val="26"/>
        </w:rPr>
        <w:t xml:space="preserve">telephone services </w:t>
      </w:r>
      <w:r w:rsidR="00683518">
        <w:rPr>
          <w:rFonts w:eastAsia="Times New Roman"/>
          <w:color w:val="000000"/>
          <w:sz w:val="26"/>
          <w:szCs w:val="26"/>
        </w:rPr>
        <w:t xml:space="preserve">have consistent access to </w:t>
      </w:r>
      <w:r w:rsidR="005046E0" w:rsidRPr="005046E0">
        <w:rPr>
          <w:rFonts w:eastAsia="Times New Roman"/>
          <w:color w:val="000000"/>
          <w:sz w:val="26"/>
          <w:szCs w:val="26"/>
        </w:rPr>
        <w:t xml:space="preserve">functionally equivalent </w:t>
      </w:r>
      <w:r w:rsidR="00683518">
        <w:rPr>
          <w:rFonts w:eastAsia="Times New Roman"/>
          <w:color w:val="000000"/>
          <w:sz w:val="26"/>
          <w:szCs w:val="26"/>
        </w:rPr>
        <w:t>communications service</w:t>
      </w:r>
      <w:r w:rsidR="000A13FB">
        <w:rPr>
          <w:rFonts w:eastAsia="Times New Roman"/>
          <w:color w:val="000000"/>
          <w:sz w:val="26"/>
          <w:szCs w:val="26"/>
        </w:rPr>
        <w:t>s</w:t>
      </w:r>
      <w:r w:rsidR="005046E0" w:rsidRPr="005046E0">
        <w:rPr>
          <w:rFonts w:eastAsia="Times New Roman"/>
          <w:color w:val="000000"/>
          <w:sz w:val="26"/>
          <w:szCs w:val="26"/>
        </w:rPr>
        <w:t>.</w:t>
      </w:r>
      <w:r w:rsidR="004D6912">
        <w:rPr>
          <w:rFonts w:eastAsia="Times New Roman"/>
          <w:color w:val="000000"/>
          <w:sz w:val="26"/>
          <w:szCs w:val="26"/>
        </w:rPr>
        <w:t xml:space="preserve">  </w:t>
      </w:r>
      <w:r w:rsidR="00683518">
        <w:rPr>
          <w:rFonts w:eastAsia="Times New Roman"/>
          <w:color w:val="000000"/>
          <w:sz w:val="26"/>
          <w:szCs w:val="26"/>
        </w:rPr>
        <w:t>Accordingly</w:t>
      </w:r>
      <w:r w:rsidR="00767764">
        <w:rPr>
          <w:rFonts w:eastAsia="Times New Roman"/>
          <w:color w:val="000000"/>
          <w:sz w:val="26"/>
          <w:szCs w:val="26"/>
        </w:rPr>
        <w:t>, Section 225(b)(1) of the Act grant</w:t>
      </w:r>
      <w:r w:rsidR="005046E0">
        <w:rPr>
          <w:rFonts w:eastAsia="Times New Roman"/>
          <w:color w:val="000000"/>
          <w:sz w:val="26"/>
          <w:szCs w:val="26"/>
        </w:rPr>
        <w:t>s</w:t>
      </w:r>
      <w:r w:rsidR="00767764">
        <w:rPr>
          <w:rFonts w:eastAsia="Times New Roman"/>
          <w:color w:val="000000"/>
          <w:sz w:val="26"/>
          <w:szCs w:val="26"/>
        </w:rPr>
        <w:t xml:space="preserve"> </w:t>
      </w:r>
      <w:r w:rsidR="00767764" w:rsidRPr="00767764">
        <w:rPr>
          <w:rFonts w:eastAsia="Times New Roman"/>
          <w:color w:val="000000"/>
          <w:sz w:val="26"/>
          <w:szCs w:val="26"/>
        </w:rPr>
        <w:t xml:space="preserve">the Commission </w:t>
      </w:r>
      <w:r w:rsidR="005046E0">
        <w:rPr>
          <w:rFonts w:eastAsia="Times New Roman"/>
          <w:color w:val="000000"/>
          <w:sz w:val="26"/>
          <w:szCs w:val="26"/>
        </w:rPr>
        <w:t xml:space="preserve">broad </w:t>
      </w:r>
      <w:r w:rsidR="00767764">
        <w:rPr>
          <w:rFonts w:eastAsia="Times New Roman"/>
          <w:color w:val="000000"/>
          <w:sz w:val="26"/>
          <w:szCs w:val="26"/>
        </w:rPr>
        <w:t xml:space="preserve">regulatory authority </w:t>
      </w:r>
      <w:r w:rsidR="005046E0" w:rsidRPr="00114FA9">
        <w:rPr>
          <w:rFonts w:eastAsia="Times New Roman"/>
          <w:i/>
          <w:color w:val="000000"/>
          <w:sz w:val="26"/>
          <w:szCs w:val="26"/>
        </w:rPr>
        <w:t xml:space="preserve">only over </w:t>
      </w:r>
      <w:r w:rsidR="00767764" w:rsidRPr="00114FA9">
        <w:rPr>
          <w:rFonts w:eastAsia="Times New Roman"/>
          <w:i/>
          <w:color w:val="000000"/>
          <w:sz w:val="26"/>
          <w:szCs w:val="26"/>
        </w:rPr>
        <w:t>certain aspects of intrastate TRS</w:t>
      </w:r>
      <w:r w:rsidR="009D50BA">
        <w:rPr>
          <w:rFonts w:eastAsia="Times New Roman"/>
          <w:color w:val="000000"/>
          <w:sz w:val="26"/>
          <w:szCs w:val="26"/>
        </w:rPr>
        <w:t xml:space="preserve">.  </w:t>
      </w:r>
    </w:p>
    <w:p w14:paraId="728A43D4" w14:textId="77777777" w:rsidR="00114FA9" w:rsidRDefault="00114FA9" w:rsidP="009D50BA">
      <w:pPr>
        <w:ind w:firstLine="720"/>
        <w:rPr>
          <w:rFonts w:eastAsia="Times New Roman"/>
          <w:color w:val="000000"/>
          <w:sz w:val="26"/>
          <w:szCs w:val="26"/>
        </w:rPr>
      </w:pPr>
    </w:p>
    <w:p w14:paraId="3D58FFAC" w14:textId="487C29A7" w:rsidR="005046E0" w:rsidRDefault="00631EB0" w:rsidP="00114FA9">
      <w:pPr>
        <w:ind w:firstLine="720"/>
        <w:rPr>
          <w:rFonts w:eastAsia="Times New Roman"/>
          <w:color w:val="000000"/>
          <w:sz w:val="26"/>
          <w:szCs w:val="26"/>
        </w:rPr>
      </w:pPr>
      <w:r>
        <w:rPr>
          <w:rFonts w:eastAsia="Times New Roman"/>
          <w:color w:val="000000"/>
          <w:sz w:val="26"/>
          <w:szCs w:val="26"/>
        </w:rPr>
        <w:t>T</w:t>
      </w:r>
      <w:r w:rsidR="009D50BA">
        <w:rPr>
          <w:rFonts w:eastAsia="Times New Roman"/>
          <w:color w:val="000000"/>
          <w:sz w:val="26"/>
          <w:szCs w:val="26"/>
        </w:rPr>
        <w:t xml:space="preserve">he Commission </w:t>
      </w:r>
      <w:r>
        <w:rPr>
          <w:rFonts w:eastAsia="Times New Roman"/>
          <w:color w:val="000000"/>
          <w:sz w:val="26"/>
          <w:szCs w:val="26"/>
        </w:rPr>
        <w:t xml:space="preserve">generally </w:t>
      </w:r>
      <w:r w:rsidR="00767764" w:rsidRPr="00767764">
        <w:rPr>
          <w:rFonts w:eastAsia="Times New Roman"/>
          <w:color w:val="000000"/>
          <w:sz w:val="26"/>
          <w:szCs w:val="26"/>
        </w:rPr>
        <w:t>make</w:t>
      </w:r>
      <w:r w:rsidR="009D50BA">
        <w:rPr>
          <w:rFonts w:eastAsia="Times New Roman"/>
          <w:color w:val="000000"/>
          <w:sz w:val="26"/>
          <w:szCs w:val="26"/>
        </w:rPr>
        <w:t>s</w:t>
      </w:r>
      <w:r w:rsidR="00767764" w:rsidRPr="00767764">
        <w:rPr>
          <w:rFonts w:eastAsia="Times New Roman"/>
          <w:color w:val="000000"/>
          <w:sz w:val="26"/>
          <w:szCs w:val="26"/>
        </w:rPr>
        <w:t xml:space="preserve"> available to consumers</w:t>
      </w:r>
      <w:r w:rsidR="00767764">
        <w:rPr>
          <w:rFonts w:eastAsia="Times New Roman"/>
          <w:color w:val="000000"/>
          <w:sz w:val="26"/>
          <w:szCs w:val="26"/>
        </w:rPr>
        <w:t xml:space="preserve"> </w:t>
      </w:r>
      <w:r w:rsidR="00767764" w:rsidRPr="00767764">
        <w:rPr>
          <w:rFonts w:eastAsia="Times New Roman"/>
          <w:color w:val="000000"/>
          <w:sz w:val="26"/>
          <w:szCs w:val="26"/>
        </w:rPr>
        <w:t>new forms of TRS</w:t>
      </w:r>
      <w:r w:rsidR="00114FA9">
        <w:rPr>
          <w:rFonts w:eastAsia="Times New Roman"/>
          <w:color w:val="000000"/>
          <w:sz w:val="26"/>
          <w:szCs w:val="26"/>
        </w:rPr>
        <w:t xml:space="preserve">. </w:t>
      </w:r>
      <w:r>
        <w:rPr>
          <w:rFonts w:eastAsia="Times New Roman"/>
          <w:color w:val="000000"/>
          <w:sz w:val="26"/>
          <w:szCs w:val="26"/>
        </w:rPr>
        <w:t>A</w:t>
      </w:r>
      <w:r w:rsidRPr="009D50BA">
        <w:rPr>
          <w:rFonts w:eastAsia="Times New Roman"/>
          <w:color w:val="000000"/>
          <w:sz w:val="26"/>
          <w:szCs w:val="26"/>
        </w:rPr>
        <w:t>s directed by</w:t>
      </w:r>
      <w:r>
        <w:rPr>
          <w:rFonts w:eastAsia="Times New Roman"/>
          <w:color w:val="000000"/>
          <w:sz w:val="26"/>
          <w:szCs w:val="26"/>
        </w:rPr>
        <w:t xml:space="preserve"> </w:t>
      </w:r>
      <w:r w:rsidRPr="009D50BA">
        <w:rPr>
          <w:rFonts w:eastAsia="Times New Roman"/>
          <w:color w:val="000000"/>
          <w:sz w:val="26"/>
          <w:szCs w:val="26"/>
        </w:rPr>
        <w:t>Section 225</w:t>
      </w:r>
      <w:r>
        <w:rPr>
          <w:rFonts w:eastAsia="Times New Roman"/>
          <w:color w:val="000000"/>
          <w:sz w:val="26"/>
          <w:szCs w:val="26"/>
        </w:rPr>
        <w:t>, t</w:t>
      </w:r>
      <w:r w:rsidR="00114FA9">
        <w:rPr>
          <w:rFonts w:eastAsia="Times New Roman"/>
          <w:color w:val="000000"/>
          <w:sz w:val="26"/>
          <w:szCs w:val="26"/>
        </w:rPr>
        <w:t xml:space="preserve">he Commission’s regulatory authority over intrastate TRS is limited to setting forth </w:t>
      </w:r>
      <w:r w:rsidR="00114FA9" w:rsidRPr="006442F6">
        <w:rPr>
          <w:rFonts w:eastAsia="Times New Roman"/>
          <w:color w:val="000000"/>
          <w:sz w:val="26"/>
          <w:szCs w:val="26"/>
        </w:rPr>
        <w:t>terminology and definitions of TRS,</w:t>
      </w:r>
      <w:r w:rsidR="00114FA9">
        <w:rPr>
          <w:rFonts w:eastAsia="Times New Roman"/>
          <w:color w:val="000000"/>
          <w:sz w:val="26"/>
          <w:szCs w:val="26"/>
        </w:rPr>
        <w:t xml:space="preserve"> p</w:t>
      </w:r>
      <w:r w:rsidR="00114FA9" w:rsidRPr="006442F6">
        <w:rPr>
          <w:rFonts w:eastAsia="Times New Roman"/>
          <w:color w:val="000000"/>
          <w:sz w:val="26"/>
          <w:szCs w:val="26"/>
        </w:rPr>
        <w:t>rescrib</w:t>
      </w:r>
      <w:r w:rsidR="00114FA9">
        <w:rPr>
          <w:rFonts w:eastAsia="Times New Roman"/>
          <w:color w:val="000000"/>
          <w:sz w:val="26"/>
          <w:szCs w:val="26"/>
        </w:rPr>
        <w:t xml:space="preserve">ing </w:t>
      </w:r>
      <w:r w:rsidR="00114FA9" w:rsidRPr="006442F6">
        <w:rPr>
          <w:rFonts w:eastAsia="Times New Roman"/>
          <w:color w:val="000000"/>
          <w:sz w:val="26"/>
          <w:szCs w:val="26"/>
        </w:rPr>
        <w:t xml:space="preserve">operational, technical, and functional minimum standards required of all TRS providers, </w:t>
      </w:r>
      <w:r w:rsidR="00114FA9">
        <w:rPr>
          <w:rFonts w:eastAsia="Times New Roman"/>
          <w:color w:val="000000"/>
          <w:sz w:val="26"/>
          <w:szCs w:val="26"/>
        </w:rPr>
        <w:t xml:space="preserve">thus </w:t>
      </w:r>
      <w:r w:rsidR="00114FA9" w:rsidRPr="006442F6">
        <w:rPr>
          <w:rFonts w:eastAsia="Times New Roman"/>
          <w:color w:val="000000"/>
          <w:sz w:val="26"/>
          <w:szCs w:val="26"/>
        </w:rPr>
        <w:lastRenderedPageBreak/>
        <w:t>delineat</w:t>
      </w:r>
      <w:r w:rsidR="00114FA9">
        <w:rPr>
          <w:rFonts w:eastAsia="Times New Roman"/>
          <w:color w:val="000000"/>
          <w:sz w:val="26"/>
          <w:szCs w:val="26"/>
        </w:rPr>
        <w:t>ing</w:t>
      </w:r>
      <w:r w:rsidR="00114FA9" w:rsidRPr="006442F6">
        <w:rPr>
          <w:rFonts w:eastAsia="Times New Roman"/>
          <w:color w:val="000000"/>
          <w:sz w:val="26"/>
          <w:szCs w:val="26"/>
        </w:rPr>
        <w:t xml:space="preserve"> the </w:t>
      </w:r>
      <w:r w:rsidR="00114FA9">
        <w:rPr>
          <w:rFonts w:eastAsia="Times New Roman"/>
          <w:color w:val="000000"/>
          <w:sz w:val="26"/>
          <w:szCs w:val="26"/>
        </w:rPr>
        <w:t xml:space="preserve">appropriate </w:t>
      </w:r>
      <w:r w:rsidR="00114FA9" w:rsidRPr="006442F6">
        <w:rPr>
          <w:rFonts w:eastAsia="Times New Roman"/>
          <w:color w:val="000000"/>
          <w:sz w:val="26"/>
          <w:szCs w:val="26"/>
        </w:rPr>
        <w:t>state certification process</w:t>
      </w:r>
      <w:r w:rsidR="00767764" w:rsidRPr="00767764">
        <w:rPr>
          <w:rFonts w:eastAsia="Times New Roman"/>
          <w:color w:val="000000"/>
          <w:sz w:val="26"/>
          <w:szCs w:val="26"/>
        </w:rPr>
        <w:t>.</w:t>
      </w:r>
      <w:r w:rsidR="009D50BA">
        <w:rPr>
          <w:rStyle w:val="FootnoteReference"/>
          <w:rFonts w:eastAsia="Times New Roman"/>
          <w:color w:val="000000"/>
          <w:sz w:val="26"/>
          <w:szCs w:val="26"/>
        </w:rPr>
        <w:footnoteReference w:id="21"/>
      </w:r>
      <w:r w:rsidR="009D50BA">
        <w:rPr>
          <w:rFonts w:eastAsia="Times New Roman"/>
          <w:color w:val="000000"/>
          <w:sz w:val="26"/>
          <w:szCs w:val="26"/>
        </w:rPr>
        <w:t xml:space="preserve"> </w:t>
      </w:r>
      <w:r w:rsidR="00422697">
        <w:rPr>
          <w:rFonts w:eastAsia="Times New Roman"/>
          <w:color w:val="000000"/>
          <w:sz w:val="26"/>
          <w:szCs w:val="26"/>
        </w:rPr>
        <w:t xml:space="preserve"> </w:t>
      </w:r>
      <w:r>
        <w:rPr>
          <w:rFonts w:eastAsia="Times New Roman"/>
          <w:color w:val="000000"/>
          <w:sz w:val="26"/>
          <w:szCs w:val="26"/>
        </w:rPr>
        <w:t>Section 225</w:t>
      </w:r>
      <w:r w:rsidR="00767764">
        <w:rPr>
          <w:rFonts w:eastAsia="Times New Roman"/>
          <w:color w:val="000000"/>
          <w:sz w:val="26"/>
          <w:szCs w:val="26"/>
        </w:rPr>
        <w:t xml:space="preserve"> </w:t>
      </w:r>
      <w:r w:rsidR="005046E0">
        <w:rPr>
          <w:rFonts w:eastAsia="Times New Roman"/>
          <w:color w:val="000000"/>
          <w:sz w:val="26"/>
          <w:szCs w:val="26"/>
        </w:rPr>
        <w:t>d</w:t>
      </w:r>
      <w:r w:rsidR="00B87D4D">
        <w:rPr>
          <w:rFonts w:eastAsia="Times New Roman"/>
          <w:color w:val="000000"/>
          <w:sz w:val="26"/>
          <w:szCs w:val="26"/>
        </w:rPr>
        <w:t>oes</w:t>
      </w:r>
      <w:r w:rsidR="005046E0">
        <w:rPr>
          <w:rFonts w:eastAsia="Times New Roman"/>
          <w:color w:val="000000"/>
          <w:sz w:val="26"/>
          <w:szCs w:val="26"/>
        </w:rPr>
        <w:t xml:space="preserve"> </w:t>
      </w:r>
      <w:r w:rsidR="00767764">
        <w:rPr>
          <w:rFonts w:eastAsia="Times New Roman"/>
          <w:color w:val="000000"/>
          <w:sz w:val="26"/>
          <w:szCs w:val="26"/>
        </w:rPr>
        <w:t xml:space="preserve">not grant the Commission </w:t>
      </w:r>
      <w:r w:rsidR="004D6912">
        <w:rPr>
          <w:rFonts w:eastAsia="Times New Roman"/>
          <w:color w:val="000000"/>
          <w:sz w:val="26"/>
          <w:szCs w:val="26"/>
        </w:rPr>
        <w:t xml:space="preserve">unlimited or </w:t>
      </w:r>
      <w:r w:rsidR="00767764">
        <w:rPr>
          <w:rFonts w:eastAsia="Times New Roman"/>
          <w:color w:val="000000"/>
          <w:sz w:val="26"/>
          <w:szCs w:val="26"/>
        </w:rPr>
        <w:t xml:space="preserve">plenary authority to assess </w:t>
      </w:r>
      <w:r w:rsidR="00767764" w:rsidRPr="006442F6">
        <w:rPr>
          <w:rFonts w:eastAsia="Times New Roman"/>
          <w:i/>
          <w:color w:val="000000"/>
          <w:sz w:val="26"/>
          <w:szCs w:val="26"/>
        </w:rPr>
        <w:t>intrastate revenues</w:t>
      </w:r>
      <w:r w:rsidR="00767764">
        <w:rPr>
          <w:rFonts w:eastAsia="Times New Roman"/>
          <w:color w:val="000000"/>
          <w:sz w:val="26"/>
          <w:szCs w:val="26"/>
        </w:rPr>
        <w:t xml:space="preserve"> for </w:t>
      </w:r>
      <w:r w:rsidR="000307C2">
        <w:rPr>
          <w:rFonts w:eastAsia="Times New Roman"/>
          <w:i/>
          <w:color w:val="000000"/>
          <w:sz w:val="26"/>
          <w:szCs w:val="26"/>
        </w:rPr>
        <w:t xml:space="preserve">interstate </w:t>
      </w:r>
      <w:r w:rsidR="00767764">
        <w:rPr>
          <w:rFonts w:eastAsia="Times New Roman"/>
          <w:color w:val="000000"/>
          <w:sz w:val="26"/>
          <w:szCs w:val="26"/>
        </w:rPr>
        <w:t xml:space="preserve">TRS </w:t>
      </w:r>
      <w:r w:rsidR="000307C2">
        <w:rPr>
          <w:rFonts w:eastAsia="Times New Roman"/>
          <w:color w:val="000000"/>
          <w:sz w:val="26"/>
          <w:szCs w:val="26"/>
        </w:rPr>
        <w:t>costs.</w:t>
      </w:r>
      <w:r w:rsidR="005046E0">
        <w:rPr>
          <w:rFonts w:eastAsia="Times New Roman"/>
          <w:color w:val="000000"/>
          <w:sz w:val="26"/>
          <w:szCs w:val="26"/>
        </w:rPr>
        <w:t xml:space="preserve">  </w:t>
      </w:r>
    </w:p>
    <w:p w14:paraId="1A553371" w14:textId="77777777" w:rsidR="005046E0" w:rsidRDefault="005046E0" w:rsidP="00A508A2">
      <w:pPr>
        <w:ind w:firstLine="720"/>
        <w:rPr>
          <w:rFonts w:eastAsia="Times New Roman"/>
          <w:color w:val="000000"/>
          <w:sz w:val="26"/>
          <w:szCs w:val="26"/>
        </w:rPr>
      </w:pPr>
    </w:p>
    <w:p w14:paraId="51A3343E" w14:textId="5E56D9BC" w:rsidR="00DA0F26" w:rsidRDefault="00DA0F26" w:rsidP="00A508A2">
      <w:pPr>
        <w:ind w:firstLine="720"/>
        <w:rPr>
          <w:rFonts w:eastAsia="Times New Roman"/>
          <w:color w:val="000000"/>
          <w:sz w:val="26"/>
          <w:szCs w:val="26"/>
        </w:rPr>
      </w:pPr>
      <w:r>
        <w:rPr>
          <w:rFonts w:eastAsia="Times New Roman"/>
          <w:color w:val="000000"/>
          <w:sz w:val="26"/>
          <w:szCs w:val="26"/>
        </w:rPr>
        <w:t xml:space="preserve">Pursuant to Section 225, the Commission promulgated rules that govern </w:t>
      </w:r>
      <w:r w:rsidRPr="007067EA">
        <w:rPr>
          <w:rFonts w:eastAsia="Times New Roman"/>
          <w:color w:val="000000"/>
          <w:sz w:val="26"/>
          <w:szCs w:val="26"/>
        </w:rPr>
        <w:t xml:space="preserve">compensation </w:t>
      </w:r>
      <w:r>
        <w:rPr>
          <w:rFonts w:eastAsia="Times New Roman"/>
          <w:color w:val="000000"/>
          <w:sz w:val="26"/>
          <w:szCs w:val="26"/>
        </w:rPr>
        <w:t xml:space="preserve">to TRS providers </w:t>
      </w:r>
      <w:r w:rsidRPr="00606DA0">
        <w:rPr>
          <w:rFonts w:eastAsia="Times New Roman"/>
          <w:color w:val="000000"/>
          <w:sz w:val="26"/>
          <w:szCs w:val="26"/>
        </w:rPr>
        <w:t>for their reasonable costs of providing</w:t>
      </w:r>
      <w:r w:rsidRPr="007067EA">
        <w:rPr>
          <w:rFonts w:eastAsia="Times New Roman"/>
          <w:color w:val="000000"/>
          <w:sz w:val="26"/>
          <w:szCs w:val="26"/>
        </w:rPr>
        <w:t xml:space="preserve"> various forms of TRS, including</w:t>
      </w:r>
      <w:r>
        <w:rPr>
          <w:rFonts w:eastAsia="Times New Roman"/>
          <w:color w:val="000000"/>
          <w:sz w:val="26"/>
          <w:szCs w:val="26"/>
        </w:rPr>
        <w:t xml:space="preserve"> </w:t>
      </w:r>
      <w:r w:rsidR="00B87D4D">
        <w:rPr>
          <w:rFonts w:eastAsia="Times New Roman"/>
          <w:color w:val="000000"/>
          <w:sz w:val="26"/>
          <w:szCs w:val="26"/>
        </w:rPr>
        <w:t>public switched telecommunications network (</w:t>
      </w:r>
      <w:r w:rsidRPr="007067EA">
        <w:rPr>
          <w:rFonts w:eastAsia="Times New Roman"/>
          <w:color w:val="000000"/>
          <w:sz w:val="26"/>
          <w:szCs w:val="26"/>
        </w:rPr>
        <w:t>PSTN</w:t>
      </w:r>
      <w:r w:rsidR="00B87D4D">
        <w:rPr>
          <w:rFonts w:eastAsia="Times New Roman"/>
          <w:color w:val="000000"/>
          <w:sz w:val="26"/>
          <w:szCs w:val="26"/>
        </w:rPr>
        <w:t>)</w:t>
      </w:r>
      <w:r w:rsidRPr="007067EA">
        <w:rPr>
          <w:rFonts w:eastAsia="Times New Roman"/>
          <w:color w:val="000000"/>
          <w:sz w:val="26"/>
          <w:szCs w:val="26"/>
        </w:rPr>
        <w:t>-based services such as TTY-to-voice, speech-to-speech, and captioned telephone relay</w:t>
      </w:r>
      <w:r>
        <w:rPr>
          <w:rFonts w:eastAsia="Times New Roman"/>
          <w:color w:val="000000"/>
          <w:sz w:val="26"/>
          <w:szCs w:val="26"/>
        </w:rPr>
        <w:t xml:space="preserve"> </w:t>
      </w:r>
      <w:r w:rsidRPr="007067EA">
        <w:rPr>
          <w:rFonts w:eastAsia="Times New Roman"/>
          <w:color w:val="000000"/>
          <w:sz w:val="26"/>
          <w:szCs w:val="26"/>
        </w:rPr>
        <w:t xml:space="preserve">service, and Internet-based forms of TRS, such as video relay service, Internet </w:t>
      </w:r>
      <w:r w:rsidR="00B87D4D">
        <w:rPr>
          <w:rFonts w:eastAsia="Times New Roman"/>
          <w:color w:val="000000"/>
          <w:sz w:val="26"/>
          <w:szCs w:val="26"/>
        </w:rPr>
        <w:t>P</w:t>
      </w:r>
      <w:r w:rsidRPr="007067EA">
        <w:rPr>
          <w:rFonts w:eastAsia="Times New Roman"/>
          <w:color w:val="000000"/>
          <w:sz w:val="26"/>
          <w:szCs w:val="26"/>
        </w:rPr>
        <w:t>rotocol (IP)</w:t>
      </w:r>
      <w:r>
        <w:rPr>
          <w:rFonts w:eastAsia="Times New Roman"/>
          <w:color w:val="000000"/>
          <w:sz w:val="26"/>
          <w:szCs w:val="26"/>
        </w:rPr>
        <w:t xml:space="preserve"> </w:t>
      </w:r>
      <w:r w:rsidRPr="007067EA">
        <w:rPr>
          <w:rFonts w:eastAsia="Times New Roman"/>
          <w:color w:val="000000"/>
          <w:sz w:val="26"/>
          <w:szCs w:val="26"/>
        </w:rPr>
        <w:t xml:space="preserve">relay, and IP </w:t>
      </w:r>
      <w:r w:rsidR="00B87D4D">
        <w:rPr>
          <w:rFonts w:eastAsia="Times New Roman"/>
          <w:color w:val="000000"/>
          <w:sz w:val="26"/>
          <w:szCs w:val="26"/>
        </w:rPr>
        <w:t>CTS</w:t>
      </w:r>
      <w:r w:rsidRPr="007067EA">
        <w:rPr>
          <w:rFonts w:eastAsia="Times New Roman"/>
          <w:color w:val="000000"/>
          <w:sz w:val="26"/>
          <w:szCs w:val="26"/>
        </w:rPr>
        <w:t>.</w:t>
      </w:r>
      <w:r w:rsidRPr="00606DA0">
        <w:rPr>
          <w:rFonts w:eastAsia="Times New Roman"/>
          <w:color w:val="000000"/>
          <w:sz w:val="26"/>
          <w:szCs w:val="26"/>
          <w:vertAlign w:val="superscript"/>
        </w:rPr>
        <w:footnoteReference w:id="22"/>
      </w:r>
      <w:r>
        <w:rPr>
          <w:rFonts w:eastAsia="Times New Roman"/>
          <w:color w:val="000000"/>
          <w:sz w:val="26"/>
          <w:szCs w:val="26"/>
        </w:rPr>
        <w:t xml:space="preserve">  </w:t>
      </w:r>
      <w:r w:rsidR="00422697">
        <w:rPr>
          <w:rFonts w:eastAsia="Times New Roman"/>
          <w:color w:val="000000"/>
          <w:sz w:val="26"/>
          <w:szCs w:val="26"/>
        </w:rPr>
        <w:t>However, t</w:t>
      </w:r>
      <w:r w:rsidR="005046E0">
        <w:rPr>
          <w:rFonts w:eastAsia="Times New Roman"/>
          <w:color w:val="000000"/>
          <w:sz w:val="26"/>
          <w:szCs w:val="26"/>
        </w:rPr>
        <w:t xml:space="preserve">he </w:t>
      </w:r>
      <w:r w:rsidR="00767764">
        <w:rPr>
          <w:rFonts w:eastAsia="Times New Roman"/>
          <w:color w:val="000000"/>
          <w:sz w:val="26"/>
          <w:szCs w:val="26"/>
        </w:rPr>
        <w:t xml:space="preserve">cost recovery regime </w:t>
      </w:r>
      <w:r w:rsidR="00422697">
        <w:rPr>
          <w:rFonts w:eastAsia="Times New Roman"/>
          <w:color w:val="000000"/>
          <w:sz w:val="26"/>
          <w:szCs w:val="26"/>
        </w:rPr>
        <w:t xml:space="preserve">regarding TRS </w:t>
      </w:r>
      <w:r w:rsidR="005046E0">
        <w:rPr>
          <w:rFonts w:eastAsia="Times New Roman"/>
          <w:color w:val="000000"/>
          <w:sz w:val="26"/>
          <w:szCs w:val="26"/>
        </w:rPr>
        <w:t xml:space="preserve">established by the </w:t>
      </w:r>
      <w:r w:rsidR="00C6775D">
        <w:rPr>
          <w:rFonts w:eastAsia="Times New Roman"/>
          <w:color w:val="000000"/>
          <w:sz w:val="26"/>
          <w:szCs w:val="26"/>
        </w:rPr>
        <w:t xml:space="preserve">federal </w:t>
      </w:r>
      <w:r w:rsidR="005046E0">
        <w:rPr>
          <w:rFonts w:eastAsia="Times New Roman"/>
          <w:color w:val="000000"/>
          <w:sz w:val="26"/>
          <w:szCs w:val="26"/>
        </w:rPr>
        <w:t xml:space="preserve">regulations </w:t>
      </w:r>
      <w:r w:rsidR="00422697">
        <w:rPr>
          <w:rFonts w:eastAsia="Times New Roman"/>
          <w:color w:val="000000"/>
          <w:sz w:val="26"/>
          <w:szCs w:val="26"/>
        </w:rPr>
        <w:t>promulgated pursuant to Section 225(d)(3)(B)</w:t>
      </w:r>
      <w:r w:rsidR="00422697">
        <w:rPr>
          <w:rStyle w:val="FootnoteReference"/>
          <w:rFonts w:eastAsia="Times New Roman"/>
          <w:color w:val="000000"/>
          <w:sz w:val="26"/>
          <w:szCs w:val="26"/>
        </w:rPr>
        <w:footnoteReference w:id="23"/>
      </w:r>
      <w:r w:rsidR="00422697">
        <w:rPr>
          <w:rFonts w:eastAsia="Times New Roman"/>
          <w:color w:val="000000"/>
          <w:sz w:val="26"/>
          <w:szCs w:val="26"/>
        </w:rPr>
        <w:t xml:space="preserve"> </w:t>
      </w:r>
      <w:r w:rsidR="005046E0">
        <w:rPr>
          <w:rFonts w:eastAsia="Times New Roman"/>
          <w:color w:val="000000"/>
          <w:sz w:val="26"/>
          <w:szCs w:val="26"/>
        </w:rPr>
        <w:t xml:space="preserve">does not usurp </w:t>
      </w:r>
      <w:r w:rsidR="004D6912">
        <w:rPr>
          <w:rFonts w:eastAsia="Times New Roman"/>
          <w:color w:val="000000"/>
          <w:sz w:val="26"/>
          <w:szCs w:val="26"/>
        </w:rPr>
        <w:t xml:space="preserve">the principle of </w:t>
      </w:r>
      <w:r w:rsidR="005046E0">
        <w:rPr>
          <w:rFonts w:eastAsia="Times New Roman"/>
          <w:color w:val="000000"/>
          <w:sz w:val="26"/>
          <w:szCs w:val="26"/>
        </w:rPr>
        <w:t xml:space="preserve">Section 152(b) of the Act that </w:t>
      </w:r>
      <w:r w:rsidR="005046E0" w:rsidRPr="00A373A7">
        <w:rPr>
          <w:rFonts w:eastAsia="Times New Roman"/>
          <w:color w:val="000000"/>
          <w:sz w:val="26"/>
          <w:szCs w:val="26"/>
        </w:rPr>
        <w:t>expressly preserves state jurisdiction</w:t>
      </w:r>
      <w:r w:rsidR="005046E0">
        <w:rPr>
          <w:rFonts w:eastAsia="Times New Roman"/>
          <w:color w:val="000000"/>
          <w:sz w:val="26"/>
          <w:szCs w:val="26"/>
        </w:rPr>
        <w:t xml:space="preserve"> over the charges of intrastate telecommunications</w:t>
      </w:r>
      <w:r w:rsidR="004D6912">
        <w:rPr>
          <w:rStyle w:val="FootnoteReference"/>
          <w:rFonts w:eastAsia="Times New Roman"/>
          <w:color w:val="000000"/>
          <w:sz w:val="26"/>
          <w:szCs w:val="26"/>
        </w:rPr>
        <w:footnoteReference w:id="24"/>
      </w:r>
      <w:r w:rsidR="004D6912" w:rsidRPr="004D6912">
        <w:rPr>
          <w:rFonts w:eastAsia="Times New Roman"/>
          <w:color w:val="000000"/>
          <w:sz w:val="26"/>
          <w:szCs w:val="26"/>
        </w:rPr>
        <w:t xml:space="preserve"> but rather is consistent with </w:t>
      </w:r>
      <w:r w:rsidR="004D6912">
        <w:rPr>
          <w:rFonts w:eastAsia="Times New Roman"/>
          <w:color w:val="000000"/>
          <w:sz w:val="26"/>
          <w:szCs w:val="26"/>
        </w:rPr>
        <w:t xml:space="preserve">this </w:t>
      </w:r>
      <w:r w:rsidR="004D6912" w:rsidRPr="004D6912">
        <w:rPr>
          <w:rFonts w:eastAsia="Times New Roman"/>
          <w:color w:val="000000"/>
          <w:sz w:val="26"/>
          <w:szCs w:val="26"/>
        </w:rPr>
        <w:t>principle</w:t>
      </w:r>
      <w:r w:rsidR="005046E0">
        <w:rPr>
          <w:rFonts w:eastAsia="Times New Roman"/>
          <w:color w:val="000000"/>
          <w:sz w:val="26"/>
          <w:szCs w:val="26"/>
        </w:rPr>
        <w:t xml:space="preserve">. </w:t>
      </w:r>
      <w:r w:rsidR="004D6912">
        <w:rPr>
          <w:rFonts w:eastAsia="Times New Roman"/>
          <w:color w:val="000000"/>
          <w:sz w:val="26"/>
          <w:szCs w:val="26"/>
        </w:rPr>
        <w:t xml:space="preserve"> </w:t>
      </w:r>
    </w:p>
    <w:p w14:paraId="7D17FF38" w14:textId="77777777" w:rsidR="004D6912" w:rsidRDefault="004D6912" w:rsidP="00A508A2">
      <w:pPr>
        <w:ind w:firstLine="720"/>
        <w:rPr>
          <w:rFonts w:eastAsia="Times New Roman"/>
          <w:color w:val="000000"/>
          <w:sz w:val="26"/>
          <w:szCs w:val="26"/>
        </w:rPr>
      </w:pPr>
      <w:bookmarkStart w:id="1" w:name="_Hlk524948956"/>
    </w:p>
    <w:p w14:paraId="1CA6F93D" w14:textId="119DD2A0" w:rsidR="00631EB0" w:rsidRDefault="00B83F28" w:rsidP="00DA0F26">
      <w:pPr>
        <w:ind w:firstLine="720"/>
        <w:rPr>
          <w:rFonts w:eastAsia="Times New Roman"/>
          <w:color w:val="000000"/>
          <w:sz w:val="26"/>
          <w:szCs w:val="26"/>
        </w:rPr>
      </w:pPr>
      <w:r>
        <w:rPr>
          <w:rFonts w:eastAsia="Times New Roman"/>
          <w:color w:val="000000"/>
          <w:sz w:val="26"/>
          <w:szCs w:val="26"/>
        </w:rPr>
        <w:t>T</w:t>
      </w:r>
      <w:r w:rsidRPr="004D6912">
        <w:rPr>
          <w:rFonts w:eastAsia="Times New Roman"/>
          <w:color w:val="000000"/>
          <w:sz w:val="26"/>
          <w:szCs w:val="26"/>
        </w:rPr>
        <w:t xml:space="preserve">he </w:t>
      </w:r>
      <w:r w:rsidR="00B87D4D">
        <w:rPr>
          <w:rFonts w:eastAsia="Times New Roman"/>
          <w:color w:val="000000"/>
          <w:sz w:val="26"/>
          <w:szCs w:val="26"/>
        </w:rPr>
        <w:t>i</w:t>
      </w:r>
      <w:r w:rsidRPr="004D6912">
        <w:rPr>
          <w:rFonts w:eastAsia="Times New Roman"/>
          <w:color w:val="000000"/>
          <w:sz w:val="26"/>
          <w:szCs w:val="26"/>
        </w:rPr>
        <w:t xml:space="preserve">nterstate TRS Fund was established to administer </w:t>
      </w:r>
      <w:r>
        <w:rPr>
          <w:rFonts w:eastAsia="Times New Roman"/>
          <w:color w:val="000000"/>
          <w:sz w:val="26"/>
          <w:szCs w:val="26"/>
        </w:rPr>
        <w:t xml:space="preserve">only </w:t>
      </w:r>
      <w:r w:rsidRPr="004D6912">
        <w:rPr>
          <w:rFonts w:eastAsia="Times New Roman"/>
          <w:color w:val="000000"/>
          <w:sz w:val="26"/>
          <w:szCs w:val="26"/>
        </w:rPr>
        <w:t>the recovery of costs for interstate TRS.</w:t>
      </w:r>
      <w:r>
        <w:rPr>
          <w:rStyle w:val="FootnoteReference"/>
          <w:rFonts w:eastAsia="Times New Roman"/>
          <w:color w:val="000000"/>
          <w:sz w:val="26"/>
          <w:szCs w:val="26"/>
        </w:rPr>
        <w:footnoteReference w:id="25"/>
      </w:r>
      <w:r>
        <w:rPr>
          <w:rFonts w:eastAsia="Times New Roman"/>
          <w:color w:val="000000"/>
          <w:sz w:val="26"/>
          <w:szCs w:val="26"/>
        </w:rPr>
        <w:t xml:space="preserve">  </w:t>
      </w:r>
      <w:r w:rsidRPr="00C77C29">
        <w:rPr>
          <w:rFonts w:eastAsia="Times New Roman"/>
          <w:color w:val="000000"/>
          <w:sz w:val="26"/>
          <w:szCs w:val="26"/>
        </w:rPr>
        <w:t xml:space="preserve">Payments from the </w:t>
      </w:r>
      <w:r w:rsidR="00C77B85">
        <w:rPr>
          <w:rFonts w:eastAsia="Times New Roman"/>
          <w:color w:val="000000"/>
          <w:sz w:val="26"/>
          <w:szCs w:val="26"/>
        </w:rPr>
        <w:t>i</w:t>
      </w:r>
      <w:r>
        <w:rPr>
          <w:rFonts w:eastAsia="Times New Roman"/>
          <w:color w:val="000000"/>
          <w:sz w:val="26"/>
          <w:szCs w:val="26"/>
        </w:rPr>
        <w:t xml:space="preserve">nterstate TRS </w:t>
      </w:r>
      <w:r w:rsidRPr="00C77C29">
        <w:rPr>
          <w:rFonts w:eastAsia="Times New Roman"/>
          <w:color w:val="000000"/>
          <w:sz w:val="26"/>
          <w:szCs w:val="26"/>
        </w:rPr>
        <w:t xml:space="preserve">fund are </w:t>
      </w:r>
      <w:r>
        <w:rPr>
          <w:rFonts w:eastAsia="Times New Roman"/>
          <w:color w:val="000000"/>
          <w:sz w:val="26"/>
          <w:szCs w:val="26"/>
        </w:rPr>
        <w:t xml:space="preserve">only </w:t>
      </w:r>
      <w:r w:rsidRPr="00C77C29">
        <w:rPr>
          <w:rFonts w:eastAsia="Times New Roman"/>
          <w:color w:val="000000"/>
          <w:sz w:val="26"/>
          <w:szCs w:val="26"/>
        </w:rPr>
        <w:t>designed</w:t>
      </w:r>
      <w:r>
        <w:rPr>
          <w:rFonts w:eastAsia="Times New Roman"/>
          <w:color w:val="000000"/>
          <w:sz w:val="26"/>
          <w:szCs w:val="26"/>
        </w:rPr>
        <w:t xml:space="preserve"> </w:t>
      </w:r>
      <w:r w:rsidRPr="00EA1C89">
        <w:rPr>
          <w:rFonts w:eastAsia="Times New Roman"/>
          <w:color w:val="000000"/>
          <w:sz w:val="26"/>
          <w:szCs w:val="26"/>
        </w:rPr>
        <w:t xml:space="preserve">to cover the reasonable costs incurred in providing </w:t>
      </w:r>
      <w:r>
        <w:rPr>
          <w:rFonts w:eastAsia="Times New Roman"/>
          <w:color w:val="000000"/>
          <w:sz w:val="26"/>
          <w:szCs w:val="26"/>
        </w:rPr>
        <w:t xml:space="preserve">the </w:t>
      </w:r>
      <w:r w:rsidRPr="00EA1C89">
        <w:rPr>
          <w:rFonts w:eastAsia="Times New Roman"/>
          <w:color w:val="000000"/>
          <w:sz w:val="26"/>
          <w:szCs w:val="26"/>
        </w:rPr>
        <w:t>interstate TRS</w:t>
      </w:r>
      <w:r>
        <w:rPr>
          <w:rFonts w:eastAsia="Times New Roman"/>
          <w:color w:val="000000"/>
          <w:sz w:val="26"/>
          <w:szCs w:val="26"/>
        </w:rPr>
        <w:t xml:space="preserve"> services as</w:t>
      </w:r>
      <w:r w:rsidRPr="00DA0F26">
        <w:rPr>
          <w:rFonts w:eastAsia="Times New Roman"/>
          <w:color w:val="000000"/>
          <w:sz w:val="26"/>
          <w:szCs w:val="26"/>
        </w:rPr>
        <w:t xml:space="preserve"> </w:t>
      </w:r>
      <w:r>
        <w:rPr>
          <w:rFonts w:eastAsia="Times New Roman"/>
          <w:color w:val="000000"/>
          <w:sz w:val="26"/>
          <w:szCs w:val="26"/>
        </w:rPr>
        <w:t xml:space="preserve">only interstate </w:t>
      </w:r>
      <w:r w:rsidRPr="001B1F34">
        <w:rPr>
          <w:rFonts w:eastAsia="Times New Roman"/>
          <w:color w:val="000000"/>
          <w:sz w:val="26"/>
          <w:szCs w:val="26"/>
        </w:rPr>
        <w:t>TRS providers</w:t>
      </w:r>
      <w:r>
        <w:rPr>
          <w:rFonts w:eastAsia="Times New Roman"/>
          <w:color w:val="000000"/>
          <w:sz w:val="26"/>
          <w:szCs w:val="26"/>
        </w:rPr>
        <w:t xml:space="preserve"> </w:t>
      </w:r>
      <w:r w:rsidRPr="001B1F34">
        <w:rPr>
          <w:rFonts w:eastAsia="Times New Roman"/>
          <w:color w:val="000000"/>
          <w:sz w:val="26"/>
          <w:szCs w:val="26"/>
        </w:rPr>
        <w:t xml:space="preserve">submit reports of </w:t>
      </w:r>
      <w:r>
        <w:rPr>
          <w:rFonts w:eastAsia="Times New Roman"/>
          <w:color w:val="000000"/>
          <w:sz w:val="26"/>
          <w:szCs w:val="26"/>
        </w:rPr>
        <w:t xml:space="preserve">their </w:t>
      </w:r>
      <w:r w:rsidRPr="001B1F34">
        <w:rPr>
          <w:rFonts w:eastAsia="Times New Roman"/>
          <w:color w:val="000000"/>
          <w:sz w:val="26"/>
          <w:szCs w:val="26"/>
        </w:rPr>
        <w:t xml:space="preserve">interstate TRS minutes of use to the </w:t>
      </w:r>
      <w:r>
        <w:rPr>
          <w:rFonts w:eastAsia="Times New Roman"/>
          <w:color w:val="000000"/>
          <w:sz w:val="26"/>
          <w:szCs w:val="26"/>
        </w:rPr>
        <w:t>A</w:t>
      </w:r>
      <w:r w:rsidRPr="001B1F34">
        <w:rPr>
          <w:rFonts w:eastAsia="Times New Roman"/>
          <w:color w:val="000000"/>
          <w:sz w:val="26"/>
          <w:szCs w:val="26"/>
        </w:rPr>
        <w:t>dministrator in order to receive payments</w:t>
      </w:r>
      <w:r w:rsidRPr="00EA1C89">
        <w:rPr>
          <w:rFonts w:eastAsia="Times New Roman"/>
          <w:color w:val="000000"/>
          <w:sz w:val="26"/>
          <w:szCs w:val="26"/>
        </w:rPr>
        <w:t>.</w:t>
      </w:r>
      <w:r>
        <w:rPr>
          <w:rStyle w:val="FootnoteReference"/>
          <w:rFonts w:eastAsia="Times New Roman"/>
          <w:color w:val="000000"/>
          <w:sz w:val="26"/>
          <w:szCs w:val="26"/>
        </w:rPr>
        <w:footnoteReference w:id="26"/>
      </w:r>
      <w:r>
        <w:rPr>
          <w:rFonts w:eastAsia="Times New Roman"/>
          <w:color w:val="000000"/>
          <w:sz w:val="26"/>
          <w:szCs w:val="26"/>
        </w:rPr>
        <w:t xml:space="preserve">  </w:t>
      </w:r>
      <w:r w:rsidR="00114FA9">
        <w:rPr>
          <w:rFonts w:eastAsia="Times New Roman"/>
          <w:color w:val="000000"/>
          <w:sz w:val="26"/>
          <w:szCs w:val="26"/>
        </w:rPr>
        <w:t xml:space="preserve">However, the </w:t>
      </w:r>
      <w:r w:rsidR="00764858">
        <w:rPr>
          <w:rFonts w:eastAsia="Times New Roman"/>
          <w:color w:val="000000"/>
          <w:sz w:val="26"/>
          <w:szCs w:val="26"/>
        </w:rPr>
        <w:t xml:space="preserve">federal </w:t>
      </w:r>
      <w:r w:rsidR="00114FA9">
        <w:rPr>
          <w:rFonts w:eastAsia="Times New Roman"/>
          <w:color w:val="000000"/>
          <w:sz w:val="26"/>
          <w:szCs w:val="26"/>
        </w:rPr>
        <w:t xml:space="preserve">TRS Administrator is not </w:t>
      </w:r>
      <w:r w:rsidR="00114FA9">
        <w:rPr>
          <w:rFonts w:eastAsia="Times New Roman"/>
          <w:color w:val="000000"/>
          <w:sz w:val="26"/>
          <w:szCs w:val="26"/>
        </w:rPr>
        <w:lastRenderedPageBreak/>
        <w:t xml:space="preserve">authorized to assess intrastate telecommunications revenues in order to provide </w:t>
      </w:r>
      <w:r w:rsidR="00114FA9" w:rsidRPr="00642F70">
        <w:rPr>
          <w:rFonts w:eastAsia="Times New Roman"/>
          <w:color w:val="000000"/>
          <w:sz w:val="26"/>
          <w:szCs w:val="26"/>
        </w:rPr>
        <w:t>compensat</w:t>
      </w:r>
      <w:r w:rsidR="00114FA9">
        <w:rPr>
          <w:rFonts w:eastAsia="Times New Roman"/>
          <w:color w:val="000000"/>
          <w:sz w:val="26"/>
          <w:szCs w:val="26"/>
        </w:rPr>
        <w:t>ion</w:t>
      </w:r>
      <w:r w:rsidR="00114FA9" w:rsidRPr="00642F70">
        <w:rPr>
          <w:rFonts w:eastAsia="Times New Roman"/>
          <w:color w:val="000000"/>
          <w:sz w:val="26"/>
          <w:szCs w:val="26"/>
        </w:rPr>
        <w:t xml:space="preserve"> from the </w:t>
      </w:r>
      <w:r w:rsidR="00114FA9">
        <w:rPr>
          <w:rFonts w:eastAsia="Times New Roman"/>
          <w:color w:val="000000"/>
          <w:sz w:val="26"/>
          <w:szCs w:val="26"/>
        </w:rPr>
        <w:t xml:space="preserve">interstate TRS </w:t>
      </w:r>
      <w:r w:rsidR="00114FA9" w:rsidRPr="00642F70">
        <w:rPr>
          <w:rFonts w:eastAsia="Times New Roman"/>
          <w:color w:val="000000"/>
          <w:sz w:val="26"/>
          <w:szCs w:val="26"/>
        </w:rPr>
        <w:t xml:space="preserve">Fund </w:t>
      </w:r>
      <w:r w:rsidR="00114FA9">
        <w:rPr>
          <w:rFonts w:eastAsia="Times New Roman"/>
          <w:color w:val="000000"/>
          <w:sz w:val="26"/>
          <w:szCs w:val="26"/>
        </w:rPr>
        <w:t xml:space="preserve">to </w:t>
      </w:r>
      <w:r w:rsidR="00114FA9" w:rsidRPr="00642F70">
        <w:rPr>
          <w:rFonts w:eastAsia="Times New Roman"/>
          <w:color w:val="000000"/>
          <w:sz w:val="26"/>
          <w:szCs w:val="26"/>
        </w:rPr>
        <w:t xml:space="preserve">eligible TRS providers for the costs of providing </w:t>
      </w:r>
      <w:r w:rsidR="00114FA9">
        <w:rPr>
          <w:rFonts w:eastAsia="Times New Roman"/>
          <w:color w:val="000000"/>
          <w:sz w:val="26"/>
          <w:szCs w:val="26"/>
        </w:rPr>
        <w:t xml:space="preserve">interstate PSTN-based </w:t>
      </w:r>
      <w:r w:rsidR="00114FA9" w:rsidRPr="00642F70">
        <w:rPr>
          <w:rFonts w:eastAsia="Times New Roman"/>
          <w:color w:val="000000"/>
          <w:sz w:val="26"/>
          <w:szCs w:val="26"/>
        </w:rPr>
        <w:t xml:space="preserve">TRS </w:t>
      </w:r>
      <w:r w:rsidR="00114FA9">
        <w:rPr>
          <w:rFonts w:eastAsia="Times New Roman"/>
          <w:color w:val="000000"/>
          <w:sz w:val="26"/>
          <w:szCs w:val="26"/>
        </w:rPr>
        <w:t xml:space="preserve">calls and </w:t>
      </w:r>
      <w:r w:rsidR="00114FA9" w:rsidRPr="00A92504">
        <w:rPr>
          <w:rFonts w:eastAsia="Times New Roman"/>
          <w:color w:val="000000"/>
          <w:sz w:val="26"/>
          <w:szCs w:val="26"/>
        </w:rPr>
        <w:t xml:space="preserve">all IP Relay, VRS, and IP </w:t>
      </w:r>
      <w:r w:rsidR="00114FA9">
        <w:rPr>
          <w:rFonts w:eastAsia="Times New Roman"/>
          <w:color w:val="000000"/>
          <w:sz w:val="26"/>
          <w:szCs w:val="26"/>
        </w:rPr>
        <w:t xml:space="preserve">CTS </w:t>
      </w:r>
      <w:r w:rsidR="00114FA9" w:rsidRPr="00A92504">
        <w:rPr>
          <w:rFonts w:eastAsia="Times New Roman"/>
          <w:color w:val="000000"/>
          <w:sz w:val="26"/>
          <w:szCs w:val="26"/>
        </w:rPr>
        <w:t>calls</w:t>
      </w:r>
      <w:r w:rsidR="00114FA9" w:rsidRPr="00642F70">
        <w:rPr>
          <w:rFonts w:eastAsia="Times New Roman"/>
          <w:color w:val="000000"/>
          <w:sz w:val="26"/>
          <w:szCs w:val="26"/>
        </w:rPr>
        <w:t>.</w:t>
      </w:r>
      <w:r w:rsidR="00114FA9" w:rsidRPr="00642F70">
        <w:rPr>
          <w:rFonts w:eastAsia="Times New Roman"/>
          <w:color w:val="000000"/>
          <w:sz w:val="26"/>
          <w:szCs w:val="26"/>
          <w:vertAlign w:val="superscript"/>
        </w:rPr>
        <w:footnoteReference w:id="27"/>
      </w:r>
      <w:r w:rsidR="00114FA9">
        <w:rPr>
          <w:rFonts w:eastAsia="Times New Roman"/>
          <w:color w:val="000000"/>
          <w:sz w:val="26"/>
          <w:szCs w:val="26"/>
        </w:rPr>
        <w:t xml:space="preserve">  Moreover, t</w:t>
      </w:r>
      <w:r w:rsidR="00DA0F26">
        <w:rPr>
          <w:rFonts w:eastAsia="Times New Roman"/>
          <w:color w:val="000000"/>
          <w:sz w:val="26"/>
          <w:szCs w:val="26"/>
        </w:rPr>
        <w:t xml:space="preserve">he cost recovery rules </w:t>
      </w:r>
      <w:r>
        <w:rPr>
          <w:rFonts w:eastAsia="Times New Roman"/>
          <w:color w:val="000000"/>
          <w:sz w:val="26"/>
          <w:szCs w:val="26"/>
        </w:rPr>
        <w:t xml:space="preserve">explicitly </w:t>
      </w:r>
      <w:r w:rsidR="00DA0F26">
        <w:rPr>
          <w:rFonts w:eastAsia="Times New Roman"/>
          <w:color w:val="000000"/>
          <w:sz w:val="26"/>
          <w:szCs w:val="26"/>
        </w:rPr>
        <w:t xml:space="preserve">prescribe that intrastate revenues can only be used by the </w:t>
      </w:r>
      <w:r w:rsidR="00C77B85">
        <w:rPr>
          <w:rFonts w:eastAsia="Times New Roman"/>
          <w:color w:val="000000"/>
          <w:sz w:val="26"/>
          <w:szCs w:val="26"/>
        </w:rPr>
        <w:t>s</w:t>
      </w:r>
      <w:r w:rsidR="00DA0F26">
        <w:rPr>
          <w:rFonts w:eastAsia="Times New Roman"/>
          <w:color w:val="000000"/>
          <w:sz w:val="26"/>
          <w:szCs w:val="26"/>
        </w:rPr>
        <w:t>tates to compensate eligible TRS providers from state TRS programs for providing PSTN-based TRS services</w:t>
      </w:r>
      <w:r w:rsidR="00DA0F26" w:rsidRPr="00A92504">
        <w:rPr>
          <w:rFonts w:eastAsia="Times New Roman"/>
          <w:color w:val="000000"/>
          <w:sz w:val="26"/>
          <w:szCs w:val="26"/>
        </w:rPr>
        <w:t>.</w:t>
      </w:r>
      <w:r w:rsidR="00422697">
        <w:rPr>
          <w:rStyle w:val="FootnoteReference"/>
          <w:rFonts w:eastAsia="Times New Roman"/>
          <w:color w:val="000000"/>
          <w:sz w:val="26"/>
          <w:szCs w:val="26"/>
        </w:rPr>
        <w:footnoteReference w:id="28"/>
      </w:r>
      <w:r w:rsidR="00DA0F26">
        <w:rPr>
          <w:rFonts w:eastAsia="Times New Roman"/>
          <w:color w:val="000000"/>
          <w:sz w:val="26"/>
          <w:szCs w:val="26"/>
        </w:rPr>
        <w:t xml:space="preserve">  </w:t>
      </w:r>
      <w:r w:rsidR="00631EB0">
        <w:rPr>
          <w:rFonts w:eastAsia="Times New Roman"/>
          <w:color w:val="000000"/>
          <w:sz w:val="26"/>
          <w:szCs w:val="26"/>
        </w:rPr>
        <w:t>Rather, the solution required under federal law is to allocate intrastate costs to the states to be funded by the states from their intrastate revenues as they see fit.</w:t>
      </w:r>
    </w:p>
    <w:p w14:paraId="4CB4503B" w14:textId="77777777" w:rsidR="00DA0F26" w:rsidRDefault="00DA0F26" w:rsidP="00DA0F26">
      <w:pPr>
        <w:ind w:firstLine="720"/>
        <w:rPr>
          <w:rFonts w:eastAsia="Times New Roman"/>
          <w:color w:val="000000"/>
          <w:sz w:val="26"/>
          <w:szCs w:val="26"/>
        </w:rPr>
      </w:pPr>
      <w:r>
        <w:rPr>
          <w:rFonts w:eastAsia="Times New Roman"/>
          <w:color w:val="000000"/>
          <w:sz w:val="26"/>
          <w:szCs w:val="26"/>
        </w:rPr>
        <w:t xml:space="preserve">    </w:t>
      </w:r>
      <w:bookmarkEnd w:id="1"/>
    </w:p>
    <w:p w14:paraId="3C76D4AE" w14:textId="77777777" w:rsidR="00EA65D1" w:rsidRDefault="00E26C50" w:rsidP="001123B6">
      <w:pPr>
        <w:ind w:firstLine="720"/>
        <w:rPr>
          <w:rFonts w:eastAsia="Times New Roman"/>
          <w:color w:val="000000"/>
          <w:sz w:val="26"/>
          <w:szCs w:val="26"/>
        </w:rPr>
      </w:pPr>
      <w:r>
        <w:rPr>
          <w:rFonts w:eastAsia="Times New Roman"/>
          <w:color w:val="000000"/>
          <w:sz w:val="26"/>
          <w:szCs w:val="26"/>
        </w:rPr>
        <w:t xml:space="preserve">Ultimately, the Commission </w:t>
      </w:r>
      <w:r w:rsidR="00631EB0">
        <w:rPr>
          <w:rFonts w:eastAsia="Times New Roman"/>
          <w:color w:val="000000"/>
          <w:sz w:val="26"/>
          <w:szCs w:val="26"/>
        </w:rPr>
        <w:t>may</w:t>
      </w:r>
      <w:r>
        <w:rPr>
          <w:rFonts w:eastAsia="Times New Roman"/>
          <w:color w:val="000000"/>
          <w:sz w:val="26"/>
          <w:szCs w:val="26"/>
        </w:rPr>
        <w:t xml:space="preserve"> allocate intrastate costs to the states</w:t>
      </w:r>
      <w:r w:rsidR="005B4B76">
        <w:rPr>
          <w:rFonts w:eastAsia="Times New Roman"/>
          <w:color w:val="000000"/>
          <w:sz w:val="26"/>
          <w:szCs w:val="26"/>
        </w:rPr>
        <w:t xml:space="preserve"> as opposed to paying them from the interstate revenues</w:t>
      </w:r>
      <w:r w:rsidR="00631EB0">
        <w:rPr>
          <w:rFonts w:eastAsia="Times New Roman"/>
          <w:color w:val="000000"/>
          <w:sz w:val="26"/>
          <w:szCs w:val="26"/>
        </w:rPr>
        <w:t xml:space="preserve"> as occurs today</w:t>
      </w:r>
      <w:r w:rsidR="005B4B76">
        <w:rPr>
          <w:rFonts w:eastAsia="Times New Roman"/>
          <w:color w:val="000000"/>
          <w:sz w:val="26"/>
          <w:szCs w:val="26"/>
        </w:rPr>
        <w:t xml:space="preserve">.  However, </w:t>
      </w:r>
      <w:r w:rsidR="00114FA9">
        <w:rPr>
          <w:rFonts w:eastAsia="Times New Roman"/>
          <w:color w:val="000000"/>
          <w:sz w:val="26"/>
          <w:szCs w:val="26"/>
        </w:rPr>
        <w:t>for the reasons stated in the comments of the Pa. PUC</w:t>
      </w:r>
      <w:r w:rsidR="00631EB0">
        <w:rPr>
          <w:rFonts w:eastAsia="Times New Roman"/>
          <w:color w:val="000000"/>
          <w:sz w:val="26"/>
          <w:szCs w:val="26"/>
        </w:rPr>
        <w:t xml:space="preserve"> and others</w:t>
      </w:r>
      <w:r w:rsidR="00114FA9">
        <w:rPr>
          <w:rFonts w:eastAsia="Times New Roman"/>
          <w:color w:val="000000"/>
          <w:sz w:val="26"/>
          <w:szCs w:val="26"/>
        </w:rPr>
        <w:t xml:space="preserve">, </w:t>
      </w:r>
      <w:r w:rsidR="005B4B76">
        <w:rPr>
          <w:rFonts w:eastAsia="Times New Roman"/>
          <w:color w:val="000000"/>
          <w:sz w:val="26"/>
          <w:szCs w:val="26"/>
        </w:rPr>
        <w:t xml:space="preserve">the </w:t>
      </w:r>
      <w:r>
        <w:rPr>
          <w:rFonts w:eastAsia="Times New Roman"/>
          <w:color w:val="000000"/>
          <w:sz w:val="26"/>
          <w:szCs w:val="26"/>
        </w:rPr>
        <w:t xml:space="preserve">Commission </w:t>
      </w:r>
      <w:r w:rsidR="00114FA9">
        <w:rPr>
          <w:rFonts w:eastAsia="Times New Roman"/>
          <w:color w:val="000000"/>
          <w:sz w:val="26"/>
          <w:szCs w:val="26"/>
        </w:rPr>
        <w:t>should</w:t>
      </w:r>
      <w:r w:rsidR="009F6585">
        <w:rPr>
          <w:rFonts w:eastAsia="Times New Roman"/>
          <w:color w:val="000000"/>
          <w:sz w:val="26"/>
          <w:szCs w:val="26"/>
        </w:rPr>
        <w:t xml:space="preserve"> do that </w:t>
      </w:r>
      <w:r w:rsidR="00631EB0">
        <w:rPr>
          <w:rFonts w:eastAsia="Times New Roman"/>
          <w:color w:val="000000"/>
          <w:sz w:val="26"/>
          <w:szCs w:val="26"/>
        </w:rPr>
        <w:t xml:space="preserve">only </w:t>
      </w:r>
      <w:r>
        <w:rPr>
          <w:rFonts w:eastAsia="Times New Roman"/>
          <w:color w:val="000000"/>
          <w:sz w:val="26"/>
          <w:szCs w:val="26"/>
        </w:rPr>
        <w:t>after a referral to the Joint Board on Separations</w:t>
      </w:r>
      <w:r w:rsidR="00114FA9">
        <w:rPr>
          <w:rFonts w:eastAsia="Times New Roman"/>
          <w:color w:val="000000"/>
          <w:sz w:val="26"/>
          <w:szCs w:val="26"/>
        </w:rPr>
        <w:t>,</w:t>
      </w:r>
      <w:r>
        <w:rPr>
          <w:rFonts w:eastAsia="Times New Roman"/>
          <w:color w:val="000000"/>
          <w:sz w:val="26"/>
          <w:szCs w:val="26"/>
        </w:rPr>
        <w:t xml:space="preserve"> </w:t>
      </w:r>
      <w:r w:rsidR="00114FA9">
        <w:rPr>
          <w:rFonts w:eastAsia="Times New Roman"/>
          <w:color w:val="000000"/>
          <w:sz w:val="26"/>
          <w:szCs w:val="26"/>
        </w:rPr>
        <w:t xml:space="preserve">which </w:t>
      </w:r>
      <w:r w:rsidR="009F6585">
        <w:rPr>
          <w:rFonts w:eastAsia="Times New Roman"/>
          <w:color w:val="000000"/>
          <w:sz w:val="26"/>
          <w:szCs w:val="26"/>
        </w:rPr>
        <w:t xml:space="preserve">referral </w:t>
      </w:r>
      <w:r w:rsidR="00631EB0">
        <w:rPr>
          <w:rFonts w:eastAsia="Times New Roman"/>
          <w:color w:val="000000"/>
          <w:sz w:val="26"/>
          <w:szCs w:val="26"/>
        </w:rPr>
        <w:t xml:space="preserve">in turn </w:t>
      </w:r>
      <w:r w:rsidR="009F6585">
        <w:rPr>
          <w:rFonts w:eastAsia="Times New Roman"/>
          <w:color w:val="000000"/>
          <w:sz w:val="26"/>
          <w:szCs w:val="26"/>
        </w:rPr>
        <w:t xml:space="preserve">should </w:t>
      </w:r>
      <w:r>
        <w:rPr>
          <w:rFonts w:eastAsia="Times New Roman"/>
          <w:color w:val="000000"/>
          <w:sz w:val="26"/>
          <w:szCs w:val="26"/>
        </w:rPr>
        <w:t xml:space="preserve">occur </w:t>
      </w:r>
      <w:r w:rsidR="00114FA9">
        <w:rPr>
          <w:rFonts w:eastAsia="Times New Roman"/>
          <w:color w:val="000000"/>
          <w:sz w:val="26"/>
          <w:szCs w:val="26"/>
        </w:rPr>
        <w:t>only after the Commission resolves</w:t>
      </w:r>
      <w:r w:rsidR="005B4B76">
        <w:rPr>
          <w:rFonts w:eastAsia="Times New Roman"/>
          <w:color w:val="000000"/>
          <w:sz w:val="26"/>
          <w:szCs w:val="26"/>
        </w:rPr>
        <w:t xml:space="preserve"> </w:t>
      </w:r>
      <w:r>
        <w:rPr>
          <w:rFonts w:eastAsia="Times New Roman"/>
          <w:color w:val="000000"/>
          <w:sz w:val="26"/>
          <w:szCs w:val="26"/>
        </w:rPr>
        <w:t xml:space="preserve">issues of waste, fraud, and abuse.  </w:t>
      </w:r>
    </w:p>
    <w:p w14:paraId="35C9EA9B" w14:textId="77777777" w:rsidR="009A4646" w:rsidRDefault="009A4646" w:rsidP="001123B6">
      <w:pPr>
        <w:ind w:firstLine="720"/>
        <w:rPr>
          <w:rFonts w:eastAsia="Times New Roman"/>
          <w:color w:val="000000"/>
          <w:sz w:val="26"/>
          <w:szCs w:val="26"/>
        </w:rPr>
      </w:pPr>
    </w:p>
    <w:p w14:paraId="1E3A1C85" w14:textId="77777777" w:rsidR="0042505B" w:rsidRPr="00316773" w:rsidRDefault="00357F51" w:rsidP="003367DE">
      <w:pPr>
        <w:ind w:left="720" w:hanging="720"/>
        <w:rPr>
          <w:rFonts w:eastAsia="Times New Roman"/>
          <w:b/>
          <w:color w:val="000000"/>
          <w:sz w:val="26"/>
          <w:szCs w:val="26"/>
        </w:rPr>
      </w:pPr>
      <w:r>
        <w:rPr>
          <w:rFonts w:eastAsia="Times New Roman"/>
          <w:b/>
          <w:color w:val="000000"/>
          <w:sz w:val="26"/>
          <w:szCs w:val="26"/>
        </w:rPr>
        <w:t>III</w:t>
      </w:r>
      <w:r w:rsidR="00CA2EF5">
        <w:rPr>
          <w:rFonts w:eastAsia="Times New Roman"/>
          <w:b/>
          <w:color w:val="000000"/>
          <w:sz w:val="26"/>
          <w:szCs w:val="26"/>
        </w:rPr>
        <w:t>.</w:t>
      </w:r>
      <w:r w:rsidR="00114FA9">
        <w:rPr>
          <w:rFonts w:eastAsia="Times New Roman"/>
          <w:b/>
          <w:color w:val="000000"/>
          <w:sz w:val="26"/>
          <w:szCs w:val="26"/>
        </w:rPr>
        <w:tab/>
        <w:t>State Role In The Administration Of IP CTS</w:t>
      </w:r>
      <w:r w:rsidR="00083948">
        <w:rPr>
          <w:rFonts w:eastAsia="Times New Roman"/>
          <w:b/>
          <w:color w:val="000000"/>
          <w:sz w:val="26"/>
          <w:szCs w:val="26"/>
        </w:rPr>
        <w:t>.</w:t>
      </w:r>
    </w:p>
    <w:p w14:paraId="3664D67C" w14:textId="5D2E4436" w:rsidR="00C400AB" w:rsidRPr="00114FA9" w:rsidRDefault="00E1400D" w:rsidP="00C400AB">
      <w:pPr>
        <w:ind w:firstLine="720"/>
        <w:rPr>
          <w:rFonts w:eastAsia="Times New Roman"/>
          <w:color w:val="000000"/>
          <w:sz w:val="26"/>
          <w:szCs w:val="26"/>
        </w:rPr>
      </w:pPr>
      <w:r>
        <w:rPr>
          <w:rFonts w:eastAsia="Times New Roman"/>
          <w:color w:val="000000"/>
          <w:sz w:val="26"/>
          <w:szCs w:val="26"/>
        </w:rPr>
        <w:t>To the extent that</w:t>
      </w:r>
      <w:r w:rsidR="0042505B" w:rsidRPr="00A92504">
        <w:rPr>
          <w:rFonts w:eastAsia="Times New Roman"/>
          <w:color w:val="000000"/>
          <w:sz w:val="26"/>
          <w:szCs w:val="26"/>
        </w:rPr>
        <w:t xml:space="preserve"> I</w:t>
      </w:r>
      <w:r w:rsidR="003A08EA">
        <w:rPr>
          <w:rFonts w:eastAsia="Times New Roman"/>
          <w:color w:val="000000"/>
          <w:sz w:val="26"/>
          <w:szCs w:val="26"/>
        </w:rPr>
        <w:t>P-based</w:t>
      </w:r>
      <w:r w:rsidR="0042505B" w:rsidRPr="00A92504">
        <w:rPr>
          <w:rFonts w:eastAsia="Times New Roman"/>
          <w:color w:val="000000"/>
          <w:sz w:val="26"/>
          <w:szCs w:val="26"/>
        </w:rPr>
        <w:t xml:space="preserve"> </w:t>
      </w:r>
      <w:r w:rsidR="00F81424">
        <w:rPr>
          <w:rFonts w:eastAsia="Times New Roman"/>
          <w:color w:val="000000"/>
          <w:sz w:val="26"/>
          <w:szCs w:val="26"/>
        </w:rPr>
        <w:t xml:space="preserve">services </w:t>
      </w:r>
      <w:r w:rsidR="0042505B" w:rsidRPr="00A92504">
        <w:rPr>
          <w:rFonts w:eastAsia="Times New Roman"/>
          <w:color w:val="000000"/>
          <w:sz w:val="26"/>
          <w:szCs w:val="26"/>
        </w:rPr>
        <w:t xml:space="preserve">traffic </w:t>
      </w:r>
      <w:r w:rsidR="00F81424">
        <w:rPr>
          <w:rFonts w:eastAsia="Times New Roman"/>
          <w:color w:val="000000"/>
          <w:sz w:val="26"/>
          <w:szCs w:val="26"/>
        </w:rPr>
        <w:t>may be</w:t>
      </w:r>
      <w:r>
        <w:rPr>
          <w:rFonts w:eastAsia="Times New Roman"/>
          <w:color w:val="000000"/>
          <w:sz w:val="26"/>
          <w:szCs w:val="26"/>
        </w:rPr>
        <w:t xml:space="preserve"> treated as an information service that is </w:t>
      </w:r>
      <w:r w:rsidR="00F81424">
        <w:rPr>
          <w:rFonts w:eastAsia="Times New Roman"/>
          <w:color w:val="000000"/>
          <w:sz w:val="26"/>
          <w:szCs w:val="26"/>
        </w:rPr>
        <w:t>classified as</w:t>
      </w:r>
      <w:r w:rsidR="00F81424" w:rsidRPr="00A92504">
        <w:rPr>
          <w:rFonts w:eastAsia="Times New Roman"/>
          <w:color w:val="000000"/>
          <w:sz w:val="26"/>
          <w:szCs w:val="26"/>
        </w:rPr>
        <w:t xml:space="preserve"> </w:t>
      </w:r>
      <w:r w:rsidR="0042505B" w:rsidRPr="00A92504">
        <w:rPr>
          <w:rFonts w:eastAsia="Times New Roman"/>
          <w:color w:val="000000"/>
          <w:sz w:val="26"/>
          <w:szCs w:val="26"/>
        </w:rPr>
        <w:t xml:space="preserve">interstate </w:t>
      </w:r>
      <w:r w:rsidR="00F81424">
        <w:rPr>
          <w:rFonts w:eastAsia="Times New Roman"/>
          <w:color w:val="000000"/>
          <w:sz w:val="26"/>
          <w:szCs w:val="26"/>
        </w:rPr>
        <w:t>for</w:t>
      </w:r>
      <w:r w:rsidR="00F81424" w:rsidRPr="00A92504">
        <w:rPr>
          <w:rFonts w:eastAsia="Times New Roman"/>
          <w:color w:val="000000"/>
          <w:sz w:val="26"/>
          <w:szCs w:val="26"/>
        </w:rPr>
        <w:t xml:space="preserve"> </w:t>
      </w:r>
      <w:r w:rsidR="00F81424">
        <w:rPr>
          <w:rFonts w:eastAsia="Times New Roman"/>
          <w:color w:val="000000"/>
          <w:sz w:val="26"/>
          <w:szCs w:val="26"/>
        </w:rPr>
        <w:t>regulatory purposes</w:t>
      </w:r>
      <w:r w:rsidR="0042505B">
        <w:rPr>
          <w:rFonts w:eastAsia="Times New Roman"/>
          <w:color w:val="000000"/>
          <w:sz w:val="26"/>
          <w:szCs w:val="26"/>
        </w:rPr>
        <w:t xml:space="preserve">, </w:t>
      </w:r>
      <w:r w:rsidR="00650691">
        <w:rPr>
          <w:rFonts w:eastAsia="Times New Roman"/>
          <w:color w:val="000000"/>
          <w:sz w:val="26"/>
          <w:szCs w:val="26"/>
        </w:rPr>
        <w:t xml:space="preserve">some </w:t>
      </w:r>
      <w:r w:rsidR="00357F51">
        <w:rPr>
          <w:rFonts w:eastAsia="Times New Roman"/>
          <w:color w:val="000000"/>
          <w:sz w:val="26"/>
          <w:szCs w:val="26"/>
        </w:rPr>
        <w:t>s</w:t>
      </w:r>
      <w:r w:rsidR="0042505B" w:rsidRPr="001123B6">
        <w:rPr>
          <w:rFonts w:eastAsia="Times New Roman"/>
          <w:color w:val="000000"/>
          <w:sz w:val="26"/>
          <w:szCs w:val="26"/>
        </w:rPr>
        <w:t xml:space="preserve">tates </w:t>
      </w:r>
      <w:r w:rsidR="00F81424">
        <w:rPr>
          <w:rFonts w:eastAsia="Times New Roman"/>
          <w:color w:val="000000"/>
          <w:sz w:val="26"/>
          <w:szCs w:val="26"/>
        </w:rPr>
        <w:t xml:space="preserve">may </w:t>
      </w:r>
      <w:r w:rsidR="00A739C0">
        <w:rPr>
          <w:rFonts w:eastAsia="Times New Roman"/>
          <w:color w:val="000000"/>
          <w:sz w:val="26"/>
          <w:szCs w:val="26"/>
        </w:rPr>
        <w:t>lack authority to</w:t>
      </w:r>
      <w:r w:rsidR="0042505B">
        <w:rPr>
          <w:rFonts w:eastAsia="Times New Roman"/>
          <w:color w:val="000000"/>
          <w:sz w:val="26"/>
          <w:szCs w:val="26"/>
        </w:rPr>
        <w:t xml:space="preserve"> assess the revenues of interconnected VoIP providers.</w:t>
      </w:r>
      <w:r w:rsidR="00650691">
        <w:rPr>
          <w:rStyle w:val="FootnoteReference"/>
          <w:rFonts w:eastAsia="Times New Roman"/>
          <w:color w:val="000000"/>
          <w:sz w:val="26"/>
          <w:szCs w:val="26"/>
        </w:rPr>
        <w:footnoteReference w:id="29"/>
      </w:r>
      <w:r w:rsidR="0042505B">
        <w:rPr>
          <w:rFonts w:eastAsia="Times New Roman"/>
          <w:color w:val="000000"/>
          <w:sz w:val="26"/>
          <w:szCs w:val="26"/>
        </w:rPr>
        <w:t xml:space="preserve">  </w:t>
      </w:r>
      <w:r w:rsidR="00C400AB">
        <w:rPr>
          <w:rFonts w:eastAsia="Times New Roman"/>
          <w:color w:val="000000"/>
          <w:sz w:val="26"/>
          <w:szCs w:val="26"/>
        </w:rPr>
        <w:t>R</w:t>
      </w:r>
      <w:r w:rsidR="0042505B">
        <w:rPr>
          <w:rFonts w:eastAsia="Times New Roman"/>
          <w:color w:val="000000"/>
          <w:sz w:val="26"/>
          <w:szCs w:val="26"/>
        </w:rPr>
        <w:t xml:space="preserve">equiring </w:t>
      </w:r>
      <w:r w:rsidR="00C400AB">
        <w:rPr>
          <w:rFonts w:eastAsia="Times New Roman"/>
          <w:color w:val="000000"/>
          <w:sz w:val="26"/>
          <w:szCs w:val="26"/>
        </w:rPr>
        <w:t xml:space="preserve">the </w:t>
      </w:r>
      <w:r w:rsidR="00357F51">
        <w:rPr>
          <w:rFonts w:eastAsia="Times New Roman"/>
          <w:color w:val="000000"/>
          <w:sz w:val="26"/>
          <w:szCs w:val="26"/>
        </w:rPr>
        <w:t>s</w:t>
      </w:r>
      <w:r w:rsidR="0042505B">
        <w:rPr>
          <w:rFonts w:eastAsia="Times New Roman"/>
          <w:color w:val="000000"/>
          <w:sz w:val="26"/>
          <w:szCs w:val="26"/>
        </w:rPr>
        <w:t xml:space="preserve">tates to administer IP CTS </w:t>
      </w:r>
      <w:r w:rsidR="00C400AB">
        <w:rPr>
          <w:rFonts w:eastAsia="Times New Roman"/>
          <w:color w:val="000000"/>
          <w:sz w:val="26"/>
          <w:szCs w:val="26"/>
        </w:rPr>
        <w:t xml:space="preserve">without the </w:t>
      </w:r>
      <w:r w:rsidR="00F81424">
        <w:rPr>
          <w:rFonts w:eastAsia="Times New Roman"/>
          <w:color w:val="000000"/>
          <w:sz w:val="26"/>
          <w:szCs w:val="26"/>
        </w:rPr>
        <w:t xml:space="preserve">explicit </w:t>
      </w:r>
      <w:r w:rsidR="00C400AB">
        <w:rPr>
          <w:rFonts w:eastAsia="Times New Roman"/>
          <w:color w:val="000000"/>
          <w:sz w:val="26"/>
          <w:szCs w:val="26"/>
        </w:rPr>
        <w:t xml:space="preserve">authority to assess the intrastate revenues of VoIP service providers </w:t>
      </w:r>
      <w:r>
        <w:rPr>
          <w:rFonts w:eastAsia="Times New Roman"/>
          <w:color w:val="000000"/>
          <w:sz w:val="26"/>
          <w:szCs w:val="26"/>
        </w:rPr>
        <w:t xml:space="preserve">perpetuates </w:t>
      </w:r>
      <w:r w:rsidR="00114FA9">
        <w:rPr>
          <w:rFonts w:eastAsia="Times New Roman"/>
          <w:color w:val="000000"/>
          <w:sz w:val="26"/>
          <w:szCs w:val="26"/>
        </w:rPr>
        <w:t xml:space="preserve">and extends onto the states </w:t>
      </w:r>
      <w:r>
        <w:rPr>
          <w:rFonts w:eastAsia="Times New Roman"/>
          <w:color w:val="000000"/>
          <w:sz w:val="26"/>
          <w:szCs w:val="26"/>
        </w:rPr>
        <w:t xml:space="preserve">the </w:t>
      </w:r>
      <w:r w:rsidR="00C400AB">
        <w:rPr>
          <w:rFonts w:eastAsia="Times New Roman"/>
          <w:color w:val="000000"/>
          <w:sz w:val="26"/>
          <w:szCs w:val="26"/>
        </w:rPr>
        <w:t>present problem —</w:t>
      </w:r>
      <w:r w:rsidR="00C423F0">
        <w:rPr>
          <w:rFonts w:eastAsia="Times New Roman"/>
          <w:color w:val="000000"/>
          <w:sz w:val="26"/>
          <w:szCs w:val="26"/>
        </w:rPr>
        <w:t xml:space="preserve"> </w:t>
      </w:r>
      <w:r w:rsidR="00C400AB">
        <w:rPr>
          <w:rFonts w:eastAsia="Times New Roman"/>
          <w:color w:val="000000"/>
          <w:sz w:val="26"/>
          <w:szCs w:val="26"/>
        </w:rPr>
        <w:lastRenderedPageBreak/>
        <w:t xml:space="preserve">pay </w:t>
      </w:r>
      <w:r w:rsidR="00357F51">
        <w:rPr>
          <w:rFonts w:eastAsia="Times New Roman"/>
          <w:color w:val="000000"/>
          <w:sz w:val="26"/>
          <w:szCs w:val="26"/>
        </w:rPr>
        <w:t xml:space="preserve">all </w:t>
      </w:r>
      <w:r w:rsidR="00C400AB">
        <w:rPr>
          <w:rFonts w:eastAsia="Times New Roman"/>
          <w:color w:val="000000"/>
          <w:sz w:val="26"/>
          <w:szCs w:val="26"/>
        </w:rPr>
        <w:t xml:space="preserve">IP CTS providers but based only on the </w:t>
      </w:r>
      <w:r w:rsidR="00323B35">
        <w:rPr>
          <w:rFonts w:eastAsia="Times New Roman"/>
          <w:color w:val="000000"/>
          <w:sz w:val="26"/>
          <w:szCs w:val="26"/>
        </w:rPr>
        <w:t xml:space="preserve">limited </w:t>
      </w:r>
      <w:r w:rsidR="00C400AB">
        <w:rPr>
          <w:rFonts w:eastAsia="Times New Roman"/>
          <w:color w:val="000000"/>
          <w:sz w:val="26"/>
          <w:szCs w:val="26"/>
        </w:rPr>
        <w:t xml:space="preserve">intrastate revenues </w:t>
      </w:r>
      <w:r w:rsidR="00323B35">
        <w:rPr>
          <w:rFonts w:eastAsia="Times New Roman"/>
          <w:color w:val="000000"/>
          <w:sz w:val="26"/>
          <w:szCs w:val="26"/>
        </w:rPr>
        <w:t xml:space="preserve">of the intrastate </w:t>
      </w:r>
      <w:r w:rsidR="00C400AB">
        <w:rPr>
          <w:rFonts w:eastAsia="Times New Roman"/>
          <w:color w:val="000000"/>
          <w:sz w:val="26"/>
          <w:szCs w:val="26"/>
        </w:rPr>
        <w:t xml:space="preserve">telecommunications </w:t>
      </w:r>
      <w:r w:rsidR="00323B35">
        <w:rPr>
          <w:rFonts w:eastAsia="Times New Roman"/>
          <w:color w:val="000000"/>
          <w:sz w:val="26"/>
          <w:szCs w:val="26"/>
        </w:rPr>
        <w:t xml:space="preserve">voice </w:t>
      </w:r>
      <w:r w:rsidR="00C400AB">
        <w:rPr>
          <w:rFonts w:eastAsia="Times New Roman"/>
          <w:color w:val="000000"/>
          <w:sz w:val="26"/>
          <w:szCs w:val="26"/>
        </w:rPr>
        <w:t xml:space="preserve">service providers.  </w:t>
      </w:r>
      <w:r>
        <w:rPr>
          <w:rFonts w:eastAsia="Times New Roman"/>
          <w:color w:val="000000"/>
          <w:sz w:val="26"/>
          <w:szCs w:val="26"/>
        </w:rPr>
        <w:t xml:space="preserve">Thus, </w:t>
      </w:r>
      <w:r w:rsidR="00357F51">
        <w:rPr>
          <w:rFonts w:eastAsia="Times New Roman"/>
          <w:color w:val="000000"/>
          <w:sz w:val="26"/>
          <w:szCs w:val="26"/>
        </w:rPr>
        <w:t>s</w:t>
      </w:r>
      <w:r w:rsidR="0023007A">
        <w:rPr>
          <w:rFonts w:eastAsia="Times New Roman"/>
          <w:color w:val="000000"/>
          <w:sz w:val="26"/>
          <w:szCs w:val="26"/>
        </w:rPr>
        <w:t xml:space="preserve">tates would have to compensate eligible IP CTS providers based on a limited pool </w:t>
      </w:r>
      <w:r w:rsidR="00357F51">
        <w:rPr>
          <w:rFonts w:eastAsia="Times New Roman"/>
          <w:color w:val="000000"/>
          <w:sz w:val="26"/>
          <w:szCs w:val="26"/>
        </w:rPr>
        <w:t xml:space="preserve">of traditional voice service providers </w:t>
      </w:r>
      <w:r w:rsidR="0023007A">
        <w:rPr>
          <w:rFonts w:eastAsia="Times New Roman"/>
          <w:color w:val="000000"/>
          <w:sz w:val="26"/>
          <w:szCs w:val="26"/>
        </w:rPr>
        <w:t xml:space="preserve">contributing to their state TRS funds.  This </w:t>
      </w:r>
      <w:r w:rsidR="00C400AB" w:rsidRPr="00C400AB">
        <w:rPr>
          <w:rFonts w:eastAsia="Times New Roman"/>
          <w:color w:val="000000"/>
          <w:sz w:val="26"/>
          <w:szCs w:val="26"/>
        </w:rPr>
        <w:t xml:space="preserve">is </w:t>
      </w:r>
      <w:r w:rsidR="009B28D4" w:rsidRPr="00C400AB">
        <w:rPr>
          <w:rFonts w:eastAsia="Times New Roman"/>
          <w:color w:val="000000"/>
          <w:sz w:val="26"/>
          <w:szCs w:val="26"/>
        </w:rPr>
        <w:t xml:space="preserve">contrary to </w:t>
      </w:r>
      <w:r w:rsidR="0023007A">
        <w:rPr>
          <w:rFonts w:eastAsia="Times New Roman"/>
          <w:color w:val="000000"/>
          <w:sz w:val="26"/>
          <w:szCs w:val="26"/>
        </w:rPr>
        <w:t xml:space="preserve">the </w:t>
      </w:r>
      <w:r w:rsidR="009B28D4" w:rsidRPr="00C400AB">
        <w:rPr>
          <w:rFonts w:eastAsia="Times New Roman"/>
          <w:color w:val="000000"/>
          <w:sz w:val="26"/>
          <w:szCs w:val="26"/>
        </w:rPr>
        <w:t xml:space="preserve">spirit </w:t>
      </w:r>
      <w:r w:rsidR="00114FA9">
        <w:rPr>
          <w:rFonts w:eastAsia="Times New Roman"/>
          <w:color w:val="000000"/>
          <w:sz w:val="26"/>
          <w:szCs w:val="26"/>
        </w:rPr>
        <w:t xml:space="preserve">and letter </w:t>
      </w:r>
      <w:r w:rsidR="009B28D4" w:rsidRPr="00C400AB">
        <w:rPr>
          <w:rFonts w:eastAsia="Times New Roman"/>
          <w:color w:val="000000"/>
          <w:sz w:val="26"/>
          <w:szCs w:val="26"/>
        </w:rPr>
        <w:t>of Section 225 of the Act</w:t>
      </w:r>
      <w:r w:rsidR="003E287A">
        <w:rPr>
          <w:rFonts w:eastAsia="Times New Roman"/>
          <w:color w:val="000000"/>
          <w:sz w:val="26"/>
          <w:szCs w:val="26"/>
        </w:rPr>
        <w:t>,</w:t>
      </w:r>
      <w:r w:rsidR="00C400AB" w:rsidRPr="00C400AB">
        <w:rPr>
          <w:rFonts w:eastAsia="Times New Roman"/>
          <w:color w:val="000000"/>
          <w:sz w:val="26"/>
          <w:szCs w:val="26"/>
        </w:rPr>
        <w:t xml:space="preserve"> </w:t>
      </w:r>
      <w:r w:rsidR="0023007A">
        <w:rPr>
          <w:rFonts w:eastAsia="Times New Roman"/>
          <w:color w:val="000000"/>
          <w:sz w:val="26"/>
          <w:szCs w:val="26"/>
        </w:rPr>
        <w:t xml:space="preserve">which </w:t>
      </w:r>
      <w:r w:rsidR="009B28D4" w:rsidRPr="00C400AB">
        <w:rPr>
          <w:rFonts w:eastAsia="Times New Roman"/>
          <w:color w:val="000000"/>
          <w:sz w:val="26"/>
          <w:szCs w:val="26"/>
        </w:rPr>
        <w:t>requires all voice service providers</w:t>
      </w:r>
      <w:r w:rsidR="00357F51">
        <w:rPr>
          <w:rFonts w:eastAsia="Times New Roman"/>
          <w:color w:val="000000"/>
          <w:sz w:val="26"/>
          <w:szCs w:val="26"/>
        </w:rPr>
        <w:t>, including IP</w:t>
      </w:r>
      <w:r w:rsidR="00F81424">
        <w:rPr>
          <w:rFonts w:eastAsia="Times New Roman"/>
          <w:color w:val="000000"/>
          <w:sz w:val="26"/>
          <w:szCs w:val="26"/>
        </w:rPr>
        <w:t>-</w:t>
      </w:r>
      <w:r w:rsidR="00F40DD9">
        <w:rPr>
          <w:rFonts w:eastAsia="Times New Roman"/>
          <w:color w:val="000000"/>
          <w:sz w:val="26"/>
          <w:szCs w:val="26"/>
        </w:rPr>
        <w:t xml:space="preserve">enabled </w:t>
      </w:r>
      <w:r w:rsidR="00F81424">
        <w:rPr>
          <w:rFonts w:eastAsia="Times New Roman"/>
          <w:color w:val="000000"/>
          <w:sz w:val="26"/>
          <w:szCs w:val="26"/>
        </w:rPr>
        <w:t>service providers</w:t>
      </w:r>
      <w:r w:rsidR="00357F51">
        <w:rPr>
          <w:rFonts w:eastAsia="Times New Roman"/>
          <w:color w:val="000000"/>
          <w:sz w:val="26"/>
          <w:szCs w:val="26"/>
        </w:rPr>
        <w:t>,</w:t>
      </w:r>
      <w:r w:rsidR="009B28D4" w:rsidRPr="00C400AB">
        <w:rPr>
          <w:rFonts w:eastAsia="Times New Roman"/>
          <w:color w:val="000000"/>
          <w:sz w:val="26"/>
          <w:szCs w:val="26"/>
        </w:rPr>
        <w:t xml:space="preserve"> to contribute to the provisioning of </w:t>
      </w:r>
      <w:r w:rsidR="00FC54F3">
        <w:rPr>
          <w:rFonts w:eastAsia="Times New Roman"/>
          <w:color w:val="000000"/>
          <w:sz w:val="26"/>
          <w:szCs w:val="26"/>
        </w:rPr>
        <w:t xml:space="preserve">intrastate </w:t>
      </w:r>
      <w:r w:rsidR="009B28D4" w:rsidRPr="00C400AB">
        <w:rPr>
          <w:rFonts w:eastAsia="Times New Roman"/>
          <w:color w:val="000000"/>
          <w:sz w:val="26"/>
          <w:szCs w:val="26"/>
        </w:rPr>
        <w:t>TRS services</w:t>
      </w:r>
      <w:r w:rsidR="009B28D4">
        <w:rPr>
          <w:rFonts w:eastAsia="Times New Roman"/>
          <w:color w:val="000000"/>
          <w:sz w:val="26"/>
          <w:szCs w:val="26"/>
        </w:rPr>
        <w:t xml:space="preserve">.  </w:t>
      </w:r>
      <w:r w:rsidR="00114FA9">
        <w:rPr>
          <w:rFonts w:eastAsia="Times New Roman"/>
          <w:color w:val="000000"/>
          <w:sz w:val="26"/>
          <w:szCs w:val="26"/>
        </w:rPr>
        <w:t>Accordingly, the Commission should either address the jurisdictional classification of IP</w:t>
      </w:r>
      <w:r w:rsidR="00D21A6D">
        <w:rPr>
          <w:rFonts w:eastAsia="Times New Roman"/>
          <w:color w:val="000000"/>
          <w:sz w:val="26"/>
          <w:szCs w:val="26"/>
        </w:rPr>
        <w:noBreakHyphen/>
      </w:r>
      <w:r w:rsidR="00114FA9">
        <w:rPr>
          <w:rFonts w:eastAsia="Times New Roman"/>
          <w:color w:val="000000"/>
          <w:sz w:val="26"/>
          <w:szCs w:val="26"/>
        </w:rPr>
        <w:t xml:space="preserve">enabled services, or </w:t>
      </w:r>
      <w:r w:rsidR="00631EB0">
        <w:rPr>
          <w:rFonts w:eastAsia="Times New Roman"/>
          <w:color w:val="000000"/>
          <w:sz w:val="26"/>
          <w:szCs w:val="26"/>
        </w:rPr>
        <w:t>alternatively e</w:t>
      </w:r>
      <w:r w:rsidR="00114FA9">
        <w:rPr>
          <w:rFonts w:eastAsia="Times New Roman"/>
          <w:color w:val="000000"/>
          <w:sz w:val="26"/>
          <w:szCs w:val="26"/>
        </w:rPr>
        <w:t xml:space="preserve">xtend the rationale in the </w:t>
      </w:r>
      <w:r w:rsidR="00114FA9">
        <w:rPr>
          <w:rFonts w:eastAsia="Times New Roman"/>
          <w:i/>
          <w:color w:val="000000"/>
          <w:sz w:val="26"/>
          <w:szCs w:val="26"/>
        </w:rPr>
        <w:t>Kansas/Nebraska State USF Contribution Declaratory Ruling</w:t>
      </w:r>
      <w:r w:rsidR="00114FA9" w:rsidRPr="00631EB0">
        <w:rPr>
          <w:rStyle w:val="FootnoteReference"/>
          <w:rFonts w:eastAsia="Times New Roman"/>
          <w:color w:val="000000"/>
          <w:sz w:val="26"/>
          <w:szCs w:val="26"/>
        </w:rPr>
        <w:footnoteReference w:id="30"/>
      </w:r>
      <w:r w:rsidR="00114FA9">
        <w:rPr>
          <w:rFonts w:eastAsia="Times New Roman"/>
          <w:i/>
          <w:color w:val="000000"/>
          <w:sz w:val="26"/>
          <w:szCs w:val="26"/>
        </w:rPr>
        <w:t xml:space="preserve"> </w:t>
      </w:r>
      <w:r w:rsidR="00114FA9">
        <w:rPr>
          <w:rFonts w:eastAsia="Times New Roman"/>
          <w:color w:val="000000"/>
          <w:sz w:val="26"/>
          <w:szCs w:val="26"/>
        </w:rPr>
        <w:t>to the states’ assessment of interconnected VoIP providers’ revenues for TRS purposes.</w:t>
      </w:r>
    </w:p>
    <w:p w14:paraId="5585276A" w14:textId="77777777" w:rsidR="00C400AB" w:rsidRDefault="00C400AB" w:rsidP="00D1145E">
      <w:pPr>
        <w:ind w:firstLine="720"/>
        <w:rPr>
          <w:rFonts w:eastAsia="Times New Roman"/>
          <w:color w:val="000000"/>
          <w:sz w:val="26"/>
          <w:szCs w:val="26"/>
        </w:rPr>
      </w:pPr>
    </w:p>
    <w:p w14:paraId="7045FB93" w14:textId="77777777" w:rsidR="00A71EEE" w:rsidRDefault="00A51D89" w:rsidP="002B1EF3">
      <w:pPr>
        <w:ind w:firstLine="720"/>
        <w:rPr>
          <w:rFonts w:eastAsia="Times New Roman"/>
          <w:color w:val="000000"/>
          <w:sz w:val="26"/>
          <w:szCs w:val="26"/>
        </w:rPr>
      </w:pPr>
      <w:r>
        <w:rPr>
          <w:rFonts w:eastAsia="Times New Roman"/>
          <w:color w:val="000000"/>
          <w:sz w:val="26"/>
          <w:szCs w:val="26"/>
        </w:rPr>
        <w:t>T</w:t>
      </w:r>
      <w:r w:rsidRPr="003C2FAC">
        <w:rPr>
          <w:rFonts w:eastAsia="Times New Roman"/>
          <w:color w:val="000000"/>
          <w:sz w:val="26"/>
          <w:szCs w:val="26"/>
        </w:rPr>
        <w:t xml:space="preserve">he </w:t>
      </w:r>
      <w:r w:rsidRPr="00ED03EC">
        <w:rPr>
          <w:rFonts w:eastAsia="Times New Roman"/>
          <w:i/>
          <w:color w:val="000000"/>
          <w:sz w:val="26"/>
          <w:szCs w:val="26"/>
        </w:rPr>
        <w:t>FNPRM</w:t>
      </w:r>
      <w:r w:rsidRPr="003C2FAC">
        <w:rPr>
          <w:rFonts w:eastAsia="Times New Roman"/>
          <w:color w:val="000000"/>
          <w:sz w:val="26"/>
          <w:szCs w:val="26"/>
        </w:rPr>
        <w:t xml:space="preserve"> </w:t>
      </w:r>
      <w:r>
        <w:rPr>
          <w:rFonts w:eastAsia="Times New Roman"/>
          <w:color w:val="000000"/>
          <w:sz w:val="26"/>
          <w:szCs w:val="26"/>
        </w:rPr>
        <w:t xml:space="preserve">never fully addresses </w:t>
      </w:r>
      <w:r w:rsidRPr="003C2FAC">
        <w:rPr>
          <w:rFonts w:eastAsia="Times New Roman"/>
          <w:color w:val="000000"/>
          <w:sz w:val="26"/>
          <w:szCs w:val="26"/>
        </w:rPr>
        <w:t xml:space="preserve">the jurisdictional issues inherent to giving individual states control over a fundamentally </w:t>
      </w:r>
      <w:r w:rsidR="00631EB0">
        <w:rPr>
          <w:rFonts w:eastAsia="Times New Roman"/>
          <w:color w:val="000000"/>
          <w:sz w:val="26"/>
          <w:szCs w:val="26"/>
        </w:rPr>
        <w:t>IP</w:t>
      </w:r>
      <w:r w:rsidRPr="003C2FAC">
        <w:rPr>
          <w:rFonts w:eastAsia="Times New Roman"/>
          <w:color w:val="000000"/>
          <w:sz w:val="26"/>
          <w:szCs w:val="26"/>
        </w:rPr>
        <w:t>-based service.</w:t>
      </w:r>
      <w:r>
        <w:rPr>
          <w:rFonts w:eastAsia="Times New Roman"/>
          <w:color w:val="000000"/>
          <w:sz w:val="26"/>
          <w:szCs w:val="26"/>
        </w:rPr>
        <w:t xml:space="preserve">  </w:t>
      </w:r>
      <w:r w:rsidR="00FD261B">
        <w:rPr>
          <w:rFonts w:ascii="TimesNewRomanPSMT" w:hAnsi="TimesNewRomanPSMT" w:cs="TimesNewRomanPSMT"/>
          <w:color w:val="000000"/>
          <w:sz w:val="26"/>
          <w:szCs w:val="26"/>
        </w:rPr>
        <w:t xml:space="preserve">Commentators note that </w:t>
      </w:r>
      <w:r w:rsidR="00FD261B" w:rsidRPr="006B52B9">
        <w:rPr>
          <w:rFonts w:ascii="TimesNewRomanPSMT" w:hAnsi="TimesNewRomanPSMT" w:cs="TimesNewRomanPSMT"/>
          <w:color w:val="000000"/>
          <w:sz w:val="26"/>
          <w:szCs w:val="26"/>
        </w:rPr>
        <w:t>the regulatory</w:t>
      </w:r>
      <w:r w:rsidR="00FD261B">
        <w:rPr>
          <w:rFonts w:ascii="TimesNewRomanPSMT" w:hAnsi="TimesNewRomanPSMT" w:cs="TimesNewRomanPSMT"/>
          <w:color w:val="000000"/>
          <w:sz w:val="26"/>
          <w:szCs w:val="26"/>
        </w:rPr>
        <w:t xml:space="preserve"> </w:t>
      </w:r>
      <w:r w:rsidR="00FD261B" w:rsidRPr="006B52B9">
        <w:rPr>
          <w:rFonts w:ascii="TimesNewRomanPSMT" w:hAnsi="TimesNewRomanPSMT" w:cs="TimesNewRomanPSMT"/>
          <w:color w:val="000000"/>
          <w:sz w:val="26"/>
          <w:szCs w:val="26"/>
        </w:rPr>
        <w:t>classification of VoIP service is important because it impacts how and by whom VoIP service, including IP CTS, may be regulated.</w:t>
      </w:r>
      <w:r w:rsidR="00FD261B">
        <w:rPr>
          <w:rFonts w:ascii="TimesNewRomanPSMT" w:hAnsi="TimesNewRomanPSMT" w:cs="TimesNewRomanPSMT"/>
          <w:color w:val="000000"/>
          <w:sz w:val="26"/>
          <w:szCs w:val="26"/>
        </w:rPr>
        <w:t xml:space="preserve">  </w:t>
      </w:r>
      <w:r w:rsidR="00114FA9">
        <w:rPr>
          <w:rFonts w:ascii="TimesNewRomanPSMT" w:hAnsi="TimesNewRomanPSMT" w:cs="TimesNewRomanPSMT"/>
          <w:color w:val="000000"/>
          <w:sz w:val="26"/>
          <w:szCs w:val="26"/>
        </w:rPr>
        <w:t>I</w:t>
      </w:r>
      <w:r w:rsidR="00FD261B">
        <w:rPr>
          <w:rFonts w:ascii="TimesNewRomanPSMT" w:hAnsi="TimesNewRomanPSMT" w:cs="TimesNewRomanPSMT"/>
          <w:color w:val="000000"/>
          <w:sz w:val="26"/>
          <w:szCs w:val="26"/>
        </w:rPr>
        <w:t xml:space="preserve">nformation services </w:t>
      </w:r>
      <w:r w:rsidR="00114FA9">
        <w:rPr>
          <w:rFonts w:ascii="TimesNewRomanPSMT" w:hAnsi="TimesNewRomanPSMT" w:cs="TimesNewRomanPSMT"/>
          <w:color w:val="000000"/>
          <w:sz w:val="26"/>
          <w:szCs w:val="26"/>
        </w:rPr>
        <w:t xml:space="preserve">fall </w:t>
      </w:r>
      <w:r w:rsidR="00FD261B">
        <w:rPr>
          <w:rFonts w:ascii="TimesNewRomanPSMT" w:hAnsi="TimesNewRomanPSMT" w:cs="TimesNewRomanPSMT"/>
          <w:color w:val="000000"/>
          <w:sz w:val="26"/>
          <w:szCs w:val="26"/>
        </w:rPr>
        <w:t xml:space="preserve">exclusively under the jurisdiction of the Commission and state regulation </w:t>
      </w:r>
      <w:r w:rsidR="00FD261B" w:rsidRPr="006B52B9">
        <w:rPr>
          <w:rFonts w:ascii="TimesNewRomanPSMT" w:hAnsi="TimesNewRomanPSMT" w:cs="TimesNewRomanPSMT"/>
          <w:color w:val="000000"/>
          <w:sz w:val="26"/>
          <w:szCs w:val="26"/>
        </w:rPr>
        <w:t>is preempted by federal law.</w:t>
      </w:r>
      <w:r w:rsidR="00FD261B">
        <w:rPr>
          <w:rStyle w:val="FootnoteReference"/>
          <w:rFonts w:ascii="TimesNewRomanPSMT" w:hAnsi="TimesNewRomanPSMT" w:cs="TimesNewRomanPSMT"/>
          <w:color w:val="000000"/>
          <w:sz w:val="26"/>
          <w:szCs w:val="26"/>
        </w:rPr>
        <w:footnoteReference w:id="31"/>
      </w:r>
      <w:r w:rsidR="00FD261B">
        <w:rPr>
          <w:rFonts w:ascii="TimesNewRomanPSMT" w:hAnsi="TimesNewRomanPSMT" w:cs="TimesNewRomanPSMT"/>
          <w:color w:val="000000"/>
          <w:sz w:val="26"/>
          <w:szCs w:val="26"/>
        </w:rPr>
        <w:t xml:space="preserve">  </w:t>
      </w:r>
      <w:r w:rsidR="00A71EEE">
        <w:rPr>
          <w:rFonts w:eastAsia="Times New Roman"/>
          <w:color w:val="000000"/>
          <w:sz w:val="26"/>
          <w:szCs w:val="26"/>
        </w:rPr>
        <w:t xml:space="preserve">The Pa. PUC agrees with the assessment </w:t>
      </w:r>
      <w:r w:rsidR="00764858">
        <w:rPr>
          <w:rFonts w:eastAsia="Times New Roman"/>
          <w:color w:val="000000"/>
          <w:sz w:val="26"/>
          <w:szCs w:val="26"/>
        </w:rPr>
        <w:t xml:space="preserve">of the Nebraska Public Service Commission </w:t>
      </w:r>
      <w:r w:rsidR="00A71EEE">
        <w:rPr>
          <w:rFonts w:eastAsia="Times New Roman"/>
          <w:color w:val="000000"/>
          <w:sz w:val="26"/>
          <w:szCs w:val="26"/>
        </w:rPr>
        <w:t xml:space="preserve">that if </w:t>
      </w:r>
      <w:r w:rsidR="00A71EEE" w:rsidRPr="003C2FAC">
        <w:rPr>
          <w:rFonts w:eastAsia="Times New Roman"/>
          <w:color w:val="000000"/>
          <w:sz w:val="26"/>
          <w:szCs w:val="26"/>
        </w:rPr>
        <w:t>states</w:t>
      </w:r>
      <w:r w:rsidR="00A71EEE">
        <w:rPr>
          <w:rFonts w:eastAsia="Times New Roman"/>
          <w:color w:val="000000"/>
          <w:sz w:val="26"/>
          <w:szCs w:val="26"/>
        </w:rPr>
        <w:t xml:space="preserve"> are being asked to </w:t>
      </w:r>
      <w:r w:rsidR="00A71EEE" w:rsidRPr="003C2FAC">
        <w:rPr>
          <w:rFonts w:eastAsia="Times New Roman"/>
          <w:color w:val="000000"/>
          <w:sz w:val="26"/>
          <w:szCs w:val="26"/>
        </w:rPr>
        <w:t xml:space="preserve">administer </w:t>
      </w:r>
      <w:r w:rsidR="00A71EEE">
        <w:rPr>
          <w:rFonts w:eastAsia="Times New Roman"/>
          <w:color w:val="000000"/>
          <w:sz w:val="26"/>
          <w:szCs w:val="26"/>
        </w:rPr>
        <w:t xml:space="preserve">IP CTS calls, </w:t>
      </w:r>
      <w:r w:rsidR="00A71EEE" w:rsidRPr="003C2FAC">
        <w:rPr>
          <w:rFonts w:eastAsia="Times New Roman"/>
          <w:color w:val="000000"/>
          <w:sz w:val="26"/>
          <w:szCs w:val="26"/>
        </w:rPr>
        <w:t>the</w:t>
      </w:r>
      <w:r w:rsidR="00A71EEE">
        <w:rPr>
          <w:rFonts w:eastAsia="Times New Roman"/>
          <w:color w:val="000000"/>
          <w:sz w:val="26"/>
          <w:szCs w:val="26"/>
        </w:rPr>
        <w:t>n the</w:t>
      </w:r>
      <w:r w:rsidR="00A71EEE" w:rsidRPr="003C2FAC">
        <w:rPr>
          <w:rFonts w:eastAsia="Times New Roman"/>
          <w:color w:val="000000"/>
          <w:sz w:val="26"/>
          <w:szCs w:val="26"/>
        </w:rPr>
        <w:t xml:space="preserve"> FCC must be prepared to explicitly repeal its previous position </w:t>
      </w:r>
      <w:r w:rsidR="00A71EEE">
        <w:rPr>
          <w:rFonts w:eastAsia="Times New Roman"/>
          <w:color w:val="000000"/>
          <w:sz w:val="26"/>
          <w:szCs w:val="26"/>
        </w:rPr>
        <w:t xml:space="preserve">in </w:t>
      </w:r>
      <w:r w:rsidR="00A71EEE" w:rsidRPr="00E5603D">
        <w:rPr>
          <w:rFonts w:eastAsia="Times New Roman"/>
          <w:i/>
          <w:color w:val="000000"/>
          <w:sz w:val="26"/>
          <w:szCs w:val="26"/>
        </w:rPr>
        <w:t>Vonage</w:t>
      </w:r>
      <w:r w:rsidR="00A71EEE">
        <w:rPr>
          <w:rFonts w:eastAsia="Times New Roman"/>
          <w:color w:val="000000"/>
          <w:sz w:val="26"/>
          <w:szCs w:val="26"/>
        </w:rPr>
        <w:t xml:space="preserve"> </w:t>
      </w:r>
      <w:r w:rsidR="00A71EEE" w:rsidRPr="003C2FAC">
        <w:rPr>
          <w:rFonts w:eastAsia="Times New Roman"/>
          <w:color w:val="000000"/>
          <w:sz w:val="26"/>
          <w:szCs w:val="26"/>
        </w:rPr>
        <w:t xml:space="preserve">that </w:t>
      </w:r>
      <w:r w:rsidR="00802749">
        <w:rPr>
          <w:rFonts w:eastAsia="Times New Roman"/>
          <w:color w:val="000000"/>
          <w:sz w:val="26"/>
          <w:szCs w:val="26"/>
        </w:rPr>
        <w:t>IP</w:t>
      </w:r>
      <w:r w:rsidR="0085071D">
        <w:rPr>
          <w:rFonts w:eastAsia="Times New Roman"/>
          <w:color w:val="000000"/>
          <w:sz w:val="26"/>
          <w:szCs w:val="26"/>
        </w:rPr>
        <w:t>-</w:t>
      </w:r>
      <w:r w:rsidR="00A71EEE" w:rsidRPr="003C2FAC">
        <w:rPr>
          <w:rFonts w:eastAsia="Times New Roman"/>
          <w:color w:val="000000"/>
          <w:sz w:val="26"/>
          <w:szCs w:val="26"/>
        </w:rPr>
        <w:t xml:space="preserve">based </w:t>
      </w:r>
      <w:r w:rsidR="00802749">
        <w:rPr>
          <w:rFonts w:eastAsia="Times New Roman"/>
          <w:color w:val="000000"/>
          <w:sz w:val="26"/>
          <w:szCs w:val="26"/>
        </w:rPr>
        <w:t xml:space="preserve">retail </w:t>
      </w:r>
      <w:r w:rsidR="00A71EEE" w:rsidRPr="003C2FAC">
        <w:rPr>
          <w:rFonts w:eastAsia="Times New Roman"/>
          <w:color w:val="000000"/>
          <w:sz w:val="26"/>
          <w:szCs w:val="26"/>
        </w:rPr>
        <w:t xml:space="preserve">services are exclusively under </w:t>
      </w:r>
      <w:r w:rsidR="00357F51">
        <w:rPr>
          <w:rFonts w:eastAsia="Times New Roman"/>
          <w:color w:val="000000"/>
          <w:sz w:val="26"/>
          <w:szCs w:val="26"/>
        </w:rPr>
        <w:t>f</w:t>
      </w:r>
      <w:r w:rsidR="00A71EEE" w:rsidRPr="003C2FAC">
        <w:rPr>
          <w:rFonts w:eastAsia="Times New Roman"/>
          <w:color w:val="000000"/>
          <w:sz w:val="26"/>
          <w:szCs w:val="26"/>
        </w:rPr>
        <w:t>ederal jurisdiction.</w:t>
      </w:r>
      <w:r w:rsidR="0033704D">
        <w:rPr>
          <w:rFonts w:eastAsia="Times New Roman"/>
          <w:color w:val="000000"/>
          <w:sz w:val="26"/>
          <w:szCs w:val="26"/>
        </w:rPr>
        <w:t xml:space="preserve">  </w:t>
      </w:r>
      <w:r w:rsidR="00967956">
        <w:rPr>
          <w:rFonts w:eastAsia="Times New Roman"/>
          <w:color w:val="000000"/>
          <w:sz w:val="26"/>
          <w:szCs w:val="26"/>
        </w:rPr>
        <w:t xml:space="preserve">In its comments, NARUC notes that </w:t>
      </w:r>
      <w:r w:rsidR="00967956" w:rsidRPr="00967956">
        <w:rPr>
          <w:rFonts w:eastAsia="Times New Roman"/>
          <w:color w:val="000000"/>
          <w:sz w:val="26"/>
          <w:szCs w:val="26"/>
        </w:rPr>
        <w:t xml:space="preserve">the </w:t>
      </w:r>
      <w:r w:rsidR="00967956">
        <w:rPr>
          <w:rFonts w:eastAsia="Times New Roman"/>
          <w:color w:val="000000"/>
          <w:sz w:val="26"/>
          <w:szCs w:val="26"/>
        </w:rPr>
        <w:t xml:space="preserve">Commission </w:t>
      </w:r>
      <w:r w:rsidR="0033704D">
        <w:rPr>
          <w:rFonts w:eastAsia="Times New Roman"/>
          <w:color w:val="000000"/>
          <w:sz w:val="26"/>
          <w:szCs w:val="26"/>
        </w:rPr>
        <w:t xml:space="preserve">has already done so as it has already determined that </w:t>
      </w:r>
      <w:r w:rsidR="00967956" w:rsidRPr="00967956">
        <w:rPr>
          <w:rFonts w:eastAsia="Times New Roman"/>
          <w:color w:val="000000"/>
          <w:sz w:val="26"/>
          <w:szCs w:val="26"/>
        </w:rPr>
        <w:t xml:space="preserve">VoIP traffic is severable </w:t>
      </w:r>
      <w:r w:rsidR="0033704D">
        <w:rPr>
          <w:rFonts w:eastAsia="Times New Roman"/>
          <w:color w:val="000000"/>
          <w:sz w:val="26"/>
          <w:szCs w:val="26"/>
        </w:rPr>
        <w:t xml:space="preserve">and, thus, </w:t>
      </w:r>
      <w:r w:rsidR="00967956" w:rsidRPr="00967956">
        <w:rPr>
          <w:rFonts w:eastAsia="Times New Roman"/>
          <w:color w:val="000000"/>
          <w:sz w:val="26"/>
          <w:szCs w:val="26"/>
        </w:rPr>
        <w:t xml:space="preserve">that </w:t>
      </w:r>
      <w:r w:rsidR="00357F51">
        <w:rPr>
          <w:rFonts w:eastAsia="Times New Roman"/>
          <w:color w:val="000000"/>
          <w:sz w:val="26"/>
          <w:szCs w:val="26"/>
        </w:rPr>
        <w:t>s</w:t>
      </w:r>
      <w:r w:rsidR="00967956" w:rsidRPr="00967956">
        <w:rPr>
          <w:rFonts w:eastAsia="Times New Roman"/>
          <w:color w:val="000000"/>
          <w:sz w:val="26"/>
          <w:szCs w:val="26"/>
        </w:rPr>
        <w:t>tates have jurisdiction regardless of the classification of the service</w:t>
      </w:r>
      <w:r w:rsidR="0033704D">
        <w:rPr>
          <w:rFonts w:eastAsia="Times New Roman"/>
          <w:color w:val="000000"/>
          <w:sz w:val="26"/>
          <w:szCs w:val="26"/>
        </w:rPr>
        <w:t>.</w:t>
      </w:r>
      <w:r w:rsidR="0033704D">
        <w:rPr>
          <w:rStyle w:val="FootnoteReference"/>
          <w:rFonts w:eastAsia="Times New Roman"/>
          <w:color w:val="000000"/>
          <w:sz w:val="26"/>
          <w:szCs w:val="26"/>
        </w:rPr>
        <w:footnoteReference w:id="32"/>
      </w:r>
    </w:p>
    <w:p w14:paraId="47D13016" w14:textId="77777777" w:rsidR="0033704D" w:rsidRDefault="0033704D" w:rsidP="002B1EF3">
      <w:pPr>
        <w:ind w:firstLine="720"/>
        <w:rPr>
          <w:rFonts w:eastAsia="Times New Roman"/>
          <w:color w:val="000000"/>
          <w:sz w:val="26"/>
          <w:szCs w:val="26"/>
        </w:rPr>
      </w:pPr>
    </w:p>
    <w:p w14:paraId="3F2E953B" w14:textId="52FBC5D3" w:rsidR="00511C15" w:rsidRDefault="00B60C1A" w:rsidP="00511C15">
      <w:pPr>
        <w:ind w:firstLine="720"/>
        <w:rPr>
          <w:rFonts w:eastAsia="Times New Roman"/>
          <w:color w:val="000000"/>
          <w:sz w:val="26"/>
          <w:szCs w:val="26"/>
        </w:rPr>
      </w:pPr>
      <w:r>
        <w:rPr>
          <w:rFonts w:eastAsia="Times New Roman"/>
          <w:color w:val="000000"/>
          <w:sz w:val="26"/>
          <w:szCs w:val="26"/>
        </w:rPr>
        <w:lastRenderedPageBreak/>
        <w:t xml:space="preserve">In </w:t>
      </w:r>
      <w:r w:rsidR="00422697">
        <w:rPr>
          <w:rFonts w:eastAsia="Times New Roman"/>
          <w:color w:val="000000"/>
          <w:sz w:val="26"/>
          <w:szCs w:val="26"/>
        </w:rPr>
        <w:t xml:space="preserve">the </w:t>
      </w:r>
      <w:r w:rsidR="00A71EEE" w:rsidRPr="00530F9D">
        <w:rPr>
          <w:rFonts w:eastAsia="Times New Roman"/>
          <w:i/>
          <w:iCs/>
          <w:color w:val="000000"/>
          <w:sz w:val="26"/>
          <w:szCs w:val="26"/>
        </w:rPr>
        <w:t>Vonage</w:t>
      </w:r>
      <w:r w:rsidR="00422697">
        <w:rPr>
          <w:rFonts w:eastAsia="Times New Roman"/>
          <w:i/>
          <w:iCs/>
          <w:color w:val="000000"/>
          <w:sz w:val="26"/>
          <w:szCs w:val="26"/>
        </w:rPr>
        <w:t xml:space="preserve"> Preemption Order</w:t>
      </w:r>
      <w:r>
        <w:rPr>
          <w:rFonts w:eastAsia="Times New Roman"/>
          <w:iCs/>
          <w:color w:val="000000"/>
          <w:sz w:val="26"/>
          <w:szCs w:val="26"/>
        </w:rPr>
        <w:t>,</w:t>
      </w:r>
      <w:r w:rsidR="00714EE6">
        <w:rPr>
          <w:rFonts w:eastAsia="Times New Roman"/>
          <w:i/>
          <w:iCs/>
          <w:color w:val="000000"/>
          <w:sz w:val="26"/>
          <w:szCs w:val="26"/>
        </w:rPr>
        <w:t xml:space="preserve"> </w:t>
      </w:r>
      <w:r>
        <w:rPr>
          <w:rFonts w:eastAsia="Times New Roman"/>
          <w:iCs/>
          <w:color w:val="000000"/>
          <w:sz w:val="26"/>
          <w:szCs w:val="26"/>
        </w:rPr>
        <w:t>the Commission preempted the application of Minnesota’s traditional telephone regulation</w:t>
      </w:r>
      <w:r w:rsidR="00511C15">
        <w:rPr>
          <w:rFonts w:eastAsia="Times New Roman"/>
          <w:iCs/>
          <w:color w:val="000000"/>
          <w:sz w:val="26"/>
          <w:szCs w:val="26"/>
        </w:rPr>
        <w:t>s</w:t>
      </w:r>
      <w:r>
        <w:rPr>
          <w:rFonts w:eastAsia="Times New Roman"/>
          <w:iCs/>
          <w:color w:val="000000"/>
          <w:sz w:val="26"/>
          <w:szCs w:val="26"/>
        </w:rPr>
        <w:t xml:space="preserve"> </w:t>
      </w:r>
      <w:r w:rsidR="00511C15">
        <w:rPr>
          <w:rFonts w:eastAsia="Times New Roman"/>
          <w:iCs/>
          <w:color w:val="000000"/>
          <w:sz w:val="26"/>
          <w:szCs w:val="26"/>
        </w:rPr>
        <w:t>to</w:t>
      </w:r>
      <w:r>
        <w:rPr>
          <w:rFonts w:eastAsia="Times New Roman"/>
          <w:iCs/>
          <w:color w:val="000000"/>
          <w:sz w:val="26"/>
          <w:szCs w:val="26"/>
        </w:rPr>
        <w:t xml:space="preserve"> Vonage’s </w:t>
      </w:r>
      <w:r w:rsidR="00802749">
        <w:rPr>
          <w:rFonts w:eastAsia="Times New Roman"/>
          <w:iCs/>
          <w:color w:val="000000"/>
          <w:sz w:val="26"/>
          <w:szCs w:val="26"/>
        </w:rPr>
        <w:t xml:space="preserve">retail </w:t>
      </w:r>
      <w:r>
        <w:rPr>
          <w:rFonts w:eastAsia="Times New Roman"/>
          <w:iCs/>
          <w:color w:val="000000"/>
          <w:sz w:val="26"/>
          <w:szCs w:val="26"/>
        </w:rPr>
        <w:t xml:space="preserve">VoIP service.  The </w:t>
      </w:r>
      <w:r w:rsidR="00114FA9">
        <w:rPr>
          <w:rFonts w:eastAsia="Times New Roman"/>
          <w:iCs/>
          <w:color w:val="000000"/>
          <w:sz w:val="26"/>
          <w:szCs w:val="26"/>
        </w:rPr>
        <w:t xml:space="preserve">Commission’s determination in </w:t>
      </w:r>
      <w:r>
        <w:rPr>
          <w:rFonts w:eastAsia="Times New Roman"/>
          <w:i/>
          <w:iCs/>
          <w:color w:val="000000"/>
          <w:sz w:val="26"/>
          <w:szCs w:val="26"/>
        </w:rPr>
        <w:t xml:space="preserve">Vonage </w:t>
      </w:r>
      <w:r w:rsidR="00A71EEE" w:rsidRPr="00530F9D">
        <w:rPr>
          <w:rFonts w:eastAsia="Times New Roman"/>
          <w:color w:val="000000"/>
          <w:sz w:val="26"/>
          <w:szCs w:val="26"/>
        </w:rPr>
        <w:t xml:space="preserve">rested </w:t>
      </w:r>
      <w:r w:rsidR="00511C15">
        <w:rPr>
          <w:rFonts w:eastAsia="Times New Roman"/>
          <w:color w:val="000000"/>
          <w:sz w:val="26"/>
          <w:szCs w:val="26"/>
        </w:rPr>
        <w:t xml:space="preserve">primarily </w:t>
      </w:r>
      <w:r w:rsidR="00A71EEE" w:rsidRPr="00530F9D">
        <w:rPr>
          <w:rFonts w:eastAsia="Times New Roman"/>
          <w:color w:val="000000"/>
          <w:sz w:val="26"/>
          <w:szCs w:val="26"/>
        </w:rPr>
        <w:t>on the premise that it is impossible to distinguish “between interstate and intrastate interconnected VoIP usage.”</w:t>
      </w:r>
      <w:r w:rsidR="00E5603D" w:rsidRPr="00530F9D">
        <w:rPr>
          <w:rStyle w:val="FootnoteReference"/>
          <w:rFonts w:eastAsia="Times New Roman"/>
          <w:color w:val="000000"/>
          <w:sz w:val="26"/>
          <w:szCs w:val="26"/>
        </w:rPr>
        <w:footnoteReference w:id="33"/>
      </w:r>
      <w:r w:rsidR="00511C15">
        <w:rPr>
          <w:rFonts w:eastAsia="Times New Roman"/>
          <w:color w:val="000000"/>
          <w:sz w:val="26"/>
          <w:szCs w:val="26"/>
        </w:rPr>
        <w:t xml:space="preserve">  </w:t>
      </w:r>
      <w:r>
        <w:rPr>
          <w:rFonts w:eastAsia="Times New Roman"/>
          <w:color w:val="000000"/>
          <w:sz w:val="26"/>
          <w:szCs w:val="26"/>
        </w:rPr>
        <w:t xml:space="preserve">However, </w:t>
      </w:r>
      <w:r>
        <w:rPr>
          <w:sz w:val="26"/>
          <w:szCs w:val="26"/>
        </w:rPr>
        <w:t>as noted in the Pa. PUC’s comments,</w:t>
      </w:r>
      <w:r w:rsidRPr="00FD4351">
        <w:rPr>
          <w:rFonts w:ascii="TimesNewRomanPS" w:hAnsi="TimesNewRomanPS" w:cs="TimesNewRomanPS"/>
          <w:sz w:val="26"/>
          <w:szCs w:val="26"/>
        </w:rPr>
        <w:t xml:space="preserve"> the Commission has imposed some Title II regulation on VoIP services</w:t>
      </w:r>
      <w:r w:rsidR="00511C15">
        <w:rPr>
          <w:rFonts w:ascii="TimesNewRomanPS" w:hAnsi="TimesNewRomanPS" w:cs="TimesNewRomanPS"/>
          <w:sz w:val="26"/>
          <w:szCs w:val="26"/>
        </w:rPr>
        <w:t xml:space="preserve"> </w:t>
      </w:r>
      <w:r w:rsidR="00511C15" w:rsidRPr="00FD4351">
        <w:rPr>
          <w:rFonts w:ascii="TimesNewRomanPS" w:hAnsi="TimesNewRomanPS" w:cs="TimesNewRomanPS"/>
          <w:sz w:val="26"/>
          <w:szCs w:val="26"/>
        </w:rPr>
        <w:t>without deciding whether the</w:t>
      </w:r>
      <w:r w:rsidR="00802749">
        <w:rPr>
          <w:rFonts w:ascii="TimesNewRomanPS" w:hAnsi="TimesNewRomanPS" w:cs="TimesNewRomanPS"/>
          <w:sz w:val="26"/>
          <w:szCs w:val="26"/>
        </w:rPr>
        <w:t>se</w:t>
      </w:r>
      <w:r w:rsidR="00511C15" w:rsidRPr="00FD4351">
        <w:rPr>
          <w:rFonts w:ascii="TimesNewRomanPS" w:hAnsi="TimesNewRomanPS" w:cs="TimesNewRomanPS"/>
          <w:sz w:val="26"/>
          <w:szCs w:val="26"/>
        </w:rPr>
        <w:t xml:space="preserve"> service</w:t>
      </w:r>
      <w:r w:rsidR="00802749">
        <w:rPr>
          <w:rFonts w:ascii="TimesNewRomanPS" w:hAnsi="TimesNewRomanPS" w:cs="TimesNewRomanPS"/>
          <w:sz w:val="26"/>
          <w:szCs w:val="26"/>
        </w:rPr>
        <w:t>s</w:t>
      </w:r>
      <w:r w:rsidR="00511C15" w:rsidRPr="00FD4351">
        <w:rPr>
          <w:rFonts w:ascii="TimesNewRomanPS" w:hAnsi="TimesNewRomanPS" w:cs="TimesNewRomanPS"/>
          <w:sz w:val="26"/>
          <w:szCs w:val="26"/>
        </w:rPr>
        <w:t xml:space="preserve"> </w:t>
      </w:r>
      <w:r w:rsidR="00802749">
        <w:rPr>
          <w:rFonts w:ascii="TimesNewRomanPS" w:hAnsi="TimesNewRomanPS" w:cs="TimesNewRomanPS"/>
          <w:sz w:val="26"/>
          <w:szCs w:val="26"/>
        </w:rPr>
        <w:t>are</w:t>
      </w:r>
      <w:r w:rsidR="00511C15" w:rsidRPr="00FD4351">
        <w:rPr>
          <w:rFonts w:ascii="TimesNewRomanPS" w:hAnsi="TimesNewRomanPS" w:cs="TimesNewRomanPS"/>
          <w:sz w:val="26"/>
          <w:szCs w:val="26"/>
        </w:rPr>
        <w:t xml:space="preserve"> a telecommunications or information service</w:t>
      </w:r>
      <w:r w:rsidR="00802749">
        <w:rPr>
          <w:rFonts w:ascii="TimesNewRomanPS" w:hAnsi="TimesNewRomanPS" w:cs="TimesNewRomanPS"/>
          <w:sz w:val="26"/>
          <w:szCs w:val="26"/>
        </w:rPr>
        <w:t>s</w:t>
      </w:r>
      <w:r w:rsidRPr="00FD4351">
        <w:rPr>
          <w:rFonts w:ascii="TimesNewRomanPS" w:hAnsi="TimesNewRomanPS" w:cs="TimesNewRomanPS"/>
          <w:sz w:val="26"/>
          <w:szCs w:val="26"/>
        </w:rPr>
        <w:t>.</w:t>
      </w:r>
      <w:r>
        <w:rPr>
          <w:rStyle w:val="FootnoteReference"/>
          <w:rFonts w:ascii="TimesNewRomanPS" w:hAnsi="TimesNewRomanPS" w:cs="TimesNewRomanPS"/>
          <w:sz w:val="26"/>
          <w:szCs w:val="26"/>
        </w:rPr>
        <w:footnoteReference w:id="34"/>
      </w:r>
      <w:r>
        <w:rPr>
          <w:rFonts w:ascii="TimesNewRomanPS" w:hAnsi="TimesNewRomanPS" w:cs="TimesNewRomanPS"/>
          <w:sz w:val="26"/>
          <w:szCs w:val="26"/>
        </w:rPr>
        <w:t xml:space="preserve">  </w:t>
      </w:r>
      <w:r w:rsidR="00A71EEE" w:rsidRPr="00530F9D">
        <w:rPr>
          <w:rFonts w:eastAsia="Times New Roman"/>
          <w:color w:val="000000"/>
          <w:sz w:val="26"/>
          <w:szCs w:val="26"/>
        </w:rPr>
        <w:t xml:space="preserve">  </w:t>
      </w:r>
    </w:p>
    <w:p w14:paraId="791FDF15" w14:textId="77777777" w:rsidR="00511C15" w:rsidRDefault="00511C15" w:rsidP="00930C09">
      <w:pPr>
        <w:ind w:firstLine="720"/>
        <w:rPr>
          <w:rFonts w:eastAsia="Times New Roman"/>
          <w:color w:val="000000"/>
          <w:sz w:val="26"/>
          <w:szCs w:val="26"/>
        </w:rPr>
      </w:pPr>
    </w:p>
    <w:p w14:paraId="56BE22FC" w14:textId="455C5B71" w:rsidR="00930C09" w:rsidRDefault="00114FA9" w:rsidP="00930C09">
      <w:pPr>
        <w:ind w:firstLine="720"/>
        <w:rPr>
          <w:rFonts w:eastAsia="Times New Roman"/>
          <w:color w:val="000000"/>
          <w:sz w:val="26"/>
          <w:szCs w:val="26"/>
        </w:rPr>
      </w:pPr>
      <w:r>
        <w:rPr>
          <w:sz w:val="26"/>
          <w:szCs w:val="26"/>
        </w:rPr>
        <w:t>Further</w:t>
      </w:r>
      <w:r w:rsidR="001761F6">
        <w:rPr>
          <w:sz w:val="26"/>
          <w:szCs w:val="26"/>
        </w:rPr>
        <w:t>, the</w:t>
      </w:r>
      <w:r w:rsidR="001761F6" w:rsidRPr="00F768C2">
        <w:rPr>
          <w:sz w:val="26"/>
          <w:szCs w:val="26"/>
        </w:rPr>
        <w:t xml:space="preserve"> Commission</w:t>
      </w:r>
      <w:r w:rsidR="001761F6">
        <w:rPr>
          <w:sz w:val="26"/>
          <w:szCs w:val="26"/>
        </w:rPr>
        <w:t xml:space="preserve"> has </w:t>
      </w:r>
      <w:r>
        <w:rPr>
          <w:sz w:val="26"/>
          <w:szCs w:val="26"/>
        </w:rPr>
        <w:t>retreated</w:t>
      </w:r>
      <w:r w:rsidR="001761F6">
        <w:rPr>
          <w:sz w:val="26"/>
          <w:szCs w:val="26"/>
        </w:rPr>
        <w:t xml:space="preserve"> </w:t>
      </w:r>
      <w:r w:rsidR="001761F6" w:rsidRPr="00F768C2">
        <w:rPr>
          <w:sz w:val="26"/>
          <w:szCs w:val="26"/>
        </w:rPr>
        <w:t xml:space="preserve">from its initial </w:t>
      </w:r>
      <w:r>
        <w:rPr>
          <w:sz w:val="26"/>
          <w:szCs w:val="26"/>
        </w:rPr>
        <w:t>exercise</w:t>
      </w:r>
      <w:r w:rsidRPr="00F768C2">
        <w:rPr>
          <w:sz w:val="26"/>
          <w:szCs w:val="26"/>
        </w:rPr>
        <w:t xml:space="preserve"> </w:t>
      </w:r>
      <w:r w:rsidR="001761F6" w:rsidRPr="00F768C2">
        <w:rPr>
          <w:sz w:val="26"/>
          <w:szCs w:val="26"/>
        </w:rPr>
        <w:t xml:space="preserve">of pervasive preemption of state regulation </w:t>
      </w:r>
      <w:r w:rsidR="001761F6">
        <w:rPr>
          <w:sz w:val="26"/>
          <w:szCs w:val="26"/>
        </w:rPr>
        <w:t>of VoIP service</w:t>
      </w:r>
      <w:r w:rsidR="00631EB0">
        <w:rPr>
          <w:sz w:val="26"/>
          <w:szCs w:val="26"/>
        </w:rPr>
        <w:t xml:space="preserve"> that was premised on the inseverability of traffic</w:t>
      </w:r>
      <w:r w:rsidR="001761F6">
        <w:rPr>
          <w:sz w:val="26"/>
          <w:szCs w:val="26"/>
        </w:rPr>
        <w:t xml:space="preserve">.  </w:t>
      </w:r>
      <w:r w:rsidR="00A71EEE" w:rsidRPr="00530F9D">
        <w:rPr>
          <w:rFonts w:eastAsia="Times New Roman"/>
          <w:color w:val="000000"/>
          <w:sz w:val="26"/>
          <w:szCs w:val="26"/>
        </w:rPr>
        <w:t xml:space="preserve">Two years after </w:t>
      </w:r>
      <w:r w:rsidR="00A71EEE" w:rsidRPr="00530F9D">
        <w:rPr>
          <w:rFonts w:eastAsia="Times New Roman"/>
          <w:i/>
          <w:iCs/>
          <w:color w:val="000000"/>
          <w:sz w:val="26"/>
          <w:szCs w:val="26"/>
        </w:rPr>
        <w:t>Vonage</w:t>
      </w:r>
      <w:r w:rsidR="00422697">
        <w:rPr>
          <w:rFonts w:eastAsia="Times New Roman"/>
          <w:i/>
          <w:iCs/>
          <w:color w:val="000000"/>
          <w:sz w:val="26"/>
          <w:szCs w:val="26"/>
        </w:rPr>
        <w:t xml:space="preserve"> Preemption Order</w:t>
      </w:r>
      <w:r w:rsidR="00A71EEE" w:rsidRPr="00530F9D">
        <w:rPr>
          <w:rFonts w:eastAsia="Times New Roman"/>
          <w:color w:val="000000"/>
          <w:sz w:val="26"/>
          <w:szCs w:val="26"/>
        </w:rPr>
        <w:t xml:space="preserve">, </w:t>
      </w:r>
      <w:r w:rsidR="00033A5C">
        <w:rPr>
          <w:color w:val="000000"/>
          <w:sz w:val="26"/>
          <w:szCs w:val="26"/>
          <w:lang w:val="en"/>
        </w:rPr>
        <w:t xml:space="preserve">the Commission, while still deferring a decision on whether to </w:t>
      </w:r>
      <w:r w:rsidR="00F01C6F" w:rsidRPr="00530F9D">
        <w:rPr>
          <w:rFonts w:eastAsia="Times New Roman"/>
          <w:color w:val="000000"/>
          <w:sz w:val="26"/>
          <w:szCs w:val="26"/>
          <w:lang w:val="en"/>
        </w:rPr>
        <w:t>classif</w:t>
      </w:r>
      <w:r w:rsidR="00033A5C">
        <w:rPr>
          <w:rFonts w:eastAsia="Times New Roman"/>
          <w:color w:val="000000"/>
          <w:sz w:val="26"/>
          <w:szCs w:val="26"/>
          <w:lang w:val="en"/>
        </w:rPr>
        <w:t xml:space="preserve">y </w:t>
      </w:r>
      <w:r w:rsidR="00F01C6F" w:rsidRPr="00530F9D">
        <w:rPr>
          <w:rFonts w:eastAsia="Times New Roman"/>
          <w:color w:val="000000"/>
          <w:sz w:val="26"/>
          <w:szCs w:val="26"/>
          <w:lang w:val="en"/>
        </w:rPr>
        <w:t xml:space="preserve">VoIP </w:t>
      </w:r>
      <w:r w:rsidR="00033A5C">
        <w:rPr>
          <w:rFonts w:eastAsia="Times New Roman"/>
          <w:color w:val="000000"/>
          <w:sz w:val="26"/>
          <w:szCs w:val="26"/>
          <w:lang w:val="en"/>
        </w:rPr>
        <w:t>a</w:t>
      </w:r>
      <w:r w:rsidR="00530F9D" w:rsidRPr="00530F9D">
        <w:rPr>
          <w:rFonts w:eastAsia="Times New Roman"/>
          <w:color w:val="000000"/>
          <w:sz w:val="26"/>
          <w:szCs w:val="26"/>
          <w:lang w:val="en"/>
        </w:rPr>
        <w:t xml:space="preserve">s </w:t>
      </w:r>
      <w:r w:rsidR="00F01C6F" w:rsidRPr="00530F9D">
        <w:rPr>
          <w:rFonts w:eastAsia="Times New Roman"/>
          <w:color w:val="000000"/>
          <w:sz w:val="26"/>
          <w:szCs w:val="26"/>
          <w:lang w:val="en"/>
        </w:rPr>
        <w:t xml:space="preserve">a </w:t>
      </w:r>
      <w:r w:rsidR="009E2983">
        <w:rPr>
          <w:rFonts w:eastAsia="Times New Roman"/>
          <w:color w:val="000000"/>
          <w:sz w:val="26"/>
          <w:szCs w:val="26"/>
          <w:lang w:val="en"/>
        </w:rPr>
        <w:t>“</w:t>
      </w:r>
      <w:r w:rsidR="00F01C6F" w:rsidRPr="00530F9D">
        <w:rPr>
          <w:rFonts w:eastAsia="Times New Roman"/>
          <w:color w:val="000000"/>
          <w:sz w:val="26"/>
          <w:szCs w:val="26"/>
          <w:lang w:val="en"/>
        </w:rPr>
        <w:t>telecommunications service</w:t>
      </w:r>
      <w:r w:rsidR="009E2983">
        <w:rPr>
          <w:rFonts w:eastAsia="Times New Roman"/>
          <w:color w:val="000000"/>
          <w:sz w:val="26"/>
          <w:szCs w:val="26"/>
          <w:lang w:val="en"/>
        </w:rPr>
        <w:t>”</w:t>
      </w:r>
      <w:r w:rsidR="00F01C6F" w:rsidRPr="00530F9D">
        <w:rPr>
          <w:rFonts w:eastAsia="Times New Roman"/>
          <w:color w:val="000000"/>
          <w:sz w:val="26"/>
          <w:szCs w:val="26"/>
          <w:lang w:val="en"/>
        </w:rPr>
        <w:t xml:space="preserve"> or an </w:t>
      </w:r>
      <w:r w:rsidR="009E2983">
        <w:rPr>
          <w:rFonts w:eastAsia="Times New Roman"/>
          <w:color w:val="000000"/>
          <w:sz w:val="26"/>
          <w:szCs w:val="26"/>
          <w:lang w:val="en"/>
        </w:rPr>
        <w:t>“</w:t>
      </w:r>
      <w:r w:rsidR="00F01C6F" w:rsidRPr="00530F9D">
        <w:rPr>
          <w:rFonts w:eastAsia="Times New Roman"/>
          <w:color w:val="000000"/>
          <w:sz w:val="26"/>
          <w:szCs w:val="26"/>
          <w:lang w:val="en"/>
        </w:rPr>
        <w:t>information service</w:t>
      </w:r>
      <w:r w:rsidR="00530F9D" w:rsidRPr="00530F9D">
        <w:rPr>
          <w:rFonts w:eastAsia="Times New Roman"/>
          <w:color w:val="000000"/>
          <w:sz w:val="26"/>
          <w:szCs w:val="26"/>
          <w:lang w:val="en"/>
        </w:rPr>
        <w:t>,</w:t>
      </w:r>
      <w:r w:rsidR="009E2983">
        <w:rPr>
          <w:rFonts w:eastAsia="Times New Roman"/>
          <w:color w:val="000000"/>
          <w:sz w:val="26"/>
          <w:szCs w:val="26"/>
          <w:lang w:val="en"/>
        </w:rPr>
        <w:t>”</w:t>
      </w:r>
      <w:r w:rsidR="00F01C6F" w:rsidRPr="00530F9D">
        <w:rPr>
          <w:rFonts w:eastAsia="Times New Roman"/>
          <w:color w:val="000000"/>
          <w:sz w:val="26"/>
          <w:szCs w:val="26"/>
          <w:lang w:val="en"/>
        </w:rPr>
        <w:t xml:space="preserve"> </w:t>
      </w:r>
      <w:r w:rsidR="00033A5C">
        <w:rPr>
          <w:rFonts w:eastAsia="Times New Roman"/>
          <w:color w:val="000000"/>
          <w:sz w:val="26"/>
          <w:szCs w:val="26"/>
          <w:lang w:val="en"/>
        </w:rPr>
        <w:t xml:space="preserve">issued an order </w:t>
      </w:r>
      <w:r w:rsidR="00033A5C">
        <w:rPr>
          <w:rFonts w:eastAsia="Times New Roman"/>
          <w:color w:val="000000"/>
          <w:sz w:val="26"/>
          <w:szCs w:val="26"/>
        </w:rPr>
        <w:t>requiring interconnected VoIP providers</w:t>
      </w:r>
      <w:r w:rsidR="00033A5C" w:rsidRPr="00033A5C">
        <w:rPr>
          <w:rFonts w:ascii="Arial" w:hAnsi="Arial" w:cs="Arial"/>
          <w:color w:val="000000"/>
          <w:lang w:val="en"/>
        </w:rPr>
        <w:t xml:space="preserve"> </w:t>
      </w:r>
      <w:r w:rsidR="00033A5C" w:rsidRPr="00033A5C">
        <w:rPr>
          <w:rFonts w:eastAsia="Times New Roman"/>
          <w:color w:val="000000"/>
          <w:sz w:val="26"/>
          <w:szCs w:val="26"/>
          <w:lang w:val="en"/>
        </w:rPr>
        <w:t xml:space="preserve">to contribute to the </w:t>
      </w:r>
      <w:r w:rsidR="00A67915">
        <w:rPr>
          <w:rFonts w:eastAsia="Times New Roman"/>
          <w:color w:val="000000"/>
          <w:sz w:val="26"/>
          <w:szCs w:val="26"/>
          <w:lang w:val="en"/>
        </w:rPr>
        <w:t xml:space="preserve">federal </w:t>
      </w:r>
      <w:r w:rsidR="00764858">
        <w:rPr>
          <w:rFonts w:eastAsia="Times New Roman"/>
          <w:color w:val="000000"/>
          <w:sz w:val="26"/>
          <w:szCs w:val="26"/>
          <w:lang w:val="en"/>
        </w:rPr>
        <w:t xml:space="preserve">and state </w:t>
      </w:r>
      <w:r w:rsidR="00033A5C" w:rsidRPr="00033A5C">
        <w:rPr>
          <w:rFonts w:eastAsia="Times New Roman"/>
          <w:color w:val="000000"/>
          <w:sz w:val="26"/>
          <w:szCs w:val="26"/>
          <w:lang w:val="en"/>
        </w:rPr>
        <w:t>USF</w:t>
      </w:r>
      <w:r w:rsidR="00764858">
        <w:rPr>
          <w:rFonts w:eastAsia="Times New Roman"/>
          <w:color w:val="000000"/>
          <w:sz w:val="26"/>
          <w:szCs w:val="26"/>
          <w:lang w:val="en"/>
        </w:rPr>
        <w:t xml:space="preserve"> mechanisms</w:t>
      </w:r>
      <w:r w:rsidR="00A71EEE" w:rsidRPr="00530F9D">
        <w:rPr>
          <w:rFonts w:eastAsia="Times New Roman"/>
          <w:color w:val="000000"/>
          <w:sz w:val="26"/>
          <w:szCs w:val="26"/>
        </w:rPr>
        <w:t>.</w:t>
      </w:r>
      <w:r w:rsidR="00A71EEE">
        <w:rPr>
          <w:rStyle w:val="FootnoteReference"/>
          <w:rFonts w:eastAsia="Times New Roman"/>
          <w:color w:val="000000"/>
          <w:sz w:val="26"/>
          <w:szCs w:val="26"/>
        </w:rPr>
        <w:footnoteReference w:id="35"/>
      </w:r>
      <w:r w:rsidR="00A71EEE">
        <w:rPr>
          <w:rFonts w:eastAsia="Times New Roman"/>
          <w:color w:val="000000"/>
          <w:sz w:val="26"/>
          <w:szCs w:val="26"/>
        </w:rPr>
        <w:t xml:space="preserve">  </w:t>
      </w:r>
      <w:r w:rsidR="00511C15">
        <w:rPr>
          <w:rFonts w:eastAsia="Times New Roman"/>
          <w:color w:val="000000"/>
          <w:sz w:val="26"/>
          <w:szCs w:val="26"/>
        </w:rPr>
        <w:t>P</w:t>
      </w:r>
      <w:r w:rsidR="00E129F6">
        <w:rPr>
          <w:rFonts w:eastAsia="Times New Roman"/>
          <w:color w:val="000000"/>
          <w:sz w:val="26"/>
          <w:szCs w:val="26"/>
        </w:rPr>
        <w:t xml:space="preserve">ursuant to its </w:t>
      </w:r>
      <w:r w:rsidR="00E129F6" w:rsidRPr="00E129F6">
        <w:rPr>
          <w:rFonts w:eastAsia="Times New Roman"/>
          <w:color w:val="000000"/>
          <w:sz w:val="26"/>
          <w:szCs w:val="26"/>
        </w:rPr>
        <w:t xml:space="preserve">permissive authority pursuant to </w:t>
      </w:r>
      <w:r w:rsidR="00A67915">
        <w:rPr>
          <w:rFonts w:eastAsia="Times New Roman"/>
          <w:color w:val="000000"/>
          <w:sz w:val="26"/>
          <w:szCs w:val="26"/>
        </w:rPr>
        <w:t>S</w:t>
      </w:r>
      <w:r w:rsidR="00E129F6" w:rsidRPr="00E129F6">
        <w:rPr>
          <w:rFonts w:eastAsia="Times New Roman"/>
          <w:color w:val="000000"/>
          <w:sz w:val="26"/>
          <w:szCs w:val="26"/>
        </w:rPr>
        <w:t xml:space="preserve">ection 254(d) and </w:t>
      </w:r>
      <w:r w:rsidR="00E129F6">
        <w:rPr>
          <w:rFonts w:eastAsia="Times New Roman"/>
          <w:color w:val="000000"/>
          <w:sz w:val="26"/>
          <w:szCs w:val="26"/>
        </w:rPr>
        <w:t xml:space="preserve">its </w:t>
      </w:r>
      <w:r w:rsidR="00E129F6" w:rsidRPr="00E129F6">
        <w:rPr>
          <w:rFonts w:eastAsia="Times New Roman"/>
          <w:color w:val="000000"/>
          <w:sz w:val="26"/>
          <w:szCs w:val="26"/>
        </w:rPr>
        <w:t>Title I ancillary jurisdiction</w:t>
      </w:r>
      <w:r w:rsidR="00E129F6">
        <w:rPr>
          <w:rFonts w:eastAsia="Times New Roman"/>
          <w:color w:val="000000"/>
          <w:sz w:val="26"/>
          <w:szCs w:val="26"/>
        </w:rPr>
        <w:t xml:space="preserve">, </w:t>
      </w:r>
      <w:r w:rsidR="00511C15">
        <w:rPr>
          <w:rFonts w:eastAsia="Times New Roman"/>
          <w:color w:val="000000"/>
          <w:sz w:val="26"/>
          <w:szCs w:val="26"/>
        </w:rPr>
        <w:t xml:space="preserve">the Commission determined </w:t>
      </w:r>
      <w:r w:rsidR="00E129F6" w:rsidRPr="00E129F6">
        <w:rPr>
          <w:rFonts w:eastAsia="Times New Roman"/>
          <w:color w:val="000000"/>
          <w:sz w:val="26"/>
          <w:szCs w:val="26"/>
        </w:rPr>
        <w:t xml:space="preserve">that interconnected VoIP providers </w:t>
      </w:r>
      <w:r w:rsidR="00E9499C" w:rsidRPr="00E9499C">
        <w:rPr>
          <w:rFonts w:eastAsia="Times New Roman"/>
          <w:color w:val="000000"/>
          <w:sz w:val="26"/>
          <w:szCs w:val="26"/>
        </w:rPr>
        <w:t xml:space="preserve">must report and </w:t>
      </w:r>
      <w:r w:rsidR="00A67915">
        <w:rPr>
          <w:rFonts w:eastAsia="Times New Roman"/>
          <w:color w:val="000000"/>
          <w:sz w:val="26"/>
          <w:szCs w:val="26"/>
        </w:rPr>
        <w:t>subject</w:t>
      </w:r>
      <w:r w:rsidR="00A67915" w:rsidRPr="00E9499C">
        <w:rPr>
          <w:rFonts w:eastAsia="Times New Roman"/>
          <w:color w:val="000000"/>
          <w:sz w:val="26"/>
          <w:szCs w:val="26"/>
        </w:rPr>
        <w:t xml:space="preserve"> </w:t>
      </w:r>
      <w:r w:rsidR="00E9499C" w:rsidRPr="00E9499C">
        <w:rPr>
          <w:rFonts w:eastAsia="Times New Roman"/>
          <w:color w:val="000000"/>
          <w:sz w:val="26"/>
          <w:szCs w:val="26"/>
        </w:rPr>
        <w:t xml:space="preserve">all </w:t>
      </w:r>
      <w:r w:rsidR="00E9499C">
        <w:rPr>
          <w:rFonts w:eastAsia="Times New Roman"/>
          <w:color w:val="000000"/>
          <w:sz w:val="26"/>
          <w:szCs w:val="26"/>
        </w:rPr>
        <w:t xml:space="preserve">of </w:t>
      </w:r>
      <w:r w:rsidR="00E9499C" w:rsidRPr="00E9499C">
        <w:rPr>
          <w:rFonts w:eastAsia="Times New Roman"/>
          <w:color w:val="000000"/>
          <w:sz w:val="26"/>
          <w:szCs w:val="26"/>
        </w:rPr>
        <w:t>their interstate</w:t>
      </w:r>
      <w:r w:rsidR="00E9499C">
        <w:rPr>
          <w:rFonts w:eastAsia="Times New Roman"/>
          <w:color w:val="000000"/>
          <w:sz w:val="26"/>
          <w:szCs w:val="26"/>
        </w:rPr>
        <w:t xml:space="preserve"> </w:t>
      </w:r>
      <w:r w:rsidR="00E9499C" w:rsidRPr="00E9499C">
        <w:rPr>
          <w:rFonts w:eastAsia="Times New Roman"/>
          <w:color w:val="000000"/>
          <w:sz w:val="26"/>
          <w:szCs w:val="26"/>
        </w:rPr>
        <w:t>and international end-user telecommunications revenues</w:t>
      </w:r>
      <w:r w:rsidR="00E9499C">
        <w:rPr>
          <w:rFonts w:eastAsia="Times New Roman"/>
          <w:color w:val="000000"/>
          <w:sz w:val="26"/>
          <w:szCs w:val="26"/>
        </w:rPr>
        <w:t xml:space="preserve"> to the federal USF</w:t>
      </w:r>
      <w:r w:rsidR="00A67915">
        <w:rPr>
          <w:rFonts w:eastAsia="Times New Roman"/>
          <w:color w:val="000000"/>
          <w:sz w:val="26"/>
          <w:szCs w:val="26"/>
        </w:rPr>
        <w:t xml:space="preserve"> </w:t>
      </w:r>
      <w:r w:rsidR="00A67915">
        <w:rPr>
          <w:rFonts w:eastAsia="Times New Roman"/>
          <w:color w:val="000000"/>
          <w:sz w:val="26"/>
          <w:szCs w:val="26"/>
        </w:rPr>
        <w:lastRenderedPageBreak/>
        <w:t>contribution assessments</w:t>
      </w:r>
      <w:r w:rsidR="00E9499C">
        <w:rPr>
          <w:rFonts w:eastAsia="Times New Roman"/>
          <w:color w:val="000000"/>
          <w:sz w:val="26"/>
          <w:szCs w:val="26"/>
        </w:rPr>
        <w:t>.</w:t>
      </w:r>
      <w:r w:rsidR="00E9499C">
        <w:rPr>
          <w:rStyle w:val="FootnoteReference"/>
          <w:rFonts w:eastAsia="Times New Roman"/>
          <w:color w:val="000000"/>
          <w:sz w:val="26"/>
          <w:szCs w:val="26"/>
        </w:rPr>
        <w:footnoteReference w:id="36"/>
      </w:r>
      <w:r w:rsidR="00E9499C">
        <w:rPr>
          <w:rFonts w:eastAsia="Times New Roman"/>
          <w:color w:val="000000"/>
          <w:sz w:val="26"/>
          <w:szCs w:val="26"/>
        </w:rPr>
        <w:t xml:space="preserve">  In addressing the implementation </w:t>
      </w:r>
      <w:r w:rsidR="00E9499C" w:rsidRPr="00E9499C">
        <w:rPr>
          <w:rFonts w:eastAsia="Times New Roman"/>
          <w:color w:val="000000"/>
          <w:sz w:val="26"/>
          <w:szCs w:val="26"/>
        </w:rPr>
        <w:t xml:space="preserve">issues related to </w:t>
      </w:r>
      <w:r w:rsidR="00E9499C">
        <w:rPr>
          <w:rFonts w:eastAsia="Times New Roman"/>
          <w:color w:val="000000"/>
          <w:sz w:val="26"/>
          <w:szCs w:val="26"/>
        </w:rPr>
        <w:t xml:space="preserve">the </w:t>
      </w:r>
      <w:r w:rsidR="00E9499C" w:rsidRPr="00E9499C">
        <w:rPr>
          <w:rFonts w:eastAsia="Times New Roman"/>
          <w:color w:val="000000"/>
          <w:sz w:val="26"/>
          <w:szCs w:val="26"/>
        </w:rPr>
        <w:t>requirement that</w:t>
      </w:r>
      <w:r w:rsidR="00E9499C">
        <w:rPr>
          <w:rFonts w:eastAsia="Times New Roman"/>
          <w:color w:val="000000"/>
          <w:sz w:val="26"/>
          <w:szCs w:val="26"/>
        </w:rPr>
        <w:t xml:space="preserve"> </w:t>
      </w:r>
      <w:r w:rsidR="00E9499C" w:rsidRPr="00E9499C">
        <w:rPr>
          <w:rFonts w:eastAsia="Times New Roman"/>
          <w:color w:val="000000"/>
          <w:sz w:val="26"/>
          <w:szCs w:val="26"/>
        </w:rPr>
        <w:t xml:space="preserve">interconnected VoIP </w:t>
      </w:r>
      <w:r w:rsidR="00A67915">
        <w:rPr>
          <w:rFonts w:eastAsia="Times New Roman"/>
          <w:color w:val="000000"/>
          <w:sz w:val="26"/>
          <w:szCs w:val="26"/>
        </w:rPr>
        <w:t xml:space="preserve">service </w:t>
      </w:r>
      <w:r w:rsidR="00E9499C" w:rsidRPr="00E9499C">
        <w:rPr>
          <w:rFonts w:eastAsia="Times New Roman"/>
          <w:color w:val="000000"/>
          <w:sz w:val="26"/>
          <w:szCs w:val="26"/>
        </w:rPr>
        <w:t xml:space="preserve">providers contribute </w:t>
      </w:r>
      <w:r w:rsidR="00E9499C">
        <w:rPr>
          <w:rFonts w:eastAsia="Times New Roman"/>
          <w:color w:val="000000"/>
          <w:sz w:val="26"/>
          <w:szCs w:val="26"/>
        </w:rPr>
        <w:t xml:space="preserve">their interstate revenue </w:t>
      </w:r>
      <w:r w:rsidR="00A67915">
        <w:rPr>
          <w:rFonts w:eastAsia="Times New Roman"/>
          <w:color w:val="000000"/>
          <w:sz w:val="26"/>
          <w:szCs w:val="26"/>
        </w:rPr>
        <w:t xml:space="preserve">assessments </w:t>
      </w:r>
      <w:r w:rsidR="00E9499C" w:rsidRPr="00E9499C">
        <w:rPr>
          <w:rFonts w:eastAsia="Times New Roman"/>
          <w:color w:val="000000"/>
          <w:sz w:val="26"/>
          <w:szCs w:val="26"/>
        </w:rPr>
        <w:t xml:space="preserve">to the </w:t>
      </w:r>
      <w:r w:rsidR="00E9499C">
        <w:rPr>
          <w:rFonts w:eastAsia="Times New Roman"/>
          <w:color w:val="000000"/>
          <w:sz w:val="26"/>
          <w:szCs w:val="26"/>
        </w:rPr>
        <w:t xml:space="preserve">federal </w:t>
      </w:r>
      <w:r w:rsidR="00E9499C" w:rsidRPr="00E9499C">
        <w:rPr>
          <w:rFonts w:eastAsia="Times New Roman"/>
          <w:color w:val="000000"/>
          <w:sz w:val="26"/>
          <w:szCs w:val="26"/>
        </w:rPr>
        <w:t>USF</w:t>
      </w:r>
      <w:r w:rsidR="00E9499C">
        <w:rPr>
          <w:rFonts w:eastAsia="Times New Roman"/>
          <w:color w:val="000000"/>
          <w:sz w:val="26"/>
          <w:szCs w:val="26"/>
        </w:rPr>
        <w:t xml:space="preserve">, the Commission noted </w:t>
      </w:r>
      <w:r w:rsidR="00033A5C">
        <w:rPr>
          <w:rFonts w:eastAsia="Times New Roman"/>
          <w:color w:val="000000"/>
          <w:sz w:val="26"/>
          <w:szCs w:val="26"/>
        </w:rPr>
        <w:t xml:space="preserve">that </w:t>
      </w:r>
      <w:r w:rsidR="00930C09">
        <w:rPr>
          <w:rFonts w:eastAsia="Times New Roman"/>
          <w:color w:val="000000"/>
          <w:sz w:val="26"/>
          <w:szCs w:val="26"/>
        </w:rPr>
        <w:t xml:space="preserve">if an </w:t>
      </w:r>
      <w:r w:rsidR="00930C09" w:rsidRPr="00930C09">
        <w:rPr>
          <w:rFonts w:eastAsia="Times New Roman"/>
          <w:color w:val="000000"/>
          <w:sz w:val="26"/>
          <w:szCs w:val="26"/>
        </w:rPr>
        <w:t xml:space="preserve">interconnected VoIP </w:t>
      </w:r>
      <w:r w:rsidR="00A67915">
        <w:rPr>
          <w:rFonts w:eastAsia="Times New Roman"/>
          <w:color w:val="000000"/>
          <w:sz w:val="26"/>
          <w:szCs w:val="26"/>
        </w:rPr>
        <w:t xml:space="preserve">service </w:t>
      </w:r>
      <w:r w:rsidR="00930C09" w:rsidRPr="00930C09">
        <w:rPr>
          <w:rFonts w:eastAsia="Times New Roman"/>
          <w:color w:val="000000"/>
          <w:sz w:val="26"/>
          <w:szCs w:val="26"/>
        </w:rPr>
        <w:t xml:space="preserve">provider </w:t>
      </w:r>
      <w:r w:rsidR="00930C09">
        <w:rPr>
          <w:rFonts w:eastAsia="Times New Roman"/>
          <w:color w:val="000000"/>
          <w:sz w:val="26"/>
          <w:szCs w:val="26"/>
        </w:rPr>
        <w:t xml:space="preserve">has the </w:t>
      </w:r>
      <w:r w:rsidR="00930C09" w:rsidRPr="00930C09">
        <w:rPr>
          <w:rFonts w:eastAsia="Times New Roman"/>
          <w:color w:val="000000"/>
          <w:sz w:val="26"/>
          <w:szCs w:val="26"/>
        </w:rPr>
        <w:t xml:space="preserve">capability to track the jurisdictional confines of </w:t>
      </w:r>
      <w:r w:rsidR="00930C09">
        <w:rPr>
          <w:rFonts w:eastAsia="Times New Roman"/>
          <w:color w:val="000000"/>
          <w:sz w:val="26"/>
          <w:szCs w:val="26"/>
        </w:rPr>
        <w:t xml:space="preserve">its </w:t>
      </w:r>
      <w:r w:rsidR="00930C09" w:rsidRPr="00930C09">
        <w:rPr>
          <w:rFonts w:eastAsia="Times New Roman"/>
          <w:color w:val="000000"/>
          <w:sz w:val="26"/>
          <w:szCs w:val="26"/>
        </w:rPr>
        <w:t>customer calls</w:t>
      </w:r>
      <w:r w:rsidR="00393482">
        <w:rPr>
          <w:rFonts w:eastAsia="Times New Roman"/>
          <w:color w:val="000000"/>
          <w:sz w:val="26"/>
          <w:szCs w:val="26"/>
        </w:rPr>
        <w:t xml:space="preserve"> and distinguish between </w:t>
      </w:r>
      <w:r w:rsidR="00393482" w:rsidRPr="00033A5C">
        <w:rPr>
          <w:rFonts w:eastAsia="Times New Roman"/>
          <w:color w:val="000000"/>
          <w:sz w:val="26"/>
          <w:szCs w:val="26"/>
        </w:rPr>
        <w:t xml:space="preserve">the </w:t>
      </w:r>
      <w:r w:rsidR="00393482" w:rsidRPr="00316773">
        <w:rPr>
          <w:rFonts w:eastAsia="Times New Roman"/>
          <w:i/>
          <w:color w:val="000000"/>
          <w:sz w:val="26"/>
          <w:szCs w:val="26"/>
        </w:rPr>
        <w:t>interstate</w:t>
      </w:r>
      <w:r w:rsidR="00393482" w:rsidRPr="00033A5C">
        <w:rPr>
          <w:rFonts w:eastAsia="Times New Roman"/>
          <w:color w:val="000000"/>
          <w:sz w:val="26"/>
          <w:szCs w:val="26"/>
        </w:rPr>
        <w:t xml:space="preserve"> and </w:t>
      </w:r>
      <w:r w:rsidR="00393482" w:rsidRPr="00316773">
        <w:rPr>
          <w:rFonts w:eastAsia="Times New Roman"/>
          <w:i/>
          <w:color w:val="000000"/>
          <w:sz w:val="26"/>
          <w:szCs w:val="26"/>
        </w:rPr>
        <w:t>intrastate</w:t>
      </w:r>
      <w:r w:rsidR="00393482" w:rsidRPr="00033A5C">
        <w:rPr>
          <w:rFonts w:eastAsia="Times New Roman"/>
          <w:color w:val="000000"/>
          <w:sz w:val="26"/>
          <w:szCs w:val="26"/>
        </w:rPr>
        <w:t xml:space="preserve"> operations for the limited purpose of assessing universal service contributions</w:t>
      </w:r>
      <w:r w:rsidR="00930C09">
        <w:rPr>
          <w:rFonts w:eastAsia="Times New Roman"/>
          <w:color w:val="000000"/>
          <w:sz w:val="26"/>
          <w:szCs w:val="26"/>
        </w:rPr>
        <w:t xml:space="preserve">, it </w:t>
      </w:r>
      <w:r w:rsidR="00930C09" w:rsidRPr="00930C09">
        <w:rPr>
          <w:rFonts w:eastAsia="Times New Roman"/>
          <w:color w:val="000000"/>
          <w:sz w:val="26"/>
          <w:szCs w:val="26"/>
        </w:rPr>
        <w:t xml:space="preserve">would no longer qualify for the preemptive effects of </w:t>
      </w:r>
      <w:r w:rsidR="00422697">
        <w:rPr>
          <w:rFonts w:eastAsia="Times New Roman"/>
          <w:color w:val="000000"/>
          <w:sz w:val="26"/>
          <w:szCs w:val="26"/>
        </w:rPr>
        <w:t xml:space="preserve">the </w:t>
      </w:r>
      <w:r w:rsidR="00930C09" w:rsidRPr="00930C09">
        <w:rPr>
          <w:rFonts w:eastAsia="Times New Roman"/>
          <w:i/>
          <w:iCs/>
          <w:color w:val="000000"/>
          <w:sz w:val="26"/>
          <w:szCs w:val="26"/>
        </w:rPr>
        <w:t xml:space="preserve">Vonage </w:t>
      </w:r>
      <w:r w:rsidR="00422697">
        <w:rPr>
          <w:rFonts w:eastAsia="Times New Roman"/>
          <w:i/>
          <w:iCs/>
          <w:color w:val="000000"/>
          <w:sz w:val="26"/>
          <w:szCs w:val="26"/>
        </w:rPr>
        <w:t xml:space="preserve">Preemption Order </w:t>
      </w:r>
      <w:r w:rsidR="00930C09" w:rsidRPr="00930C09">
        <w:rPr>
          <w:rFonts w:eastAsia="Times New Roman"/>
          <w:color w:val="000000"/>
          <w:sz w:val="26"/>
          <w:szCs w:val="26"/>
        </w:rPr>
        <w:t xml:space="preserve">and would be subject to </w:t>
      </w:r>
      <w:r w:rsidR="00A67915">
        <w:rPr>
          <w:rFonts w:eastAsia="Times New Roman"/>
          <w:color w:val="000000"/>
          <w:sz w:val="26"/>
          <w:szCs w:val="26"/>
        </w:rPr>
        <w:t xml:space="preserve">appropriate </w:t>
      </w:r>
      <w:r w:rsidR="00930C09" w:rsidRPr="00930C09">
        <w:rPr>
          <w:rFonts w:eastAsia="Times New Roman"/>
          <w:color w:val="000000"/>
          <w:sz w:val="26"/>
          <w:szCs w:val="26"/>
        </w:rPr>
        <w:t>state</w:t>
      </w:r>
      <w:r w:rsidR="00930C09">
        <w:rPr>
          <w:rFonts w:eastAsia="Times New Roman"/>
          <w:color w:val="000000"/>
          <w:sz w:val="26"/>
          <w:szCs w:val="26"/>
        </w:rPr>
        <w:t xml:space="preserve"> </w:t>
      </w:r>
      <w:r w:rsidR="00930C09" w:rsidRPr="00930C09">
        <w:rPr>
          <w:rFonts w:eastAsia="Times New Roman"/>
          <w:color w:val="000000"/>
          <w:sz w:val="26"/>
          <w:szCs w:val="26"/>
        </w:rPr>
        <w:t>regulation.</w:t>
      </w:r>
      <w:r w:rsidR="0074640E">
        <w:rPr>
          <w:rStyle w:val="FootnoteReference"/>
          <w:rFonts w:eastAsia="Times New Roman"/>
          <w:color w:val="000000"/>
          <w:sz w:val="26"/>
          <w:szCs w:val="26"/>
        </w:rPr>
        <w:footnoteReference w:id="37"/>
      </w:r>
      <w:r w:rsidR="00930C09" w:rsidRPr="00930C09">
        <w:rPr>
          <w:rFonts w:eastAsia="Times New Roman"/>
          <w:color w:val="000000"/>
          <w:sz w:val="26"/>
          <w:szCs w:val="26"/>
        </w:rPr>
        <w:t xml:space="preserve"> </w:t>
      </w:r>
      <w:r w:rsidR="00930C09">
        <w:rPr>
          <w:rFonts w:eastAsia="Times New Roman"/>
          <w:color w:val="000000"/>
          <w:sz w:val="26"/>
          <w:szCs w:val="26"/>
        </w:rPr>
        <w:t xml:space="preserve"> </w:t>
      </w:r>
      <w:r w:rsidR="00930C09" w:rsidRPr="00930C09">
        <w:rPr>
          <w:rFonts w:eastAsia="Times New Roman"/>
          <w:color w:val="000000"/>
          <w:sz w:val="26"/>
          <w:szCs w:val="26"/>
        </w:rPr>
        <w:t xml:space="preserve">This is because the central rationale justifying preemption set forth in </w:t>
      </w:r>
      <w:r w:rsidR="00930C09" w:rsidRPr="00930C09">
        <w:rPr>
          <w:rFonts w:eastAsia="Times New Roman"/>
          <w:i/>
          <w:iCs/>
          <w:color w:val="000000"/>
          <w:sz w:val="26"/>
          <w:szCs w:val="26"/>
        </w:rPr>
        <w:t>Vonage</w:t>
      </w:r>
      <w:r w:rsidR="00930C09">
        <w:rPr>
          <w:rFonts w:eastAsia="Times New Roman"/>
          <w:i/>
          <w:iCs/>
          <w:color w:val="000000"/>
          <w:sz w:val="26"/>
          <w:szCs w:val="26"/>
        </w:rPr>
        <w:t xml:space="preserve"> </w:t>
      </w:r>
      <w:r w:rsidR="00930C09" w:rsidRPr="00930C09">
        <w:rPr>
          <w:rFonts w:eastAsia="Times New Roman"/>
          <w:color w:val="000000"/>
          <w:sz w:val="26"/>
          <w:szCs w:val="26"/>
        </w:rPr>
        <w:t>would no longer be applicable to such an interconnected VoIP provider.</w:t>
      </w:r>
    </w:p>
    <w:p w14:paraId="57510F36" w14:textId="77777777" w:rsidR="00930C09" w:rsidRDefault="00930C09" w:rsidP="00E9499C">
      <w:pPr>
        <w:ind w:firstLine="720"/>
        <w:rPr>
          <w:rFonts w:eastAsia="Times New Roman"/>
          <w:color w:val="000000"/>
          <w:sz w:val="26"/>
          <w:szCs w:val="26"/>
        </w:rPr>
      </w:pPr>
    </w:p>
    <w:p w14:paraId="5BC17982" w14:textId="77777777" w:rsidR="007C3047" w:rsidRDefault="00624B0D" w:rsidP="007C3047">
      <w:pPr>
        <w:ind w:firstLine="720"/>
        <w:rPr>
          <w:rFonts w:eastAsia="Times New Roman"/>
          <w:color w:val="000000"/>
          <w:sz w:val="26"/>
          <w:szCs w:val="26"/>
        </w:rPr>
      </w:pPr>
      <w:r>
        <w:rPr>
          <w:rFonts w:eastAsia="Times New Roman"/>
          <w:color w:val="000000"/>
          <w:sz w:val="26"/>
          <w:szCs w:val="26"/>
        </w:rPr>
        <w:t>T</w:t>
      </w:r>
      <w:r w:rsidR="00393482">
        <w:rPr>
          <w:rFonts w:eastAsia="Times New Roman"/>
          <w:color w:val="000000"/>
          <w:sz w:val="26"/>
          <w:szCs w:val="26"/>
        </w:rPr>
        <w:t xml:space="preserve">he </w:t>
      </w:r>
      <w:r w:rsidR="007C3047">
        <w:rPr>
          <w:rFonts w:eastAsia="Times New Roman"/>
          <w:color w:val="000000"/>
          <w:sz w:val="26"/>
          <w:szCs w:val="26"/>
        </w:rPr>
        <w:t xml:space="preserve">Commission </w:t>
      </w:r>
      <w:r w:rsidR="00393482">
        <w:rPr>
          <w:rFonts w:eastAsia="Times New Roman"/>
          <w:color w:val="000000"/>
          <w:sz w:val="26"/>
          <w:szCs w:val="26"/>
        </w:rPr>
        <w:t>then extended the</w:t>
      </w:r>
      <w:r w:rsidR="00C423F0">
        <w:rPr>
          <w:rFonts w:eastAsia="Times New Roman"/>
          <w:color w:val="000000"/>
          <w:sz w:val="26"/>
          <w:szCs w:val="26"/>
        </w:rPr>
        <w:t xml:space="preserve"> rationale of the </w:t>
      </w:r>
      <w:r w:rsidR="00393482" w:rsidRPr="0023007A">
        <w:rPr>
          <w:rFonts w:eastAsia="Times New Roman"/>
          <w:i/>
          <w:color w:val="000000"/>
          <w:sz w:val="26"/>
          <w:szCs w:val="26"/>
        </w:rPr>
        <w:t>Interim Contribution Methodology Order</w:t>
      </w:r>
      <w:r w:rsidR="00393482">
        <w:rPr>
          <w:rFonts w:eastAsia="Times New Roman"/>
          <w:color w:val="000000"/>
          <w:sz w:val="26"/>
          <w:szCs w:val="26"/>
        </w:rPr>
        <w:t xml:space="preserve"> further and determined that </w:t>
      </w:r>
      <w:r w:rsidR="00357F51">
        <w:rPr>
          <w:rFonts w:eastAsia="Times New Roman"/>
          <w:color w:val="000000"/>
          <w:sz w:val="26"/>
          <w:szCs w:val="26"/>
        </w:rPr>
        <w:t>s</w:t>
      </w:r>
      <w:r w:rsidR="00393482">
        <w:rPr>
          <w:rFonts w:eastAsia="Times New Roman"/>
          <w:color w:val="000000"/>
          <w:sz w:val="26"/>
          <w:szCs w:val="26"/>
        </w:rPr>
        <w:t xml:space="preserve">tates are not </w:t>
      </w:r>
      <w:r w:rsidR="00393482" w:rsidRPr="00DB47FE">
        <w:rPr>
          <w:rFonts w:eastAsia="Times New Roman"/>
          <w:color w:val="000000"/>
          <w:sz w:val="26"/>
          <w:szCs w:val="26"/>
        </w:rPr>
        <w:t>preempt</w:t>
      </w:r>
      <w:r w:rsidR="00393482">
        <w:rPr>
          <w:rFonts w:eastAsia="Times New Roman"/>
          <w:color w:val="000000"/>
          <w:sz w:val="26"/>
          <w:szCs w:val="26"/>
        </w:rPr>
        <w:t>ed</w:t>
      </w:r>
      <w:r w:rsidR="00393482" w:rsidRPr="00DB47FE">
        <w:rPr>
          <w:rFonts w:eastAsia="Times New Roman"/>
          <w:color w:val="000000"/>
          <w:sz w:val="26"/>
          <w:szCs w:val="26"/>
        </w:rPr>
        <w:t xml:space="preserve"> from imposing</w:t>
      </w:r>
      <w:r w:rsidR="00393482">
        <w:rPr>
          <w:rFonts w:eastAsia="Times New Roman"/>
          <w:color w:val="000000"/>
          <w:sz w:val="26"/>
          <w:szCs w:val="26"/>
        </w:rPr>
        <w:t xml:space="preserve"> state </w:t>
      </w:r>
      <w:r w:rsidR="00393482" w:rsidRPr="00DB47FE">
        <w:rPr>
          <w:rFonts w:eastAsia="Times New Roman"/>
          <w:color w:val="000000"/>
          <w:sz w:val="26"/>
          <w:szCs w:val="26"/>
        </w:rPr>
        <w:t xml:space="preserve">universal service contribution obligations on </w:t>
      </w:r>
      <w:r w:rsidR="00393482" w:rsidRPr="0023007A">
        <w:rPr>
          <w:rFonts w:eastAsia="Times New Roman"/>
          <w:color w:val="000000"/>
          <w:sz w:val="26"/>
          <w:szCs w:val="26"/>
        </w:rPr>
        <w:t xml:space="preserve">the future intrastate revenues of interconnected </w:t>
      </w:r>
      <w:r w:rsidR="00A67915">
        <w:rPr>
          <w:rFonts w:eastAsia="Times New Roman"/>
          <w:color w:val="000000"/>
          <w:sz w:val="26"/>
          <w:szCs w:val="26"/>
        </w:rPr>
        <w:t xml:space="preserve">nomadic </w:t>
      </w:r>
      <w:r w:rsidR="00393482" w:rsidRPr="0023007A">
        <w:rPr>
          <w:rFonts w:eastAsia="Times New Roman"/>
          <w:color w:val="000000"/>
          <w:sz w:val="26"/>
          <w:szCs w:val="26"/>
        </w:rPr>
        <w:t xml:space="preserve">VoIP </w:t>
      </w:r>
      <w:r w:rsidR="003175C4">
        <w:rPr>
          <w:rFonts w:eastAsia="Times New Roman"/>
          <w:color w:val="000000"/>
          <w:sz w:val="26"/>
          <w:szCs w:val="26"/>
        </w:rPr>
        <w:t xml:space="preserve">service </w:t>
      </w:r>
      <w:r w:rsidR="00393482" w:rsidRPr="0023007A">
        <w:rPr>
          <w:rFonts w:eastAsia="Times New Roman"/>
          <w:color w:val="000000"/>
          <w:sz w:val="26"/>
          <w:szCs w:val="26"/>
        </w:rPr>
        <w:t>providers</w:t>
      </w:r>
      <w:r w:rsidR="00393482">
        <w:rPr>
          <w:rFonts w:eastAsia="Times New Roman"/>
          <w:color w:val="000000"/>
          <w:sz w:val="26"/>
          <w:szCs w:val="26"/>
        </w:rPr>
        <w:t>.</w:t>
      </w:r>
      <w:r w:rsidR="00393482">
        <w:rPr>
          <w:rStyle w:val="FootnoteReference"/>
          <w:rFonts w:eastAsia="Times New Roman"/>
          <w:color w:val="000000"/>
          <w:sz w:val="26"/>
          <w:szCs w:val="26"/>
        </w:rPr>
        <w:footnoteReference w:id="38"/>
      </w:r>
      <w:r w:rsidR="00393482">
        <w:rPr>
          <w:rFonts w:eastAsia="Times New Roman"/>
          <w:color w:val="000000"/>
          <w:sz w:val="26"/>
          <w:szCs w:val="26"/>
        </w:rPr>
        <w:t xml:space="preserve">  </w:t>
      </w:r>
      <w:r w:rsidR="007C3047">
        <w:rPr>
          <w:rFonts w:eastAsia="Times New Roman"/>
          <w:color w:val="000000"/>
          <w:sz w:val="26"/>
          <w:szCs w:val="26"/>
        </w:rPr>
        <w:t>T</w:t>
      </w:r>
      <w:r w:rsidR="007C3047" w:rsidRPr="007C3047">
        <w:rPr>
          <w:rFonts w:eastAsia="Times New Roman"/>
          <w:color w:val="000000"/>
          <w:sz w:val="26"/>
          <w:szCs w:val="26"/>
        </w:rPr>
        <w:t xml:space="preserve">he Commission determined </w:t>
      </w:r>
      <w:r w:rsidR="007C3047">
        <w:rPr>
          <w:rFonts w:eastAsia="Times New Roman"/>
          <w:color w:val="000000"/>
          <w:sz w:val="26"/>
          <w:szCs w:val="26"/>
        </w:rPr>
        <w:t xml:space="preserve">that the </w:t>
      </w:r>
      <w:r w:rsidR="007C3047" w:rsidRPr="007C3047">
        <w:rPr>
          <w:rFonts w:eastAsia="Times New Roman"/>
          <w:color w:val="000000"/>
          <w:sz w:val="26"/>
          <w:szCs w:val="26"/>
        </w:rPr>
        <w:t>establishment of a mechanism for separating interstate and intrastate revenues in the</w:t>
      </w:r>
      <w:r w:rsidR="007C3047">
        <w:rPr>
          <w:rFonts w:eastAsia="Times New Roman"/>
          <w:color w:val="000000"/>
          <w:sz w:val="26"/>
          <w:szCs w:val="26"/>
        </w:rPr>
        <w:t xml:space="preserve"> </w:t>
      </w:r>
      <w:r w:rsidR="007C3047" w:rsidRPr="007C3047">
        <w:rPr>
          <w:rFonts w:eastAsia="Times New Roman"/>
          <w:color w:val="000000"/>
          <w:sz w:val="26"/>
          <w:szCs w:val="26"/>
        </w:rPr>
        <w:t xml:space="preserve">specific context of </w:t>
      </w:r>
      <w:r w:rsidR="007C3047">
        <w:rPr>
          <w:rFonts w:eastAsia="Times New Roman"/>
          <w:color w:val="000000"/>
          <w:sz w:val="26"/>
          <w:szCs w:val="26"/>
        </w:rPr>
        <w:t xml:space="preserve">federal </w:t>
      </w:r>
      <w:r w:rsidR="007C3047" w:rsidRPr="007C3047">
        <w:rPr>
          <w:rFonts w:eastAsia="Times New Roman"/>
          <w:color w:val="000000"/>
          <w:sz w:val="26"/>
          <w:szCs w:val="26"/>
        </w:rPr>
        <w:t xml:space="preserve">universal service contribution requirements has important implications </w:t>
      </w:r>
      <w:r w:rsidR="007C3047">
        <w:rPr>
          <w:rFonts w:eastAsia="Times New Roman"/>
          <w:color w:val="000000"/>
          <w:sz w:val="26"/>
          <w:szCs w:val="26"/>
        </w:rPr>
        <w:t xml:space="preserve">on whether states were preempted from </w:t>
      </w:r>
      <w:r w:rsidR="007C3047" w:rsidRPr="007C3047">
        <w:rPr>
          <w:rFonts w:eastAsia="Times New Roman"/>
          <w:color w:val="000000"/>
          <w:sz w:val="26"/>
          <w:szCs w:val="26"/>
        </w:rPr>
        <w:t>imposing</w:t>
      </w:r>
      <w:r w:rsidR="007C3047">
        <w:rPr>
          <w:rFonts w:eastAsia="Times New Roman"/>
          <w:color w:val="000000"/>
          <w:sz w:val="26"/>
          <w:szCs w:val="26"/>
        </w:rPr>
        <w:t xml:space="preserve"> </w:t>
      </w:r>
      <w:r w:rsidR="003175C4">
        <w:rPr>
          <w:rFonts w:eastAsia="Times New Roman"/>
          <w:color w:val="000000"/>
          <w:sz w:val="26"/>
          <w:szCs w:val="26"/>
        </w:rPr>
        <w:t xml:space="preserve">their own </w:t>
      </w:r>
      <w:r w:rsidR="007C3047" w:rsidRPr="007C3047">
        <w:rPr>
          <w:rFonts w:eastAsia="Times New Roman"/>
          <w:color w:val="000000"/>
          <w:sz w:val="26"/>
          <w:szCs w:val="26"/>
        </w:rPr>
        <w:t xml:space="preserve">universal service contribution obligations on interconnected VoIP </w:t>
      </w:r>
      <w:r w:rsidR="003175C4">
        <w:rPr>
          <w:rFonts w:eastAsia="Times New Roman"/>
          <w:color w:val="000000"/>
          <w:sz w:val="26"/>
          <w:szCs w:val="26"/>
        </w:rPr>
        <w:t xml:space="preserve">service </w:t>
      </w:r>
      <w:r w:rsidR="007C3047">
        <w:rPr>
          <w:rFonts w:eastAsia="Times New Roman"/>
          <w:color w:val="000000"/>
          <w:sz w:val="26"/>
          <w:szCs w:val="26"/>
        </w:rPr>
        <w:t xml:space="preserve">providers.  The </w:t>
      </w:r>
      <w:r w:rsidR="007C3047" w:rsidRPr="007C3047">
        <w:rPr>
          <w:rFonts w:eastAsia="Times New Roman"/>
          <w:color w:val="000000"/>
          <w:sz w:val="26"/>
          <w:szCs w:val="26"/>
        </w:rPr>
        <w:t xml:space="preserve">Commission </w:t>
      </w:r>
      <w:r w:rsidR="007C3047">
        <w:rPr>
          <w:rFonts w:eastAsia="Times New Roman"/>
          <w:color w:val="000000"/>
          <w:sz w:val="26"/>
          <w:szCs w:val="26"/>
        </w:rPr>
        <w:t xml:space="preserve">determined that </w:t>
      </w:r>
      <w:r w:rsidR="00631EB0">
        <w:rPr>
          <w:rFonts w:eastAsia="Times New Roman"/>
          <w:color w:val="000000"/>
          <w:sz w:val="26"/>
          <w:szCs w:val="26"/>
        </w:rPr>
        <w:t>because i</w:t>
      </w:r>
      <w:r w:rsidR="007C3047" w:rsidRPr="007C3047">
        <w:rPr>
          <w:rFonts w:eastAsia="Times New Roman"/>
          <w:color w:val="000000"/>
          <w:sz w:val="26"/>
          <w:szCs w:val="26"/>
        </w:rPr>
        <w:t>t is possible to</w:t>
      </w:r>
      <w:r w:rsidR="007C3047">
        <w:rPr>
          <w:rFonts w:eastAsia="Times New Roman"/>
          <w:color w:val="000000"/>
          <w:sz w:val="26"/>
          <w:szCs w:val="26"/>
        </w:rPr>
        <w:t xml:space="preserve"> </w:t>
      </w:r>
      <w:r w:rsidR="007C3047" w:rsidRPr="007C3047">
        <w:rPr>
          <w:rFonts w:eastAsia="Times New Roman"/>
          <w:color w:val="000000"/>
          <w:sz w:val="26"/>
          <w:szCs w:val="26"/>
        </w:rPr>
        <w:t xml:space="preserve">separate the interstate and intrastate revenues of interconnected VoIP </w:t>
      </w:r>
      <w:r w:rsidR="003175C4">
        <w:rPr>
          <w:rFonts w:eastAsia="Times New Roman"/>
          <w:color w:val="000000"/>
          <w:sz w:val="26"/>
          <w:szCs w:val="26"/>
        </w:rPr>
        <w:t xml:space="preserve">service </w:t>
      </w:r>
      <w:r w:rsidR="007C3047" w:rsidRPr="007C3047">
        <w:rPr>
          <w:rFonts w:eastAsia="Times New Roman"/>
          <w:color w:val="000000"/>
          <w:sz w:val="26"/>
          <w:szCs w:val="26"/>
        </w:rPr>
        <w:t>providers for purposes of</w:t>
      </w:r>
      <w:r w:rsidR="007C3047">
        <w:rPr>
          <w:rFonts w:eastAsia="Times New Roman"/>
          <w:color w:val="000000"/>
          <w:sz w:val="26"/>
          <w:szCs w:val="26"/>
        </w:rPr>
        <w:t xml:space="preserve"> </w:t>
      </w:r>
      <w:r w:rsidR="007C3047" w:rsidRPr="007C3047">
        <w:rPr>
          <w:rFonts w:eastAsia="Times New Roman"/>
          <w:color w:val="000000"/>
          <w:sz w:val="26"/>
          <w:szCs w:val="26"/>
        </w:rPr>
        <w:t xml:space="preserve">calculating universal service contributions, </w:t>
      </w:r>
      <w:r w:rsidR="007C3047">
        <w:rPr>
          <w:rFonts w:eastAsia="Times New Roman"/>
          <w:color w:val="000000"/>
          <w:sz w:val="26"/>
          <w:szCs w:val="26"/>
        </w:rPr>
        <w:t xml:space="preserve">there </w:t>
      </w:r>
      <w:r w:rsidR="003175C4">
        <w:rPr>
          <w:rFonts w:eastAsia="Times New Roman"/>
          <w:color w:val="000000"/>
          <w:sz w:val="26"/>
          <w:szCs w:val="26"/>
        </w:rPr>
        <w:t xml:space="preserve">was </w:t>
      </w:r>
      <w:r w:rsidR="007C3047" w:rsidRPr="007C3047">
        <w:rPr>
          <w:rFonts w:eastAsia="Times New Roman"/>
          <w:color w:val="000000"/>
          <w:sz w:val="26"/>
          <w:szCs w:val="26"/>
        </w:rPr>
        <w:t xml:space="preserve">no </w:t>
      </w:r>
      <w:r w:rsidR="007C3047">
        <w:rPr>
          <w:rFonts w:eastAsia="Times New Roman"/>
          <w:color w:val="000000"/>
          <w:sz w:val="26"/>
          <w:szCs w:val="26"/>
        </w:rPr>
        <w:t xml:space="preserve">legal </w:t>
      </w:r>
      <w:r w:rsidR="007C3047" w:rsidRPr="007C3047">
        <w:rPr>
          <w:rFonts w:eastAsia="Times New Roman"/>
          <w:color w:val="000000"/>
          <w:sz w:val="26"/>
          <w:szCs w:val="26"/>
        </w:rPr>
        <w:t xml:space="preserve">basis to </w:t>
      </w:r>
      <w:r w:rsidR="007C3047">
        <w:rPr>
          <w:rFonts w:eastAsia="Times New Roman"/>
          <w:color w:val="000000"/>
          <w:sz w:val="26"/>
          <w:szCs w:val="26"/>
        </w:rPr>
        <w:t xml:space="preserve">continue to </w:t>
      </w:r>
      <w:r w:rsidR="007C3047" w:rsidRPr="007C3047">
        <w:rPr>
          <w:rFonts w:eastAsia="Times New Roman"/>
          <w:color w:val="000000"/>
          <w:sz w:val="26"/>
          <w:szCs w:val="26"/>
        </w:rPr>
        <w:t>preempt states from imposing</w:t>
      </w:r>
      <w:r w:rsidR="007C3047">
        <w:rPr>
          <w:rFonts w:eastAsia="Times New Roman"/>
          <w:color w:val="000000"/>
          <w:sz w:val="26"/>
          <w:szCs w:val="26"/>
        </w:rPr>
        <w:t xml:space="preserve"> </w:t>
      </w:r>
      <w:r w:rsidR="003175C4">
        <w:rPr>
          <w:rFonts w:eastAsia="Times New Roman"/>
          <w:color w:val="000000"/>
          <w:sz w:val="26"/>
          <w:szCs w:val="26"/>
        </w:rPr>
        <w:t xml:space="preserve">their own </w:t>
      </w:r>
      <w:r w:rsidR="007C3047" w:rsidRPr="007C3047">
        <w:rPr>
          <w:rFonts w:eastAsia="Times New Roman"/>
          <w:color w:val="000000"/>
          <w:sz w:val="26"/>
          <w:szCs w:val="26"/>
        </w:rPr>
        <w:t>universal service contribution obligations on providers of interconnected VoIP service</w:t>
      </w:r>
      <w:r w:rsidR="003175C4">
        <w:rPr>
          <w:rFonts w:eastAsia="Times New Roman"/>
          <w:color w:val="000000"/>
          <w:sz w:val="26"/>
          <w:szCs w:val="26"/>
        </w:rPr>
        <w:t>s</w:t>
      </w:r>
      <w:r w:rsidR="007C3047">
        <w:rPr>
          <w:rFonts w:eastAsia="Times New Roman"/>
          <w:color w:val="000000"/>
          <w:sz w:val="26"/>
          <w:szCs w:val="26"/>
        </w:rPr>
        <w:t>.</w:t>
      </w:r>
      <w:r w:rsidR="000E474E" w:rsidRPr="000E474E">
        <w:rPr>
          <w:rFonts w:eastAsia="Times New Roman"/>
          <w:color w:val="000000"/>
          <w:sz w:val="26"/>
          <w:szCs w:val="26"/>
        </w:rPr>
        <w:t xml:space="preserve"> </w:t>
      </w:r>
      <w:r w:rsidR="000E474E">
        <w:rPr>
          <w:rFonts w:eastAsia="Times New Roman"/>
          <w:color w:val="000000"/>
          <w:sz w:val="26"/>
          <w:szCs w:val="26"/>
        </w:rPr>
        <w:t>The extension of the rationale set forth in the</w:t>
      </w:r>
      <w:r w:rsidR="000E474E" w:rsidRPr="00A51D89">
        <w:rPr>
          <w:rFonts w:ascii="TimesNewRoman,Italic" w:hAnsi="TimesNewRoman,Italic" w:cs="TimesNewRoman,Italic"/>
          <w:i/>
          <w:iCs/>
          <w:color w:val="010101"/>
        </w:rPr>
        <w:t xml:space="preserve"> </w:t>
      </w:r>
      <w:r w:rsidR="000E474E" w:rsidRPr="00A51D89">
        <w:rPr>
          <w:rFonts w:eastAsia="Times New Roman"/>
          <w:i/>
          <w:iCs/>
          <w:color w:val="000000"/>
          <w:sz w:val="26"/>
          <w:szCs w:val="26"/>
        </w:rPr>
        <w:t>Interim Contribution Methodology Order</w:t>
      </w:r>
      <w:r w:rsidR="000E474E">
        <w:rPr>
          <w:rFonts w:eastAsia="Times New Roman"/>
          <w:color w:val="000000"/>
          <w:sz w:val="26"/>
          <w:szCs w:val="26"/>
        </w:rPr>
        <w:t xml:space="preserve"> should </w:t>
      </w:r>
      <w:r w:rsidR="001761F6">
        <w:rPr>
          <w:rFonts w:eastAsia="Times New Roman"/>
          <w:color w:val="000000"/>
          <w:sz w:val="26"/>
          <w:szCs w:val="26"/>
        </w:rPr>
        <w:t xml:space="preserve">also </w:t>
      </w:r>
      <w:r w:rsidR="000E474E">
        <w:rPr>
          <w:rFonts w:eastAsia="Times New Roman"/>
          <w:color w:val="000000"/>
          <w:sz w:val="26"/>
          <w:szCs w:val="26"/>
        </w:rPr>
        <w:t xml:space="preserve">apply to this proceeding.  </w:t>
      </w:r>
    </w:p>
    <w:p w14:paraId="285F69D6" w14:textId="77777777" w:rsidR="007C3047" w:rsidRDefault="007C3047" w:rsidP="007C3047">
      <w:pPr>
        <w:ind w:firstLine="720"/>
        <w:rPr>
          <w:rFonts w:eastAsia="Times New Roman"/>
          <w:color w:val="000000"/>
          <w:sz w:val="26"/>
          <w:szCs w:val="26"/>
        </w:rPr>
      </w:pPr>
    </w:p>
    <w:p w14:paraId="6F6C0903" w14:textId="2FE3E5A0" w:rsidR="000E474E" w:rsidRDefault="00511C15" w:rsidP="00393482">
      <w:pPr>
        <w:ind w:firstLine="720"/>
        <w:rPr>
          <w:rFonts w:eastAsia="Times New Roman"/>
          <w:color w:val="000000"/>
          <w:sz w:val="26"/>
          <w:szCs w:val="26"/>
        </w:rPr>
      </w:pPr>
      <w:r>
        <w:rPr>
          <w:rFonts w:eastAsia="Times New Roman"/>
          <w:color w:val="000000"/>
          <w:sz w:val="26"/>
          <w:szCs w:val="26"/>
        </w:rPr>
        <w:lastRenderedPageBreak/>
        <w:t xml:space="preserve">The Pa. PUC believes the Commission can extend the rationale of the </w:t>
      </w:r>
      <w:r w:rsidRPr="0023007A">
        <w:rPr>
          <w:rFonts w:eastAsia="Times New Roman"/>
          <w:i/>
          <w:color w:val="000000"/>
          <w:sz w:val="26"/>
          <w:szCs w:val="26"/>
        </w:rPr>
        <w:t>Interim Contribution Methodology Order</w:t>
      </w:r>
      <w:r>
        <w:rPr>
          <w:rFonts w:eastAsia="Times New Roman"/>
          <w:color w:val="000000"/>
          <w:sz w:val="26"/>
          <w:szCs w:val="26"/>
        </w:rPr>
        <w:t xml:space="preserve"> </w:t>
      </w:r>
      <w:r w:rsidR="00624B0D">
        <w:rPr>
          <w:rFonts w:eastAsia="Times New Roman"/>
          <w:color w:val="000000"/>
          <w:sz w:val="26"/>
          <w:szCs w:val="26"/>
        </w:rPr>
        <w:t xml:space="preserve">and </w:t>
      </w:r>
      <w:r w:rsidR="00624B0D" w:rsidRPr="009B1DCA">
        <w:rPr>
          <w:rFonts w:eastAsia="Times New Roman"/>
          <w:i/>
          <w:color w:val="000000"/>
          <w:sz w:val="26"/>
          <w:szCs w:val="26"/>
        </w:rPr>
        <w:t>Kansas/Nebraska State USF Contribution Declaratory Ruling</w:t>
      </w:r>
      <w:r w:rsidR="00624B0D">
        <w:rPr>
          <w:rFonts w:eastAsia="Times New Roman"/>
          <w:color w:val="000000"/>
          <w:sz w:val="26"/>
          <w:szCs w:val="26"/>
        </w:rPr>
        <w:t xml:space="preserve"> </w:t>
      </w:r>
      <w:r>
        <w:rPr>
          <w:rFonts w:eastAsia="Times New Roman"/>
          <w:color w:val="000000"/>
          <w:sz w:val="26"/>
          <w:szCs w:val="26"/>
        </w:rPr>
        <w:t>further to authorize states to assess providers of VoIP service for TRS purposes</w:t>
      </w:r>
      <w:r w:rsidR="00393482" w:rsidRPr="00393482">
        <w:rPr>
          <w:rFonts w:eastAsia="Times New Roman"/>
          <w:color w:val="000000"/>
          <w:sz w:val="26"/>
          <w:szCs w:val="26"/>
        </w:rPr>
        <w:t xml:space="preserve">.  </w:t>
      </w:r>
      <w:r w:rsidR="00624B0D">
        <w:rPr>
          <w:rFonts w:eastAsia="Times New Roman"/>
          <w:color w:val="000000"/>
          <w:sz w:val="26"/>
          <w:szCs w:val="26"/>
        </w:rPr>
        <w:t>T</w:t>
      </w:r>
      <w:r w:rsidR="000E474E">
        <w:rPr>
          <w:rFonts w:eastAsia="Times New Roman"/>
          <w:color w:val="000000"/>
          <w:sz w:val="26"/>
          <w:szCs w:val="26"/>
        </w:rPr>
        <w:t xml:space="preserve">he Commission admits </w:t>
      </w:r>
      <w:r w:rsidR="00624B0D">
        <w:rPr>
          <w:rFonts w:eastAsia="Times New Roman"/>
          <w:color w:val="000000"/>
          <w:sz w:val="26"/>
          <w:szCs w:val="26"/>
        </w:rPr>
        <w:t xml:space="preserve">in the </w:t>
      </w:r>
      <w:r w:rsidR="00624B0D" w:rsidRPr="009B1DCA">
        <w:rPr>
          <w:rFonts w:eastAsia="Times New Roman"/>
          <w:i/>
          <w:color w:val="000000"/>
          <w:sz w:val="26"/>
          <w:szCs w:val="26"/>
        </w:rPr>
        <w:t>FNPRM</w:t>
      </w:r>
      <w:r w:rsidR="00624B0D">
        <w:rPr>
          <w:rFonts w:eastAsia="Times New Roman"/>
          <w:color w:val="000000"/>
          <w:sz w:val="26"/>
          <w:szCs w:val="26"/>
        </w:rPr>
        <w:t xml:space="preserve"> </w:t>
      </w:r>
      <w:r w:rsidR="000E474E">
        <w:rPr>
          <w:rFonts w:eastAsia="Times New Roman"/>
          <w:color w:val="000000"/>
          <w:sz w:val="26"/>
          <w:szCs w:val="26"/>
        </w:rPr>
        <w:t xml:space="preserve">that </w:t>
      </w:r>
      <w:r w:rsidR="000E474E" w:rsidRPr="000E474E">
        <w:rPr>
          <w:rFonts w:eastAsia="Times New Roman"/>
          <w:color w:val="000000"/>
          <w:sz w:val="26"/>
          <w:szCs w:val="26"/>
        </w:rPr>
        <w:t xml:space="preserve">it is possible to separate the interstate and intrastate </w:t>
      </w:r>
      <w:r w:rsidR="00764858" w:rsidRPr="00CD4038">
        <w:rPr>
          <w:rFonts w:eastAsia="Times New Roman"/>
          <w:color w:val="000000"/>
          <w:sz w:val="26"/>
          <w:szCs w:val="26"/>
        </w:rPr>
        <w:t>costs</w:t>
      </w:r>
      <w:r w:rsidR="00D21A6D" w:rsidRPr="00CD4038">
        <w:rPr>
          <w:rFonts w:eastAsia="Times New Roman"/>
          <w:color w:val="000000"/>
          <w:sz w:val="26"/>
          <w:szCs w:val="26"/>
        </w:rPr>
        <w:t xml:space="preserve"> </w:t>
      </w:r>
      <w:r w:rsidR="000E474E" w:rsidRPr="000E474E">
        <w:rPr>
          <w:rFonts w:eastAsia="Times New Roman"/>
          <w:color w:val="000000"/>
          <w:sz w:val="26"/>
          <w:szCs w:val="26"/>
        </w:rPr>
        <w:t xml:space="preserve">of </w:t>
      </w:r>
      <w:r w:rsidR="00624B0D">
        <w:rPr>
          <w:rFonts w:eastAsia="Times New Roman"/>
          <w:color w:val="000000"/>
          <w:sz w:val="26"/>
          <w:szCs w:val="26"/>
        </w:rPr>
        <w:t>IP CTS calls.  Hence, states then should be allow</w:t>
      </w:r>
      <w:r w:rsidR="00ED0F4B">
        <w:rPr>
          <w:rFonts w:eastAsia="Times New Roman"/>
          <w:color w:val="000000"/>
          <w:sz w:val="26"/>
          <w:szCs w:val="26"/>
        </w:rPr>
        <w:t>ed</w:t>
      </w:r>
      <w:r w:rsidR="00624B0D">
        <w:rPr>
          <w:rFonts w:eastAsia="Times New Roman"/>
          <w:color w:val="000000"/>
          <w:sz w:val="26"/>
          <w:szCs w:val="26"/>
        </w:rPr>
        <w:t xml:space="preserve"> to assess </w:t>
      </w:r>
      <w:r w:rsidR="000E474E" w:rsidRPr="000E474E">
        <w:rPr>
          <w:rFonts w:eastAsia="Times New Roman"/>
          <w:color w:val="000000"/>
          <w:sz w:val="26"/>
          <w:szCs w:val="26"/>
        </w:rPr>
        <w:t xml:space="preserve">interconnected VoIP </w:t>
      </w:r>
      <w:r w:rsidR="003175C4">
        <w:rPr>
          <w:rFonts w:eastAsia="Times New Roman"/>
          <w:color w:val="000000"/>
          <w:sz w:val="26"/>
          <w:szCs w:val="26"/>
        </w:rPr>
        <w:t xml:space="preserve">service </w:t>
      </w:r>
      <w:r w:rsidR="000E474E" w:rsidRPr="000E474E">
        <w:rPr>
          <w:rFonts w:eastAsia="Times New Roman"/>
          <w:color w:val="000000"/>
          <w:sz w:val="26"/>
          <w:szCs w:val="26"/>
        </w:rPr>
        <w:t>providers</w:t>
      </w:r>
      <w:r w:rsidR="00ED0F4B">
        <w:rPr>
          <w:rFonts w:eastAsia="Times New Roman"/>
          <w:color w:val="000000"/>
          <w:sz w:val="26"/>
          <w:szCs w:val="26"/>
        </w:rPr>
        <w:t xml:space="preserve"> </w:t>
      </w:r>
      <w:r w:rsidR="000E474E" w:rsidRPr="000E474E">
        <w:rPr>
          <w:rFonts w:eastAsia="Times New Roman"/>
          <w:color w:val="000000"/>
          <w:sz w:val="26"/>
          <w:szCs w:val="26"/>
        </w:rPr>
        <w:t>for the purposes of calculating TRS contributions</w:t>
      </w:r>
      <w:r w:rsidR="00ED0F4B">
        <w:rPr>
          <w:rFonts w:eastAsia="Times New Roman"/>
          <w:color w:val="000000"/>
          <w:sz w:val="26"/>
          <w:szCs w:val="26"/>
        </w:rPr>
        <w:t xml:space="preserve"> to their respective state TRS programs</w:t>
      </w:r>
      <w:r w:rsidR="000E474E">
        <w:rPr>
          <w:rFonts w:eastAsia="Times New Roman"/>
          <w:color w:val="000000"/>
          <w:sz w:val="26"/>
          <w:szCs w:val="26"/>
        </w:rPr>
        <w:t xml:space="preserve">.  </w:t>
      </w:r>
    </w:p>
    <w:p w14:paraId="1EA2A2DD" w14:textId="77777777" w:rsidR="000E474E" w:rsidRDefault="000E474E" w:rsidP="00393482">
      <w:pPr>
        <w:ind w:firstLine="720"/>
        <w:rPr>
          <w:rFonts w:eastAsia="Times New Roman"/>
          <w:color w:val="000000"/>
          <w:sz w:val="26"/>
          <w:szCs w:val="26"/>
        </w:rPr>
      </w:pPr>
    </w:p>
    <w:p w14:paraId="604ECBFA" w14:textId="16E18C64" w:rsidR="009F6585" w:rsidRDefault="00393482" w:rsidP="00393482">
      <w:pPr>
        <w:ind w:firstLine="720"/>
        <w:rPr>
          <w:rFonts w:eastAsia="Times New Roman"/>
          <w:color w:val="000000"/>
          <w:sz w:val="26"/>
          <w:szCs w:val="26"/>
        </w:rPr>
      </w:pPr>
      <w:r w:rsidRPr="00393482">
        <w:rPr>
          <w:rFonts w:eastAsia="Times New Roman"/>
          <w:color w:val="000000"/>
          <w:sz w:val="26"/>
          <w:szCs w:val="26"/>
        </w:rPr>
        <w:t>If the Commission concedes that all IP CTS calls are severable into intrastate and interstate</w:t>
      </w:r>
      <w:r w:rsidR="000E474E">
        <w:rPr>
          <w:rFonts w:eastAsia="Times New Roman"/>
          <w:color w:val="000000"/>
          <w:sz w:val="26"/>
          <w:szCs w:val="26"/>
        </w:rPr>
        <w:t xml:space="preserve">, which it has done in the </w:t>
      </w:r>
      <w:r w:rsidR="000E474E" w:rsidRPr="000E474E">
        <w:rPr>
          <w:rFonts w:eastAsia="Times New Roman"/>
          <w:i/>
          <w:color w:val="000000"/>
          <w:sz w:val="26"/>
          <w:szCs w:val="26"/>
        </w:rPr>
        <w:t>FNPRM</w:t>
      </w:r>
      <w:r w:rsidR="00631EB0">
        <w:rPr>
          <w:rFonts w:eastAsia="Times New Roman"/>
          <w:color w:val="000000"/>
          <w:sz w:val="26"/>
          <w:szCs w:val="26"/>
        </w:rPr>
        <w:t xml:space="preserve"> consistent with its prior decisions</w:t>
      </w:r>
      <w:r w:rsidR="000E474E">
        <w:rPr>
          <w:rFonts w:eastAsia="Times New Roman"/>
          <w:color w:val="000000"/>
          <w:sz w:val="26"/>
          <w:szCs w:val="26"/>
        </w:rPr>
        <w:t xml:space="preserve">, </w:t>
      </w:r>
      <w:r>
        <w:rPr>
          <w:rFonts w:eastAsia="Times New Roman"/>
          <w:color w:val="000000"/>
          <w:sz w:val="26"/>
          <w:szCs w:val="26"/>
        </w:rPr>
        <w:t xml:space="preserve">then it has </w:t>
      </w:r>
      <w:r w:rsidR="000E474E">
        <w:rPr>
          <w:rFonts w:eastAsia="Times New Roman"/>
          <w:color w:val="000000"/>
          <w:sz w:val="26"/>
          <w:szCs w:val="26"/>
        </w:rPr>
        <w:t xml:space="preserve">already </w:t>
      </w:r>
      <w:r w:rsidRPr="00393482">
        <w:rPr>
          <w:rFonts w:eastAsia="Times New Roman"/>
          <w:color w:val="000000"/>
          <w:sz w:val="26"/>
          <w:szCs w:val="26"/>
        </w:rPr>
        <w:t>explicitly determined that the “impossibility doctrine” is inapplicable to IP CTS service</w:t>
      </w:r>
      <w:r>
        <w:rPr>
          <w:rFonts w:eastAsia="Times New Roman"/>
          <w:color w:val="000000"/>
          <w:sz w:val="26"/>
          <w:szCs w:val="26"/>
        </w:rPr>
        <w:t xml:space="preserve">. </w:t>
      </w:r>
      <w:r w:rsidR="00ED0F4B">
        <w:rPr>
          <w:rFonts w:eastAsia="Times New Roman"/>
          <w:color w:val="000000"/>
          <w:sz w:val="26"/>
          <w:szCs w:val="26"/>
        </w:rPr>
        <w:t xml:space="preserve">Consequently, </w:t>
      </w:r>
      <w:r w:rsidR="00ED0F4B" w:rsidRPr="00ED0F4B">
        <w:rPr>
          <w:rFonts w:eastAsia="Times New Roman"/>
          <w:color w:val="000000"/>
          <w:sz w:val="26"/>
          <w:szCs w:val="26"/>
        </w:rPr>
        <w:t xml:space="preserve">regardless of the </w:t>
      </w:r>
      <w:r w:rsidR="00ED0F4B" w:rsidRPr="00ED0F4B">
        <w:rPr>
          <w:rFonts w:eastAsia="Times New Roman"/>
          <w:color w:val="000000"/>
          <w:sz w:val="26"/>
          <w:szCs w:val="26"/>
          <w:lang w:val="en"/>
        </w:rPr>
        <w:t xml:space="preserve">ultimate classification of VoIP as a “telecommunications service” or an “information service,” </w:t>
      </w:r>
      <w:r w:rsidR="00ED0F4B" w:rsidRPr="00ED0F4B">
        <w:rPr>
          <w:rFonts w:eastAsia="Times New Roman"/>
          <w:color w:val="000000"/>
          <w:sz w:val="26"/>
          <w:szCs w:val="26"/>
        </w:rPr>
        <w:t xml:space="preserve">the Commission </w:t>
      </w:r>
      <w:r w:rsidR="00114FA9">
        <w:rPr>
          <w:rFonts w:eastAsia="Times New Roman"/>
          <w:color w:val="000000"/>
          <w:sz w:val="26"/>
          <w:szCs w:val="26"/>
        </w:rPr>
        <w:t>should</w:t>
      </w:r>
      <w:r w:rsidR="00ED0F4B" w:rsidRPr="00ED0F4B">
        <w:rPr>
          <w:rFonts w:eastAsia="Times New Roman"/>
          <w:color w:val="000000"/>
          <w:sz w:val="26"/>
          <w:szCs w:val="26"/>
        </w:rPr>
        <w:t xml:space="preserve"> explicitly state that the impossibility exception in </w:t>
      </w:r>
      <w:r w:rsidR="00CD4038">
        <w:rPr>
          <w:rFonts w:eastAsia="Times New Roman"/>
          <w:color w:val="000000"/>
          <w:sz w:val="26"/>
          <w:szCs w:val="26"/>
        </w:rPr>
        <w:t xml:space="preserve">the </w:t>
      </w:r>
      <w:r w:rsidR="00ED0F4B" w:rsidRPr="00ED0F4B">
        <w:rPr>
          <w:rFonts w:eastAsia="Times New Roman"/>
          <w:i/>
          <w:iCs/>
          <w:color w:val="000000"/>
          <w:sz w:val="26"/>
          <w:szCs w:val="26"/>
        </w:rPr>
        <w:t xml:space="preserve">Vonage </w:t>
      </w:r>
      <w:r w:rsidR="00CD4038">
        <w:rPr>
          <w:rFonts w:eastAsia="Times New Roman"/>
          <w:i/>
          <w:iCs/>
          <w:color w:val="000000"/>
          <w:sz w:val="26"/>
          <w:szCs w:val="26"/>
        </w:rPr>
        <w:t xml:space="preserve">Preemption Order </w:t>
      </w:r>
      <w:r w:rsidR="00ED0F4B" w:rsidRPr="00ED0F4B">
        <w:rPr>
          <w:rFonts w:eastAsia="Times New Roman"/>
          <w:iCs/>
          <w:color w:val="000000"/>
          <w:sz w:val="26"/>
          <w:szCs w:val="26"/>
        </w:rPr>
        <w:t xml:space="preserve">is inapplicable </w:t>
      </w:r>
      <w:r w:rsidR="00ED0F4B" w:rsidRPr="00ED0F4B">
        <w:rPr>
          <w:rFonts w:eastAsia="Times New Roman"/>
          <w:color w:val="000000"/>
          <w:sz w:val="26"/>
          <w:szCs w:val="26"/>
        </w:rPr>
        <w:t xml:space="preserve">to IP-enabled services, including IP CTS service.  </w:t>
      </w:r>
    </w:p>
    <w:p w14:paraId="49F431E7" w14:textId="77777777" w:rsidR="009F6585" w:rsidRDefault="009F6585" w:rsidP="00393482">
      <w:pPr>
        <w:ind w:firstLine="720"/>
        <w:rPr>
          <w:rFonts w:eastAsia="Times New Roman"/>
          <w:color w:val="000000"/>
          <w:sz w:val="26"/>
          <w:szCs w:val="26"/>
        </w:rPr>
      </w:pPr>
    </w:p>
    <w:p w14:paraId="382B3CF7" w14:textId="77777777" w:rsidR="003B2295" w:rsidRPr="009061E4" w:rsidRDefault="000E474E" w:rsidP="009F6585">
      <w:pPr>
        <w:ind w:firstLine="720"/>
        <w:rPr>
          <w:rFonts w:eastAsia="Times New Roman"/>
          <w:color w:val="000000"/>
          <w:sz w:val="26"/>
          <w:szCs w:val="26"/>
        </w:rPr>
      </w:pPr>
      <w:r>
        <w:rPr>
          <w:rFonts w:eastAsia="Times New Roman"/>
          <w:color w:val="000000"/>
          <w:sz w:val="26"/>
          <w:szCs w:val="26"/>
        </w:rPr>
        <w:t>Accordingly, the</w:t>
      </w:r>
      <w:r w:rsidR="0010410E">
        <w:rPr>
          <w:rFonts w:eastAsia="Times New Roman"/>
          <w:color w:val="000000"/>
          <w:sz w:val="26"/>
          <w:szCs w:val="26"/>
        </w:rPr>
        <w:t>re would be no question that</w:t>
      </w:r>
      <w:r>
        <w:rPr>
          <w:rFonts w:eastAsia="Times New Roman"/>
          <w:color w:val="000000"/>
          <w:sz w:val="26"/>
          <w:szCs w:val="26"/>
        </w:rPr>
        <w:t xml:space="preserve"> states</w:t>
      </w:r>
      <w:r w:rsidR="00631EB0">
        <w:rPr>
          <w:rFonts w:eastAsia="Times New Roman"/>
          <w:color w:val="000000"/>
          <w:sz w:val="26"/>
          <w:szCs w:val="26"/>
        </w:rPr>
        <w:t>,</w:t>
      </w:r>
      <w:r>
        <w:rPr>
          <w:rFonts w:eastAsia="Times New Roman"/>
          <w:color w:val="000000"/>
          <w:sz w:val="26"/>
          <w:szCs w:val="26"/>
        </w:rPr>
        <w:t xml:space="preserve"> </w:t>
      </w:r>
      <w:r w:rsidR="0010410E">
        <w:rPr>
          <w:rFonts w:eastAsia="Times New Roman"/>
          <w:color w:val="000000"/>
          <w:sz w:val="26"/>
          <w:szCs w:val="26"/>
        </w:rPr>
        <w:t xml:space="preserve">with </w:t>
      </w:r>
      <w:r w:rsidR="00631EB0">
        <w:rPr>
          <w:rFonts w:eastAsia="Times New Roman"/>
          <w:color w:val="000000"/>
          <w:sz w:val="26"/>
          <w:szCs w:val="26"/>
        </w:rPr>
        <w:t xml:space="preserve">or without </w:t>
      </w:r>
      <w:r w:rsidR="0010410E">
        <w:rPr>
          <w:rFonts w:eastAsia="Times New Roman"/>
          <w:color w:val="000000"/>
          <w:sz w:val="26"/>
          <w:szCs w:val="26"/>
        </w:rPr>
        <w:t xml:space="preserve">express state statutory authority </w:t>
      </w:r>
      <w:r w:rsidR="005B4B76">
        <w:rPr>
          <w:rFonts w:eastAsia="Times New Roman"/>
          <w:color w:val="000000"/>
          <w:sz w:val="26"/>
          <w:szCs w:val="26"/>
        </w:rPr>
        <w:t xml:space="preserve">for TRS, </w:t>
      </w:r>
      <w:r>
        <w:rPr>
          <w:rFonts w:eastAsia="Times New Roman"/>
          <w:color w:val="000000"/>
          <w:sz w:val="26"/>
          <w:szCs w:val="26"/>
        </w:rPr>
        <w:t xml:space="preserve">are </w:t>
      </w:r>
      <w:r w:rsidR="00631EB0">
        <w:rPr>
          <w:rFonts w:eastAsia="Times New Roman"/>
          <w:color w:val="000000"/>
          <w:sz w:val="26"/>
          <w:szCs w:val="26"/>
        </w:rPr>
        <w:t xml:space="preserve">not </w:t>
      </w:r>
      <w:r>
        <w:rPr>
          <w:rFonts w:eastAsia="Times New Roman"/>
          <w:color w:val="000000"/>
          <w:sz w:val="26"/>
          <w:szCs w:val="26"/>
        </w:rPr>
        <w:t xml:space="preserve">preempted from assessing the revenues of VoIP </w:t>
      </w:r>
      <w:r w:rsidR="003175C4">
        <w:rPr>
          <w:rFonts w:eastAsia="Times New Roman"/>
          <w:color w:val="000000"/>
          <w:sz w:val="26"/>
          <w:szCs w:val="26"/>
        </w:rPr>
        <w:t xml:space="preserve">service </w:t>
      </w:r>
      <w:r>
        <w:rPr>
          <w:rFonts w:eastAsia="Times New Roman"/>
          <w:color w:val="000000"/>
          <w:sz w:val="26"/>
          <w:szCs w:val="26"/>
        </w:rPr>
        <w:t xml:space="preserve">providers for TRS purposes </w:t>
      </w:r>
      <w:r w:rsidR="004F7878" w:rsidRPr="004F7878">
        <w:rPr>
          <w:rFonts w:eastAsia="Times New Roman"/>
          <w:color w:val="000000"/>
          <w:sz w:val="26"/>
          <w:szCs w:val="26"/>
        </w:rPr>
        <w:t xml:space="preserve">so long as </w:t>
      </w:r>
      <w:r w:rsidR="004F7878">
        <w:rPr>
          <w:rFonts w:eastAsia="Times New Roman"/>
          <w:color w:val="000000"/>
          <w:sz w:val="26"/>
          <w:szCs w:val="26"/>
        </w:rPr>
        <w:t xml:space="preserve">the </w:t>
      </w:r>
      <w:r w:rsidR="004F7878" w:rsidRPr="004F7878">
        <w:rPr>
          <w:rFonts w:eastAsia="Times New Roman"/>
          <w:color w:val="000000"/>
          <w:sz w:val="26"/>
          <w:szCs w:val="26"/>
        </w:rPr>
        <w:t>state contribution requirements are not inconsistent with the federal</w:t>
      </w:r>
      <w:r w:rsidR="004F7878">
        <w:rPr>
          <w:rFonts w:eastAsia="Times New Roman"/>
          <w:color w:val="000000"/>
          <w:sz w:val="26"/>
          <w:szCs w:val="26"/>
        </w:rPr>
        <w:t xml:space="preserve"> rules and </w:t>
      </w:r>
      <w:r w:rsidR="004F7878" w:rsidRPr="004F7878">
        <w:rPr>
          <w:rFonts w:eastAsia="Times New Roman"/>
          <w:color w:val="000000"/>
          <w:sz w:val="26"/>
          <w:szCs w:val="26"/>
        </w:rPr>
        <w:t xml:space="preserve">policies governing </w:t>
      </w:r>
      <w:r w:rsidR="00631EB0">
        <w:rPr>
          <w:rFonts w:eastAsia="Times New Roman"/>
          <w:color w:val="000000"/>
          <w:sz w:val="26"/>
          <w:szCs w:val="26"/>
        </w:rPr>
        <w:t xml:space="preserve">the provision of </w:t>
      </w:r>
      <w:r w:rsidR="004F7878">
        <w:rPr>
          <w:rFonts w:eastAsia="Times New Roman"/>
          <w:color w:val="000000"/>
          <w:sz w:val="26"/>
          <w:szCs w:val="26"/>
        </w:rPr>
        <w:t xml:space="preserve">TRS.  </w:t>
      </w:r>
      <w:r w:rsidR="00511C15">
        <w:rPr>
          <w:rFonts w:eastAsia="Times New Roman"/>
          <w:color w:val="000000"/>
          <w:sz w:val="26"/>
          <w:szCs w:val="26"/>
        </w:rPr>
        <w:t xml:space="preserve">Because </w:t>
      </w:r>
      <w:r w:rsidR="004F7878">
        <w:rPr>
          <w:rFonts w:eastAsia="Times New Roman"/>
          <w:color w:val="000000"/>
          <w:sz w:val="26"/>
          <w:szCs w:val="26"/>
        </w:rPr>
        <w:t xml:space="preserve">all state TRS programs have to be certified by the Commission, this would ensure that a </w:t>
      </w:r>
      <w:r w:rsidR="00357F51">
        <w:rPr>
          <w:rFonts w:eastAsia="Times New Roman"/>
          <w:color w:val="000000"/>
          <w:sz w:val="26"/>
          <w:szCs w:val="26"/>
        </w:rPr>
        <w:t>s</w:t>
      </w:r>
      <w:r w:rsidR="004F7878">
        <w:rPr>
          <w:rFonts w:eastAsia="Times New Roman"/>
          <w:color w:val="000000"/>
          <w:sz w:val="26"/>
          <w:szCs w:val="26"/>
        </w:rPr>
        <w:t xml:space="preserve">tate’s assessment of the interconnected VoIP service </w:t>
      </w:r>
      <w:r w:rsidR="003175C4">
        <w:rPr>
          <w:rFonts w:eastAsia="Times New Roman"/>
          <w:color w:val="000000"/>
          <w:sz w:val="26"/>
          <w:szCs w:val="26"/>
        </w:rPr>
        <w:t xml:space="preserve">providers </w:t>
      </w:r>
      <w:r w:rsidR="004F7878">
        <w:rPr>
          <w:rFonts w:eastAsia="Times New Roman"/>
          <w:color w:val="000000"/>
          <w:sz w:val="26"/>
          <w:szCs w:val="26"/>
        </w:rPr>
        <w:t>is consistent with federal law</w:t>
      </w:r>
      <w:r w:rsidR="003B2295">
        <w:rPr>
          <w:rFonts w:eastAsia="Times New Roman"/>
          <w:color w:val="000000"/>
          <w:sz w:val="26"/>
          <w:szCs w:val="26"/>
        </w:rPr>
        <w:t xml:space="preserve"> and the TRS cost recovery rules</w:t>
      </w:r>
      <w:r w:rsidR="008F7D79" w:rsidRPr="003B2295">
        <w:rPr>
          <w:rFonts w:eastAsia="Times New Roman"/>
          <w:color w:val="000000"/>
          <w:sz w:val="26"/>
          <w:szCs w:val="26"/>
        </w:rPr>
        <w:t>.</w:t>
      </w:r>
      <w:r w:rsidR="003175C4">
        <w:rPr>
          <w:rFonts w:eastAsia="Times New Roman"/>
          <w:color w:val="000000"/>
          <w:sz w:val="26"/>
          <w:szCs w:val="26"/>
        </w:rPr>
        <w:t xml:space="preserve">  </w:t>
      </w:r>
      <w:r w:rsidR="009930D3">
        <w:rPr>
          <w:rFonts w:eastAsia="Times New Roman"/>
          <w:color w:val="000000"/>
          <w:sz w:val="26"/>
          <w:szCs w:val="26"/>
        </w:rPr>
        <w:t xml:space="preserve">This is a concern to the Pa. PUC because </w:t>
      </w:r>
      <w:r w:rsidR="009F6585">
        <w:rPr>
          <w:rFonts w:eastAsia="Times New Roman"/>
          <w:color w:val="000000"/>
          <w:sz w:val="26"/>
          <w:szCs w:val="26"/>
        </w:rPr>
        <w:t xml:space="preserve">Commission action should not undermine </w:t>
      </w:r>
      <w:r w:rsidR="009061E4">
        <w:rPr>
          <w:rFonts w:eastAsia="Times New Roman"/>
          <w:color w:val="000000"/>
          <w:sz w:val="26"/>
          <w:szCs w:val="26"/>
        </w:rPr>
        <w:t xml:space="preserve">Pennsylvania law, in particular, </w:t>
      </w:r>
      <w:r w:rsidR="009F6585">
        <w:rPr>
          <w:rFonts w:eastAsia="Times New Roman"/>
          <w:color w:val="000000"/>
          <w:sz w:val="26"/>
          <w:szCs w:val="26"/>
        </w:rPr>
        <w:t xml:space="preserve">which already </w:t>
      </w:r>
      <w:r w:rsidR="009061E4">
        <w:rPr>
          <w:rFonts w:eastAsia="Times New Roman"/>
          <w:color w:val="000000"/>
          <w:sz w:val="26"/>
          <w:szCs w:val="26"/>
        </w:rPr>
        <w:t xml:space="preserve">permits the Pa. PUC to assess VoIP providers for, </w:t>
      </w:r>
      <w:r w:rsidR="009061E4">
        <w:rPr>
          <w:rFonts w:eastAsia="Times New Roman"/>
          <w:i/>
          <w:color w:val="000000"/>
          <w:sz w:val="26"/>
          <w:szCs w:val="26"/>
        </w:rPr>
        <w:t xml:space="preserve">inter alia, </w:t>
      </w:r>
      <w:r w:rsidR="009061E4">
        <w:rPr>
          <w:rFonts w:eastAsia="Times New Roman"/>
          <w:color w:val="000000"/>
          <w:sz w:val="26"/>
          <w:szCs w:val="26"/>
        </w:rPr>
        <w:t>state universal service and TRS purposes.</w:t>
      </w:r>
      <w:r w:rsidR="009061E4">
        <w:rPr>
          <w:rStyle w:val="FootnoteReference"/>
          <w:rFonts w:eastAsia="Times New Roman"/>
          <w:color w:val="000000"/>
          <w:sz w:val="26"/>
          <w:szCs w:val="26"/>
        </w:rPr>
        <w:footnoteReference w:id="39"/>
      </w:r>
      <w:r w:rsidR="009061E4">
        <w:rPr>
          <w:rFonts w:eastAsia="Times New Roman"/>
          <w:color w:val="000000"/>
          <w:sz w:val="26"/>
          <w:szCs w:val="26"/>
        </w:rPr>
        <w:t xml:space="preserve"> </w:t>
      </w:r>
    </w:p>
    <w:p w14:paraId="65215EC5" w14:textId="77777777" w:rsidR="003C60EA" w:rsidRDefault="003C60EA" w:rsidP="004F7878">
      <w:pPr>
        <w:ind w:firstLine="720"/>
        <w:rPr>
          <w:rFonts w:eastAsia="Times New Roman"/>
          <w:color w:val="000000"/>
          <w:sz w:val="26"/>
          <w:szCs w:val="26"/>
        </w:rPr>
      </w:pPr>
    </w:p>
    <w:p w14:paraId="2BB3BE91" w14:textId="5909B995" w:rsidR="00A71EEE" w:rsidRDefault="000E474E" w:rsidP="004F7878">
      <w:pPr>
        <w:ind w:firstLine="720"/>
        <w:rPr>
          <w:rFonts w:eastAsia="Times New Roman"/>
          <w:color w:val="000000"/>
          <w:sz w:val="26"/>
          <w:szCs w:val="26"/>
        </w:rPr>
      </w:pPr>
      <w:r>
        <w:rPr>
          <w:rFonts w:eastAsia="Times New Roman"/>
          <w:color w:val="000000"/>
          <w:sz w:val="26"/>
          <w:szCs w:val="26"/>
        </w:rPr>
        <w:lastRenderedPageBreak/>
        <w:t xml:space="preserve">In conclusion, </w:t>
      </w:r>
      <w:r w:rsidR="008F7D79">
        <w:rPr>
          <w:rFonts w:eastAsia="Times New Roman"/>
          <w:color w:val="000000"/>
          <w:sz w:val="26"/>
          <w:szCs w:val="26"/>
        </w:rPr>
        <w:t>i</w:t>
      </w:r>
      <w:r w:rsidR="00A71EEE" w:rsidRPr="002C3C1C">
        <w:rPr>
          <w:rFonts w:eastAsia="Times New Roman"/>
          <w:color w:val="000000"/>
          <w:sz w:val="26"/>
          <w:szCs w:val="26"/>
        </w:rPr>
        <w:t xml:space="preserve">f the </w:t>
      </w:r>
      <w:r w:rsidR="00A71EEE">
        <w:rPr>
          <w:rFonts w:eastAsia="Times New Roman"/>
          <w:color w:val="000000"/>
          <w:sz w:val="26"/>
          <w:szCs w:val="26"/>
        </w:rPr>
        <w:t xml:space="preserve">Commission </w:t>
      </w:r>
      <w:r w:rsidR="00631EB0">
        <w:rPr>
          <w:rFonts w:eastAsia="Times New Roman"/>
          <w:color w:val="000000"/>
          <w:sz w:val="26"/>
          <w:szCs w:val="26"/>
        </w:rPr>
        <w:t xml:space="preserve">in this proceeding </w:t>
      </w:r>
      <w:r w:rsidR="00A71EEE" w:rsidRPr="002C3C1C">
        <w:rPr>
          <w:rFonts w:eastAsia="Times New Roman"/>
          <w:color w:val="000000"/>
          <w:sz w:val="26"/>
          <w:szCs w:val="26"/>
        </w:rPr>
        <w:t xml:space="preserve">were </w:t>
      </w:r>
      <w:r w:rsidR="008F7D79">
        <w:rPr>
          <w:rFonts w:eastAsia="Times New Roman"/>
          <w:color w:val="000000"/>
          <w:sz w:val="26"/>
          <w:szCs w:val="26"/>
        </w:rPr>
        <w:t xml:space="preserve">to </w:t>
      </w:r>
      <w:r w:rsidR="00631EB0">
        <w:rPr>
          <w:rFonts w:eastAsia="Times New Roman"/>
          <w:color w:val="000000"/>
          <w:sz w:val="26"/>
          <w:szCs w:val="26"/>
        </w:rPr>
        <w:t xml:space="preserve">adhere to its findings and </w:t>
      </w:r>
      <w:r w:rsidR="00ED0F4B">
        <w:rPr>
          <w:rFonts w:eastAsia="Times New Roman"/>
          <w:color w:val="000000"/>
          <w:sz w:val="26"/>
          <w:szCs w:val="26"/>
        </w:rPr>
        <w:t xml:space="preserve">rationale </w:t>
      </w:r>
      <w:r w:rsidR="00631EB0">
        <w:rPr>
          <w:rFonts w:eastAsia="Times New Roman"/>
          <w:color w:val="000000"/>
          <w:sz w:val="26"/>
          <w:szCs w:val="26"/>
        </w:rPr>
        <w:t>in</w:t>
      </w:r>
      <w:r w:rsidR="00ED0F4B">
        <w:rPr>
          <w:rFonts w:eastAsia="Times New Roman"/>
          <w:color w:val="000000"/>
          <w:sz w:val="26"/>
          <w:szCs w:val="26"/>
        </w:rPr>
        <w:t xml:space="preserve"> the </w:t>
      </w:r>
      <w:r w:rsidR="008F7D79" w:rsidRPr="008F7D79">
        <w:rPr>
          <w:rFonts w:eastAsia="Times New Roman"/>
          <w:i/>
          <w:color w:val="000000"/>
          <w:sz w:val="26"/>
          <w:szCs w:val="26"/>
        </w:rPr>
        <w:t>Interim Contribution Methodology Order</w:t>
      </w:r>
      <w:r w:rsidR="008F7D79">
        <w:rPr>
          <w:rFonts w:eastAsia="Times New Roman"/>
          <w:color w:val="000000"/>
          <w:sz w:val="26"/>
          <w:szCs w:val="26"/>
        </w:rPr>
        <w:t xml:space="preserve"> </w:t>
      </w:r>
      <w:r w:rsidR="00ED0F4B">
        <w:rPr>
          <w:rFonts w:eastAsia="Times New Roman"/>
          <w:color w:val="000000"/>
          <w:sz w:val="26"/>
          <w:szCs w:val="26"/>
        </w:rPr>
        <w:t xml:space="preserve">and </w:t>
      </w:r>
      <w:r w:rsidR="00ED0F4B" w:rsidRPr="00316773">
        <w:rPr>
          <w:rFonts w:eastAsia="Times New Roman"/>
          <w:i/>
          <w:color w:val="000000"/>
          <w:sz w:val="26"/>
          <w:szCs w:val="26"/>
        </w:rPr>
        <w:t>Kansas/Nebraska State USF Contribution Declaratory Ruling</w:t>
      </w:r>
      <w:r w:rsidR="008F7D79">
        <w:rPr>
          <w:rFonts w:eastAsia="Times New Roman"/>
          <w:color w:val="000000"/>
          <w:sz w:val="26"/>
          <w:szCs w:val="26"/>
        </w:rPr>
        <w:t xml:space="preserve">, </w:t>
      </w:r>
      <w:r w:rsidR="004F7878">
        <w:rPr>
          <w:rFonts w:eastAsia="Times New Roman"/>
          <w:color w:val="000000"/>
          <w:sz w:val="26"/>
          <w:szCs w:val="26"/>
        </w:rPr>
        <w:t xml:space="preserve">states would be </w:t>
      </w:r>
      <w:r w:rsidR="00764858">
        <w:rPr>
          <w:rFonts w:eastAsia="Times New Roman"/>
          <w:color w:val="000000"/>
          <w:sz w:val="26"/>
          <w:szCs w:val="26"/>
        </w:rPr>
        <w:t>free</w:t>
      </w:r>
      <w:r w:rsidR="004F7878">
        <w:rPr>
          <w:rFonts w:eastAsia="Times New Roman"/>
          <w:color w:val="000000"/>
          <w:sz w:val="26"/>
          <w:szCs w:val="26"/>
        </w:rPr>
        <w:t xml:space="preserve"> to adopt </w:t>
      </w:r>
      <w:r w:rsidR="004F7878" w:rsidRPr="002C3C1C">
        <w:rPr>
          <w:rFonts w:eastAsia="Times New Roman"/>
          <w:color w:val="000000"/>
          <w:sz w:val="26"/>
          <w:szCs w:val="26"/>
        </w:rPr>
        <w:t>legislation</w:t>
      </w:r>
      <w:r w:rsidR="00114FA9">
        <w:rPr>
          <w:rFonts w:eastAsia="Times New Roman"/>
          <w:color w:val="000000"/>
          <w:sz w:val="26"/>
          <w:szCs w:val="26"/>
        </w:rPr>
        <w:t xml:space="preserve"> or act under existing statutory authority without concern over jurisdictional challenges by VoIP providers contesting state action</w:t>
      </w:r>
      <w:r w:rsidR="00764858">
        <w:rPr>
          <w:rFonts w:eastAsia="Times New Roman"/>
          <w:color w:val="000000"/>
          <w:sz w:val="26"/>
          <w:szCs w:val="26"/>
        </w:rPr>
        <w:t>.</w:t>
      </w:r>
      <w:r w:rsidR="004F7878">
        <w:rPr>
          <w:rFonts w:eastAsia="Times New Roman"/>
          <w:color w:val="000000"/>
          <w:sz w:val="26"/>
          <w:szCs w:val="26"/>
        </w:rPr>
        <w:t xml:space="preserve">  </w:t>
      </w:r>
    </w:p>
    <w:p w14:paraId="72BD2FB6" w14:textId="77777777" w:rsidR="003C60EA" w:rsidRDefault="003C60EA" w:rsidP="003367DE">
      <w:pPr>
        <w:keepNext/>
        <w:jc w:val="center"/>
        <w:textAlignment w:val="baseline"/>
        <w:rPr>
          <w:rFonts w:eastAsia="Times New Roman"/>
          <w:b/>
          <w:snapToGrid w:val="0"/>
          <w:kern w:val="28"/>
          <w:sz w:val="26"/>
          <w:szCs w:val="26"/>
        </w:rPr>
      </w:pPr>
    </w:p>
    <w:p w14:paraId="5C3CE093" w14:textId="4C3D9D02" w:rsidR="00BF6195" w:rsidRPr="00BF6195" w:rsidRDefault="003367DE" w:rsidP="003367DE">
      <w:pPr>
        <w:keepNext/>
        <w:jc w:val="center"/>
        <w:textAlignment w:val="baseline"/>
        <w:rPr>
          <w:rFonts w:eastAsia="Times New Roman"/>
          <w:b/>
          <w:snapToGrid w:val="0"/>
          <w:kern w:val="28"/>
          <w:sz w:val="26"/>
          <w:szCs w:val="26"/>
        </w:rPr>
      </w:pPr>
      <w:r w:rsidRPr="00BF6195">
        <w:rPr>
          <w:rFonts w:eastAsia="Times New Roman"/>
          <w:b/>
          <w:snapToGrid w:val="0"/>
          <w:kern w:val="28"/>
          <w:sz w:val="26"/>
          <w:szCs w:val="26"/>
        </w:rPr>
        <w:t>CONCLUSION</w:t>
      </w:r>
    </w:p>
    <w:p w14:paraId="2680503B" w14:textId="21A56345" w:rsidR="00CB34DB" w:rsidRDefault="00114FA9" w:rsidP="00114FA9">
      <w:pPr>
        <w:autoSpaceDE w:val="0"/>
        <w:autoSpaceDN w:val="0"/>
        <w:adjustRightInd w:val="0"/>
        <w:ind w:firstLine="720"/>
        <w:rPr>
          <w:rFonts w:eastAsia="Times New Roman"/>
          <w:color w:val="000000"/>
          <w:sz w:val="26"/>
          <w:szCs w:val="26"/>
        </w:rPr>
      </w:pPr>
      <w:r>
        <w:rPr>
          <w:rFonts w:eastAsia="Times New Roman"/>
          <w:color w:val="000000"/>
          <w:sz w:val="26"/>
          <w:szCs w:val="26"/>
        </w:rPr>
        <w:t>T</w:t>
      </w:r>
      <w:r w:rsidR="00BF6195" w:rsidRPr="008E7909">
        <w:rPr>
          <w:rFonts w:eastAsia="Times New Roman"/>
          <w:color w:val="000000"/>
          <w:sz w:val="26"/>
          <w:szCs w:val="26"/>
        </w:rPr>
        <w:t xml:space="preserve">he Pa. PUC </w:t>
      </w:r>
      <w:r>
        <w:rPr>
          <w:rFonts w:eastAsia="Times New Roman"/>
          <w:color w:val="000000"/>
          <w:sz w:val="26"/>
          <w:szCs w:val="26"/>
        </w:rPr>
        <w:t xml:space="preserve">asserts that (1) </w:t>
      </w:r>
      <w:r w:rsidR="009930D3">
        <w:rPr>
          <w:rFonts w:eastAsia="Times New Roman"/>
          <w:color w:val="000000"/>
          <w:sz w:val="26"/>
          <w:szCs w:val="26"/>
        </w:rPr>
        <w:t>the Commission should reduce current waste, fraud, and abuse in the IP CTS or TRS programs</w:t>
      </w:r>
      <w:r>
        <w:rPr>
          <w:rFonts w:eastAsia="Times New Roman"/>
          <w:color w:val="000000"/>
          <w:sz w:val="26"/>
          <w:szCs w:val="26"/>
        </w:rPr>
        <w:t xml:space="preserve">, including referring the matter to the </w:t>
      </w:r>
      <w:r w:rsidRPr="008E7909">
        <w:rPr>
          <w:rFonts w:eastAsia="Times New Roman"/>
          <w:color w:val="000000"/>
          <w:sz w:val="26"/>
          <w:szCs w:val="26"/>
        </w:rPr>
        <w:t xml:space="preserve">Federal-State Joint Board on Separations for its expertise in </w:t>
      </w:r>
      <w:r w:rsidR="00CD4038">
        <w:rPr>
          <w:rFonts w:eastAsia="Times New Roman"/>
          <w:color w:val="000000"/>
          <w:sz w:val="26"/>
          <w:szCs w:val="26"/>
        </w:rPr>
        <w:t xml:space="preserve">addressing </w:t>
      </w:r>
      <w:r w:rsidRPr="008E7909">
        <w:rPr>
          <w:rFonts w:eastAsia="Times New Roman"/>
          <w:color w:val="000000"/>
          <w:sz w:val="26"/>
          <w:szCs w:val="26"/>
        </w:rPr>
        <w:t xml:space="preserve">accurate separations of </w:t>
      </w:r>
      <w:r>
        <w:rPr>
          <w:rFonts w:eastAsia="Times New Roman"/>
          <w:color w:val="000000"/>
          <w:sz w:val="26"/>
          <w:szCs w:val="26"/>
        </w:rPr>
        <w:t xml:space="preserve">the jurisdictional </w:t>
      </w:r>
      <w:r w:rsidRPr="008E7909">
        <w:rPr>
          <w:rFonts w:eastAsia="Times New Roman"/>
          <w:color w:val="000000"/>
          <w:sz w:val="26"/>
          <w:szCs w:val="26"/>
        </w:rPr>
        <w:t>costs</w:t>
      </w:r>
      <w:r>
        <w:rPr>
          <w:rFonts w:eastAsia="Times New Roman"/>
          <w:color w:val="000000"/>
          <w:sz w:val="26"/>
          <w:szCs w:val="26"/>
        </w:rPr>
        <w:t>,</w:t>
      </w:r>
      <w:r w:rsidR="009930D3">
        <w:rPr>
          <w:rFonts w:eastAsia="Times New Roman"/>
          <w:color w:val="000000"/>
          <w:sz w:val="26"/>
          <w:szCs w:val="26"/>
        </w:rPr>
        <w:t xml:space="preserve"> before </w:t>
      </w:r>
      <w:r w:rsidR="00CD4038">
        <w:rPr>
          <w:rFonts w:eastAsia="Times New Roman"/>
          <w:color w:val="000000"/>
          <w:sz w:val="26"/>
          <w:szCs w:val="26"/>
        </w:rPr>
        <w:t xml:space="preserve">attempting to implement its proposals regarding </w:t>
      </w:r>
      <w:r w:rsidR="009930D3">
        <w:rPr>
          <w:rFonts w:eastAsia="Times New Roman"/>
          <w:color w:val="000000"/>
          <w:sz w:val="26"/>
          <w:szCs w:val="26"/>
        </w:rPr>
        <w:t xml:space="preserve">cost allocation and </w:t>
      </w:r>
      <w:r>
        <w:rPr>
          <w:rFonts w:eastAsia="Times New Roman"/>
          <w:color w:val="000000"/>
          <w:sz w:val="26"/>
          <w:szCs w:val="26"/>
        </w:rPr>
        <w:t>revenue assessment: (2)</w:t>
      </w:r>
      <w:r w:rsidR="00631EB0">
        <w:rPr>
          <w:rFonts w:eastAsia="Times New Roman"/>
          <w:color w:val="000000"/>
          <w:sz w:val="26"/>
          <w:szCs w:val="26"/>
        </w:rPr>
        <w:t xml:space="preserve"> </w:t>
      </w:r>
      <w:r w:rsidR="00FC1AD4">
        <w:rPr>
          <w:rFonts w:eastAsia="Times New Roman"/>
          <w:color w:val="000000"/>
          <w:sz w:val="26"/>
          <w:szCs w:val="26"/>
        </w:rPr>
        <w:t xml:space="preserve">the Commission’s authority to promulgate regulations regarding cost allocations between the interstate and intrastate TRS costs does not grant the Commission unlimited or plenary authority to assess </w:t>
      </w:r>
      <w:r w:rsidR="00FC1AD4" w:rsidRPr="006442F6">
        <w:rPr>
          <w:rFonts w:eastAsia="Times New Roman"/>
          <w:i/>
          <w:color w:val="000000"/>
          <w:sz w:val="26"/>
          <w:szCs w:val="26"/>
        </w:rPr>
        <w:t>intrastate revenues</w:t>
      </w:r>
      <w:r w:rsidR="00FC1AD4">
        <w:rPr>
          <w:rFonts w:eastAsia="Times New Roman"/>
          <w:color w:val="000000"/>
          <w:sz w:val="26"/>
          <w:szCs w:val="26"/>
        </w:rPr>
        <w:t xml:space="preserve"> for </w:t>
      </w:r>
      <w:r w:rsidR="00FC1AD4">
        <w:rPr>
          <w:rFonts w:eastAsia="Times New Roman"/>
          <w:i/>
          <w:color w:val="000000"/>
          <w:sz w:val="26"/>
          <w:szCs w:val="26"/>
        </w:rPr>
        <w:t xml:space="preserve">interstate </w:t>
      </w:r>
      <w:r w:rsidR="00FC1AD4">
        <w:rPr>
          <w:rFonts w:eastAsia="Times New Roman"/>
          <w:color w:val="000000"/>
          <w:sz w:val="26"/>
          <w:szCs w:val="26"/>
        </w:rPr>
        <w:t>TRS costs</w:t>
      </w:r>
      <w:r>
        <w:rPr>
          <w:rFonts w:eastAsia="Times New Roman"/>
          <w:color w:val="000000"/>
          <w:sz w:val="26"/>
          <w:szCs w:val="26"/>
        </w:rPr>
        <w:t>; and (3)</w:t>
      </w:r>
      <w:r w:rsidDel="00114FA9">
        <w:rPr>
          <w:rFonts w:eastAsia="Times New Roman"/>
          <w:color w:val="000000"/>
          <w:sz w:val="26"/>
          <w:szCs w:val="26"/>
        </w:rPr>
        <w:t xml:space="preserve"> </w:t>
      </w:r>
      <w:r w:rsidR="00CB34DB">
        <w:rPr>
          <w:rFonts w:eastAsia="Times New Roman"/>
          <w:color w:val="000000"/>
          <w:sz w:val="26"/>
          <w:szCs w:val="26"/>
        </w:rPr>
        <w:t xml:space="preserve">the Commission </w:t>
      </w:r>
      <w:r>
        <w:rPr>
          <w:rFonts w:eastAsia="Times New Roman"/>
          <w:color w:val="000000"/>
          <w:sz w:val="26"/>
          <w:szCs w:val="26"/>
        </w:rPr>
        <w:t xml:space="preserve">should </w:t>
      </w:r>
      <w:r w:rsidR="00CB34DB">
        <w:rPr>
          <w:rFonts w:eastAsia="Times New Roman"/>
          <w:color w:val="000000"/>
          <w:sz w:val="26"/>
          <w:szCs w:val="26"/>
        </w:rPr>
        <w:t xml:space="preserve">explicitly </w:t>
      </w:r>
      <w:r>
        <w:rPr>
          <w:rFonts w:eastAsia="Times New Roman"/>
          <w:color w:val="000000"/>
          <w:sz w:val="26"/>
          <w:szCs w:val="26"/>
        </w:rPr>
        <w:t>address the jurisdictional classification of IP-enabled services</w:t>
      </w:r>
      <w:r w:rsidR="00CE1EEB">
        <w:rPr>
          <w:rFonts w:eastAsia="Times New Roman"/>
          <w:color w:val="000000"/>
          <w:sz w:val="26"/>
          <w:szCs w:val="26"/>
        </w:rPr>
        <w:t xml:space="preserve">.  </w:t>
      </w:r>
    </w:p>
    <w:p w14:paraId="23929F55" w14:textId="77777777" w:rsidR="00CB34DB" w:rsidRDefault="00CB34DB" w:rsidP="00CB34DB">
      <w:pPr>
        <w:autoSpaceDE w:val="0"/>
        <w:autoSpaceDN w:val="0"/>
        <w:adjustRightInd w:val="0"/>
        <w:ind w:firstLine="720"/>
        <w:rPr>
          <w:sz w:val="26"/>
          <w:szCs w:val="26"/>
        </w:rPr>
      </w:pPr>
    </w:p>
    <w:p w14:paraId="4AF746B0" w14:textId="5EDC5F16" w:rsidR="00517DFA" w:rsidRPr="008E7909" w:rsidRDefault="00BF6195" w:rsidP="00CB34DB">
      <w:pPr>
        <w:autoSpaceDE w:val="0"/>
        <w:autoSpaceDN w:val="0"/>
        <w:adjustRightInd w:val="0"/>
        <w:ind w:firstLine="720"/>
        <w:rPr>
          <w:rFonts w:eastAsia="Times New Roman"/>
          <w:color w:val="000000"/>
          <w:sz w:val="26"/>
          <w:szCs w:val="26"/>
        </w:rPr>
      </w:pPr>
      <w:r>
        <w:rPr>
          <w:rFonts w:eastAsia="Times New Roman"/>
          <w:color w:val="000000"/>
          <w:sz w:val="26"/>
          <w:szCs w:val="26"/>
        </w:rPr>
        <w:t>T</w:t>
      </w:r>
      <w:r w:rsidR="009B298B" w:rsidRPr="008E7909">
        <w:rPr>
          <w:rFonts w:eastAsia="Times New Roman"/>
          <w:color w:val="000000"/>
          <w:sz w:val="26"/>
          <w:szCs w:val="26"/>
        </w:rPr>
        <w:t>he</w:t>
      </w:r>
      <w:r w:rsidR="00597FF6" w:rsidRPr="008E7909">
        <w:rPr>
          <w:rFonts w:eastAsia="Times New Roman"/>
          <w:color w:val="000000"/>
          <w:sz w:val="26"/>
          <w:szCs w:val="26"/>
        </w:rPr>
        <w:t xml:space="preserve"> Pa. PUC appreciates this opportunity to file </w:t>
      </w:r>
      <w:r w:rsidR="003C2FAC">
        <w:rPr>
          <w:rFonts w:eastAsia="Times New Roman"/>
          <w:color w:val="000000"/>
          <w:sz w:val="26"/>
          <w:szCs w:val="26"/>
        </w:rPr>
        <w:t xml:space="preserve">reply </w:t>
      </w:r>
      <w:r w:rsidR="00EF3A42" w:rsidRPr="008E7909">
        <w:rPr>
          <w:rFonts w:eastAsia="Times New Roman"/>
          <w:color w:val="000000"/>
          <w:sz w:val="26"/>
          <w:szCs w:val="26"/>
        </w:rPr>
        <w:t>c</w:t>
      </w:r>
      <w:r w:rsidR="00597FF6" w:rsidRPr="008E7909">
        <w:rPr>
          <w:rFonts w:eastAsia="Times New Roman"/>
          <w:color w:val="000000"/>
          <w:sz w:val="26"/>
          <w:szCs w:val="26"/>
        </w:rPr>
        <w:t>omments in this proceeding.</w:t>
      </w:r>
    </w:p>
    <w:p w14:paraId="6DB1C61D" w14:textId="10F24D37" w:rsidR="00FA032A" w:rsidRDefault="00FA032A" w:rsidP="00CB34DB">
      <w:pPr>
        <w:ind w:left="720"/>
        <w:textAlignment w:val="baseline"/>
        <w:rPr>
          <w:rFonts w:eastAsia="Times New Roman"/>
          <w:color w:val="000000"/>
          <w:sz w:val="26"/>
          <w:szCs w:val="26"/>
        </w:rPr>
      </w:pPr>
      <w:r w:rsidRPr="008E7909">
        <w:rPr>
          <w:rFonts w:eastAsia="Times New Roman"/>
          <w:color w:val="000000"/>
          <w:sz w:val="26"/>
          <w:szCs w:val="26"/>
        </w:rPr>
        <w:tab/>
      </w:r>
      <w:r w:rsidRPr="008E7909">
        <w:rPr>
          <w:rFonts w:eastAsia="Times New Roman"/>
          <w:color w:val="000000"/>
          <w:sz w:val="26"/>
          <w:szCs w:val="26"/>
        </w:rPr>
        <w:tab/>
      </w:r>
      <w:r w:rsidR="003C60EA">
        <w:rPr>
          <w:rFonts w:eastAsia="Times New Roman"/>
          <w:color w:val="000000"/>
          <w:sz w:val="26"/>
          <w:szCs w:val="26"/>
        </w:rPr>
        <w:tab/>
      </w:r>
      <w:r w:rsidR="00CB34DB">
        <w:rPr>
          <w:rFonts w:eastAsia="Times New Roman"/>
          <w:color w:val="000000"/>
          <w:sz w:val="26"/>
          <w:szCs w:val="26"/>
        </w:rPr>
        <w:tab/>
      </w:r>
      <w:r w:rsidR="00CB34DB">
        <w:rPr>
          <w:rFonts w:eastAsia="Times New Roman"/>
          <w:color w:val="000000"/>
          <w:sz w:val="26"/>
          <w:szCs w:val="26"/>
        </w:rPr>
        <w:tab/>
      </w:r>
      <w:r w:rsidRPr="008E7909">
        <w:rPr>
          <w:rFonts w:eastAsia="Times New Roman"/>
          <w:color w:val="000000"/>
          <w:sz w:val="26"/>
          <w:szCs w:val="26"/>
        </w:rPr>
        <w:t>Respectfully submitted,</w:t>
      </w:r>
    </w:p>
    <w:p w14:paraId="18C7E658" w14:textId="77777777" w:rsidR="00FA032A" w:rsidRPr="008E7909" w:rsidRDefault="00FA032A" w:rsidP="008E7909">
      <w:pPr>
        <w:spacing w:line="240" w:lineRule="auto"/>
        <w:textAlignment w:val="baseline"/>
        <w:rPr>
          <w:rFonts w:eastAsia="Times New Roman"/>
          <w:color w:val="000000"/>
          <w:sz w:val="26"/>
          <w:szCs w:val="26"/>
        </w:rPr>
      </w:pPr>
      <w:r w:rsidRPr="008E7909">
        <w:rPr>
          <w:rFonts w:eastAsia="Times New Roman"/>
          <w:color w:val="000000"/>
          <w:sz w:val="26"/>
          <w:szCs w:val="26"/>
        </w:rPr>
        <w:tab/>
      </w:r>
      <w:r w:rsidRPr="008E7909">
        <w:rPr>
          <w:rFonts w:eastAsia="Times New Roman"/>
          <w:color w:val="000000"/>
          <w:sz w:val="26"/>
          <w:szCs w:val="26"/>
        </w:rPr>
        <w:tab/>
      </w:r>
      <w:r w:rsidRPr="008E7909">
        <w:rPr>
          <w:rFonts w:eastAsia="Times New Roman"/>
          <w:color w:val="000000"/>
          <w:sz w:val="26"/>
          <w:szCs w:val="26"/>
        </w:rPr>
        <w:tab/>
      </w:r>
      <w:r w:rsidRPr="008E7909">
        <w:rPr>
          <w:rFonts w:eastAsia="Times New Roman"/>
          <w:color w:val="000000"/>
          <w:sz w:val="26"/>
          <w:szCs w:val="26"/>
        </w:rPr>
        <w:tab/>
      </w:r>
      <w:r w:rsidRPr="008E7909">
        <w:rPr>
          <w:rFonts w:eastAsia="Times New Roman"/>
          <w:color w:val="000000"/>
          <w:sz w:val="26"/>
          <w:szCs w:val="26"/>
        </w:rPr>
        <w:tab/>
      </w:r>
      <w:r w:rsidRPr="008E7909">
        <w:rPr>
          <w:rFonts w:eastAsia="Times New Roman"/>
          <w:color w:val="000000"/>
          <w:sz w:val="26"/>
          <w:szCs w:val="26"/>
        </w:rPr>
        <w:tab/>
      </w:r>
      <w:r w:rsidR="005A5DAF" w:rsidRPr="008E7909">
        <w:rPr>
          <w:rFonts w:eastAsia="Times New Roman"/>
          <w:color w:val="000000"/>
          <w:sz w:val="26"/>
          <w:szCs w:val="26"/>
          <w:u w:val="single"/>
        </w:rPr>
        <w:t>/s/ David E. Screven</w:t>
      </w:r>
      <w:r w:rsidRPr="008E7909">
        <w:rPr>
          <w:rFonts w:eastAsia="Times New Roman"/>
          <w:color w:val="000000"/>
          <w:sz w:val="26"/>
          <w:szCs w:val="26"/>
        </w:rPr>
        <w:t xml:space="preserve"> </w:t>
      </w:r>
    </w:p>
    <w:p w14:paraId="47DC81DB" w14:textId="77777777" w:rsidR="00FA032A" w:rsidRPr="008E7909" w:rsidRDefault="00FA032A" w:rsidP="008E7909">
      <w:pPr>
        <w:spacing w:line="240" w:lineRule="auto"/>
        <w:ind w:left="720"/>
        <w:textAlignment w:val="baseline"/>
        <w:rPr>
          <w:rFonts w:eastAsia="Times New Roman"/>
          <w:color w:val="000000"/>
          <w:sz w:val="26"/>
          <w:szCs w:val="26"/>
        </w:rPr>
      </w:pPr>
      <w:r w:rsidRPr="008E7909">
        <w:rPr>
          <w:rFonts w:eastAsia="Times New Roman"/>
          <w:color w:val="000000"/>
          <w:sz w:val="26"/>
          <w:szCs w:val="26"/>
        </w:rPr>
        <w:tab/>
      </w:r>
      <w:r w:rsidRPr="008E7909">
        <w:rPr>
          <w:rFonts w:eastAsia="Times New Roman"/>
          <w:color w:val="000000"/>
          <w:sz w:val="26"/>
          <w:szCs w:val="26"/>
        </w:rPr>
        <w:tab/>
      </w:r>
      <w:r w:rsidRPr="008E7909">
        <w:rPr>
          <w:rFonts w:eastAsia="Times New Roman"/>
          <w:color w:val="000000"/>
          <w:sz w:val="26"/>
          <w:szCs w:val="26"/>
        </w:rPr>
        <w:tab/>
      </w:r>
      <w:r w:rsidRPr="008E7909">
        <w:rPr>
          <w:rFonts w:eastAsia="Times New Roman"/>
          <w:color w:val="000000"/>
          <w:sz w:val="26"/>
          <w:szCs w:val="26"/>
        </w:rPr>
        <w:tab/>
      </w:r>
      <w:r w:rsidRPr="008E7909">
        <w:rPr>
          <w:rFonts w:eastAsia="Times New Roman"/>
          <w:color w:val="000000"/>
          <w:sz w:val="26"/>
          <w:szCs w:val="26"/>
        </w:rPr>
        <w:tab/>
        <w:t>David E. Screven</w:t>
      </w:r>
    </w:p>
    <w:p w14:paraId="716E77C3" w14:textId="77777777" w:rsidR="00FA032A" w:rsidRPr="008E7909" w:rsidRDefault="00FA032A" w:rsidP="008E7909">
      <w:pPr>
        <w:spacing w:line="240" w:lineRule="auto"/>
        <w:ind w:left="720"/>
        <w:textAlignment w:val="baseline"/>
        <w:rPr>
          <w:rFonts w:eastAsia="Times New Roman"/>
          <w:color w:val="000000"/>
          <w:sz w:val="26"/>
          <w:szCs w:val="26"/>
        </w:rPr>
      </w:pPr>
      <w:r w:rsidRPr="008E7909">
        <w:rPr>
          <w:rFonts w:eastAsia="Times New Roman"/>
          <w:color w:val="000000"/>
          <w:sz w:val="26"/>
          <w:szCs w:val="26"/>
        </w:rPr>
        <w:tab/>
      </w:r>
      <w:r w:rsidRPr="008E7909">
        <w:rPr>
          <w:rFonts w:eastAsia="Times New Roman"/>
          <w:color w:val="000000"/>
          <w:sz w:val="26"/>
          <w:szCs w:val="26"/>
        </w:rPr>
        <w:tab/>
      </w:r>
      <w:r w:rsidRPr="008E7909">
        <w:rPr>
          <w:rFonts w:eastAsia="Times New Roman"/>
          <w:color w:val="000000"/>
          <w:sz w:val="26"/>
          <w:szCs w:val="26"/>
        </w:rPr>
        <w:tab/>
      </w:r>
      <w:r w:rsidRPr="008E7909">
        <w:rPr>
          <w:rFonts w:eastAsia="Times New Roman"/>
          <w:color w:val="000000"/>
          <w:sz w:val="26"/>
          <w:szCs w:val="26"/>
        </w:rPr>
        <w:tab/>
      </w:r>
      <w:r w:rsidRPr="008E7909">
        <w:rPr>
          <w:rFonts w:eastAsia="Times New Roman"/>
          <w:color w:val="000000"/>
          <w:sz w:val="26"/>
          <w:szCs w:val="26"/>
        </w:rPr>
        <w:tab/>
        <w:t>Assistant Counsel</w:t>
      </w:r>
    </w:p>
    <w:p w14:paraId="35F55F70" w14:textId="77777777" w:rsidR="00FA032A" w:rsidRPr="008E7909" w:rsidRDefault="00FA032A" w:rsidP="008E7909">
      <w:pPr>
        <w:spacing w:line="240" w:lineRule="auto"/>
        <w:ind w:left="720"/>
        <w:textAlignment w:val="baseline"/>
        <w:rPr>
          <w:rFonts w:eastAsia="Times New Roman"/>
          <w:color w:val="000000"/>
          <w:sz w:val="26"/>
          <w:szCs w:val="26"/>
        </w:rPr>
      </w:pPr>
      <w:r w:rsidRPr="008E7909">
        <w:rPr>
          <w:rFonts w:eastAsia="Times New Roman"/>
          <w:color w:val="000000"/>
          <w:sz w:val="26"/>
          <w:szCs w:val="26"/>
        </w:rPr>
        <w:tab/>
      </w:r>
      <w:r w:rsidRPr="008E7909">
        <w:rPr>
          <w:rFonts w:eastAsia="Times New Roman"/>
          <w:color w:val="000000"/>
          <w:sz w:val="26"/>
          <w:szCs w:val="26"/>
        </w:rPr>
        <w:tab/>
      </w:r>
      <w:r w:rsidRPr="008E7909">
        <w:rPr>
          <w:rFonts w:eastAsia="Times New Roman"/>
          <w:color w:val="000000"/>
          <w:sz w:val="26"/>
          <w:szCs w:val="26"/>
        </w:rPr>
        <w:tab/>
      </w:r>
      <w:r w:rsidRPr="008E7909">
        <w:rPr>
          <w:rFonts w:eastAsia="Times New Roman"/>
          <w:color w:val="000000"/>
          <w:sz w:val="26"/>
          <w:szCs w:val="26"/>
        </w:rPr>
        <w:tab/>
      </w:r>
      <w:r w:rsidRPr="008E7909">
        <w:rPr>
          <w:rFonts w:eastAsia="Times New Roman"/>
          <w:color w:val="000000"/>
          <w:sz w:val="26"/>
          <w:szCs w:val="26"/>
        </w:rPr>
        <w:tab/>
        <w:t>Pennsylvania Public Utility Commission</w:t>
      </w:r>
    </w:p>
    <w:p w14:paraId="215B1F3C" w14:textId="77777777" w:rsidR="00FA032A" w:rsidRPr="008E7909" w:rsidRDefault="002D373F" w:rsidP="00631EB0">
      <w:pPr>
        <w:spacing w:line="240" w:lineRule="auto"/>
        <w:ind w:left="3600" w:firstLine="720"/>
        <w:textAlignment w:val="baseline"/>
        <w:rPr>
          <w:rFonts w:eastAsia="Times New Roman"/>
          <w:color w:val="000000"/>
          <w:sz w:val="26"/>
          <w:szCs w:val="26"/>
        </w:rPr>
      </w:pPr>
      <w:r w:rsidRPr="008E7909">
        <w:rPr>
          <w:rFonts w:eastAsia="Times New Roman"/>
          <w:color w:val="000000"/>
          <w:sz w:val="26"/>
          <w:szCs w:val="26"/>
        </w:rPr>
        <w:t>400 North Street</w:t>
      </w:r>
    </w:p>
    <w:p w14:paraId="3FCA0894" w14:textId="77777777" w:rsidR="002D373F" w:rsidRDefault="002D373F" w:rsidP="00631EB0">
      <w:pPr>
        <w:spacing w:line="240" w:lineRule="auto"/>
        <w:ind w:left="3600" w:firstLine="720"/>
        <w:textAlignment w:val="baseline"/>
        <w:rPr>
          <w:rFonts w:eastAsia="Times New Roman"/>
          <w:color w:val="000000"/>
          <w:sz w:val="26"/>
          <w:szCs w:val="26"/>
        </w:rPr>
      </w:pPr>
      <w:r w:rsidRPr="008E7909">
        <w:rPr>
          <w:rFonts w:eastAsia="Times New Roman"/>
          <w:color w:val="000000"/>
          <w:sz w:val="26"/>
          <w:szCs w:val="26"/>
        </w:rPr>
        <w:t>Harrisburg, PA 17120</w:t>
      </w:r>
    </w:p>
    <w:p w14:paraId="27D60850" w14:textId="77777777" w:rsidR="003C60EA" w:rsidRDefault="003C60EA" w:rsidP="00E32A9D">
      <w:pPr>
        <w:spacing w:line="240" w:lineRule="auto"/>
        <w:textAlignment w:val="baseline"/>
        <w:rPr>
          <w:rFonts w:eastAsia="Times New Roman"/>
          <w:color w:val="000000"/>
          <w:sz w:val="26"/>
          <w:szCs w:val="26"/>
        </w:rPr>
      </w:pPr>
    </w:p>
    <w:p w14:paraId="785FECAD" w14:textId="353AB246" w:rsidR="00642F70" w:rsidRDefault="00FA032A" w:rsidP="00E32A9D">
      <w:pPr>
        <w:spacing w:line="240" w:lineRule="auto"/>
        <w:textAlignment w:val="baseline"/>
        <w:rPr>
          <w:rFonts w:eastAsia="Times New Roman"/>
          <w:color w:val="000000"/>
          <w:sz w:val="26"/>
          <w:szCs w:val="26"/>
        </w:rPr>
      </w:pPr>
      <w:r w:rsidRPr="008E7909">
        <w:rPr>
          <w:rFonts w:eastAsia="Times New Roman"/>
          <w:color w:val="000000"/>
          <w:sz w:val="26"/>
          <w:szCs w:val="26"/>
        </w:rPr>
        <w:t xml:space="preserve">Dated: </w:t>
      </w:r>
      <w:r w:rsidR="003C2FAC">
        <w:rPr>
          <w:rFonts w:eastAsia="Times New Roman"/>
          <w:color w:val="000000"/>
          <w:sz w:val="26"/>
          <w:szCs w:val="26"/>
        </w:rPr>
        <w:t>October 1</w:t>
      </w:r>
      <w:r w:rsidR="00631EB0">
        <w:rPr>
          <w:rFonts w:eastAsia="Times New Roman"/>
          <w:color w:val="000000"/>
          <w:sz w:val="26"/>
          <w:szCs w:val="26"/>
        </w:rPr>
        <w:t>7</w:t>
      </w:r>
      <w:r w:rsidR="008921B1" w:rsidRPr="008E7909">
        <w:rPr>
          <w:rFonts w:eastAsia="Times New Roman"/>
          <w:color w:val="000000"/>
          <w:sz w:val="26"/>
          <w:szCs w:val="26"/>
        </w:rPr>
        <w:t>, 2018</w:t>
      </w:r>
    </w:p>
    <w:sectPr w:rsidR="00642F70" w:rsidSect="00626869">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9F426" w14:textId="77777777" w:rsidR="002C2B5F" w:rsidRDefault="002C2B5F" w:rsidP="0058414B">
      <w:r>
        <w:separator/>
      </w:r>
    </w:p>
  </w:endnote>
  <w:endnote w:type="continuationSeparator" w:id="0">
    <w:p w14:paraId="27DA0DC0" w14:textId="77777777" w:rsidR="002C2B5F" w:rsidRDefault="002C2B5F" w:rsidP="00584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entury Schoolbook">
    <w:panose1 w:val="02040604050505020304"/>
    <w:charset w:val="00"/>
    <w:family w:val="roman"/>
    <w:pitch w:val="variable"/>
    <w:sig w:usb0="00000287" w:usb1="00000000" w:usb2="00000000" w:usb3="00000000" w:csb0="0000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NewRoman,Italic">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1838225"/>
      <w:docPartObj>
        <w:docPartGallery w:val="Page Numbers (Bottom of Page)"/>
        <w:docPartUnique/>
      </w:docPartObj>
    </w:sdtPr>
    <w:sdtEndPr>
      <w:rPr>
        <w:noProof/>
      </w:rPr>
    </w:sdtEndPr>
    <w:sdtContent>
      <w:p w14:paraId="0152F9D0" w14:textId="77777777" w:rsidR="000C6DC9" w:rsidRPr="00665A1F" w:rsidRDefault="000C6DC9" w:rsidP="00665A1F">
        <w:pPr>
          <w:pStyle w:val="Footer"/>
          <w:jc w:val="center"/>
        </w:pPr>
        <w:r w:rsidRPr="00665A1F">
          <w:fldChar w:fldCharType="begin"/>
        </w:r>
        <w:r w:rsidRPr="00665A1F">
          <w:instrText xml:space="preserve"> PAGE   \* MERGEFORMAT </w:instrText>
        </w:r>
        <w:r w:rsidRPr="00665A1F">
          <w:fldChar w:fldCharType="separate"/>
        </w:r>
        <w:r w:rsidRPr="00665A1F">
          <w:rPr>
            <w:noProof/>
          </w:rPr>
          <w:t>1</w:t>
        </w:r>
        <w:r w:rsidRPr="00665A1F">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3964888"/>
      <w:docPartObj>
        <w:docPartGallery w:val="Page Numbers (Bottom of Page)"/>
        <w:docPartUnique/>
      </w:docPartObj>
    </w:sdtPr>
    <w:sdtEndPr>
      <w:rPr>
        <w:noProof/>
      </w:rPr>
    </w:sdtEndPr>
    <w:sdtContent>
      <w:p w14:paraId="04461391" w14:textId="584D7B52" w:rsidR="00FF4026" w:rsidRDefault="00FF402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BD69687" w14:textId="45B678D3" w:rsidR="00CD4038" w:rsidRDefault="00CD4038">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9198924"/>
      <w:docPartObj>
        <w:docPartGallery w:val="Page Numbers (Bottom of Page)"/>
        <w:docPartUnique/>
      </w:docPartObj>
    </w:sdtPr>
    <w:sdtEndPr>
      <w:rPr>
        <w:noProof/>
      </w:rPr>
    </w:sdtEndPr>
    <w:sdtContent>
      <w:p w14:paraId="1E87F905" w14:textId="77777777" w:rsidR="00FF4026" w:rsidRDefault="00FF402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16902D1" w14:textId="77777777" w:rsidR="00FF4026" w:rsidRDefault="00FF402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B4B574" w14:textId="77777777" w:rsidR="002C2B5F" w:rsidRDefault="002C2B5F" w:rsidP="0058414B">
      <w:r>
        <w:separator/>
      </w:r>
    </w:p>
  </w:footnote>
  <w:footnote w:type="continuationSeparator" w:id="0">
    <w:p w14:paraId="10576CB9" w14:textId="77777777" w:rsidR="002C2B5F" w:rsidRDefault="002C2B5F" w:rsidP="0058414B">
      <w:r>
        <w:continuationSeparator/>
      </w:r>
    </w:p>
  </w:footnote>
  <w:footnote w:id="1">
    <w:p w14:paraId="5949498B" w14:textId="77777777" w:rsidR="00FF4026" w:rsidRPr="003C60EA" w:rsidRDefault="00FF4026" w:rsidP="00FF4026">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Pr="003C60EA">
        <w:rPr>
          <w:i/>
          <w:iCs/>
          <w:sz w:val="22"/>
          <w:szCs w:val="22"/>
        </w:rPr>
        <w:t>Misuse of Internet Protocol (IP) Captioned Telephone Service</w:t>
      </w:r>
      <w:r w:rsidRPr="003C60EA">
        <w:rPr>
          <w:sz w:val="22"/>
          <w:szCs w:val="22"/>
        </w:rPr>
        <w:t xml:space="preserve">; </w:t>
      </w:r>
      <w:r w:rsidRPr="003C60EA">
        <w:rPr>
          <w:i/>
          <w:iCs/>
          <w:sz w:val="22"/>
          <w:szCs w:val="22"/>
        </w:rPr>
        <w:t>Telecommunications Relay Services and Speech-to-Speech Services for Individuals with Hearing and Speech Disabilities</w:t>
      </w:r>
      <w:r w:rsidRPr="003C60EA">
        <w:rPr>
          <w:sz w:val="22"/>
          <w:szCs w:val="22"/>
        </w:rPr>
        <w:t>, Report and Order, Further Notice of Proposed Rulemaking, and Notice of Inquiry, Docket Nos. CG Docket No. 13-24 and CG Docket No. 03-123, (rel. June 7, 2018) (</w:t>
      </w:r>
      <w:r w:rsidRPr="003C60EA">
        <w:rPr>
          <w:i/>
          <w:sz w:val="22"/>
          <w:szCs w:val="22"/>
        </w:rPr>
        <w:t>FNPRM</w:t>
      </w:r>
      <w:r w:rsidRPr="003C60EA">
        <w:rPr>
          <w:sz w:val="22"/>
          <w:szCs w:val="22"/>
        </w:rPr>
        <w:t>).</w:t>
      </w:r>
    </w:p>
  </w:footnote>
  <w:footnote w:id="2">
    <w:p w14:paraId="6B9747B7" w14:textId="77777777" w:rsidR="00FF4026" w:rsidRPr="003C60EA" w:rsidRDefault="00FF4026" w:rsidP="00FF4026">
      <w:pPr>
        <w:pStyle w:val="FootnoteText"/>
        <w:rPr>
          <w:sz w:val="22"/>
          <w:szCs w:val="22"/>
        </w:rPr>
      </w:pPr>
      <w:r w:rsidRPr="003C60EA">
        <w:rPr>
          <w:rStyle w:val="FootnoteReference"/>
          <w:sz w:val="22"/>
          <w:szCs w:val="22"/>
        </w:rPr>
        <w:footnoteRef/>
      </w:r>
      <w:r w:rsidRPr="003C60EA">
        <w:rPr>
          <w:sz w:val="22"/>
          <w:szCs w:val="22"/>
        </w:rPr>
        <w:t xml:space="preserve"> 83 </w:t>
      </w:r>
      <w:r w:rsidRPr="003C60EA">
        <w:rPr>
          <w:i/>
          <w:sz w:val="22"/>
          <w:szCs w:val="22"/>
        </w:rPr>
        <w:t>Fed. Reg.</w:t>
      </w:r>
      <w:r w:rsidRPr="003C60EA">
        <w:rPr>
          <w:sz w:val="22"/>
          <w:szCs w:val="22"/>
        </w:rPr>
        <w:t xml:space="preserve"> 33899.</w:t>
      </w:r>
    </w:p>
  </w:footnote>
  <w:footnote w:id="3">
    <w:p w14:paraId="74B66E8B" w14:textId="77777777" w:rsidR="000C6DC9" w:rsidRPr="003C60EA" w:rsidRDefault="000C6DC9" w:rsidP="006757F8">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Pr="003C60EA">
        <w:rPr>
          <w:i/>
          <w:iCs/>
          <w:sz w:val="22"/>
          <w:szCs w:val="22"/>
        </w:rPr>
        <w:t>Misuse of Internet Protocol (IP) Captioned Telephone Service</w:t>
      </w:r>
      <w:r w:rsidRPr="003C60EA">
        <w:rPr>
          <w:sz w:val="22"/>
          <w:szCs w:val="22"/>
        </w:rPr>
        <w:t xml:space="preserve">; </w:t>
      </w:r>
      <w:r w:rsidRPr="003C60EA">
        <w:rPr>
          <w:i/>
          <w:iCs/>
          <w:sz w:val="22"/>
          <w:szCs w:val="22"/>
        </w:rPr>
        <w:t>Telecommunications Relay Services and Speech-to-Speech Services for Individuals with Hearing and Speech Disabilities</w:t>
      </w:r>
      <w:r w:rsidRPr="003C60EA">
        <w:rPr>
          <w:sz w:val="22"/>
          <w:szCs w:val="22"/>
        </w:rPr>
        <w:t>, Report and Order, Further Notice of Proposed Rulemaking, and Notice of Inquiry, Docket Nos. CG Docket No. 13-24 and CG Docket No. 03-123, (rel. June 7, 2018) (</w:t>
      </w:r>
      <w:r w:rsidRPr="003C60EA">
        <w:rPr>
          <w:i/>
          <w:sz w:val="22"/>
          <w:szCs w:val="22"/>
        </w:rPr>
        <w:t>FNPRM</w:t>
      </w:r>
      <w:r w:rsidRPr="003C60EA">
        <w:rPr>
          <w:sz w:val="22"/>
          <w:szCs w:val="22"/>
        </w:rPr>
        <w:t>).</w:t>
      </w:r>
    </w:p>
  </w:footnote>
  <w:footnote w:id="4">
    <w:p w14:paraId="15BBC29C" w14:textId="77777777" w:rsidR="000C6DC9" w:rsidRPr="003C60EA" w:rsidRDefault="000C6DC9" w:rsidP="006757F8">
      <w:pPr>
        <w:pStyle w:val="FootnoteText"/>
        <w:rPr>
          <w:sz w:val="22"/>
          <w:szCs w:val="22"/>
        </w:rPr>
      </w:pPr>
      <w:r w:rsidRPr="003C60EA">
        <w:rPr>
          <w:rStyle w:val="FootnoteReference"/>
          <w:sz w:val="22"/>
          <w:szCs w:val="22"/>
        </w:rPr>
        <w:footnoteRef/>
      </w:r>
      <w:r w:rsidRPr="003C60EA">
        <w:rPr>
          <w:sz w:val="22"/>
          <w:szCs w:val="22"/>
        </w:rPr>
        <w:t xml:space="preserve"> 83 </w:t>
      </w:r>
      <w:r w:rsidRPr="003C60EA">
        <w:rPr>
          <w:i/>
          <w:sz w:val="22"/>
          <w:szCs w:val="22"/>
        </w:rPr>
        <w:t>Fed. Reg.</w:t>
      </w:r>
      <w:r w:rsidRPr="003C60EA">
        <w:rPr>
          <w:sz w:val="22"/>
          <w:szCs w:val="22"/>
        </w:rPr>
        <w:t xml:space="preserve"> 33899.</w:t>
      </w:r>
    </w:p>
  </w:footnote>
  <w:footnote w:id="5">
    <w:p w14:paraId="141BAD7F" w14:textId="77777777" w:rsidR="00CD4038" w:rsidRPr="003C60EA" w:rsidRDefault="00CD4038" w:rsidP="00CD4038">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Pr="003C60EA">
        <w:rPr>
          <w:i/>
          <w:iCs/>
          <w:sz w:val="22"/>
          <w:szCs w:val="22"/>
        </w:rPr>
        <w:t>Vonage Holdings Corporation Petition for Declaratory Ruling Concerning an Order of the Minnesota Public Utilities Commission</w:t>
      </w:r>
      <w:r w:rsidRPr="003C60EA">
        <w:rPr>
          <w:sz w:val="22"/>
          <w:szCs w:val="22"/>
        </w:rPr>
        <w:t>, 19 FCC Rcd 22404 (2004) (</w:t>
      </w:r>
      <w:r w:rsidRPr="003C60EA">
        <w:rPr>
          <w:i/>
          <w:iCs/>
          <w:sz w:val="22"/>
          <w:szCs w:val="22"/>
        </w:rPr>
        <w:t>Vonage Preemption Order</w:t>
      </w:r>
      <w:r w:rsidRPr="003C60EA">
        <w:rPr>
          <w:iCs/>
          <w:sz w:val="22"/>
          <w:szCs w:val="22"/>
        </w:rPr>
        <w:t>)</w:t>
      </w:r>
      <w:r w:rsidRPr="003C60EA">
        <w:rPr>
          <w:sz w:val="22"/>
          <w:szCs w:val="22"/>
        </w:rPr>
        <w:t xml:space="preserve">, </w:t>
      </w:r>
      <w:r w:rsidRPr="003C60EA">
        <w:rPr>
          <w:i/>
          <w:iCs/>
          <w:sz w:val="22"/>
          <w:szCs w:val="22"/>
        </w:rPr>
        <w:t>aff’d</w:t>
      </w:r>
      <w:r w:rsidRPr="003C60EA">
        <w:rPr>
          <w:sz w:val="22"/>
          <w:szCs w:val="22"/>
        </w:rPr>
        <w:t xml:space="preserve">, </w:t>
      </w:r>
      <w:r w:rsidRPr="003C60EA">
        <w:rPr>
          <w:i/>
          <w:iCs/>
          <w:sz w:val="22"/>
          <w:szCs w:val="22"/>
        </w:rPr>
        <w:t>Minn. Pub. Utils. Comm’n v. FCC</w:t>
      </w:r>
      <w:r w:rsidRPr="003C60EA">
        <w:rPr>
          <w:sz w:val="22"/>
          <w:szCs w:val="22"/>
        </w:rPr>
        <w:t>, 483 F.3d 570 (8th Cir. 2007) (</w:t>
      </w:r>
      <w:r w:rsidRPr="003C60EA">
        <w:rPr>
          <w:i/>
          <w:iCs/>
          <w:sz w:val="22"/>
          <w:szCs w:val="22"/>
        </w:rPr>
        <w:t>MPUC</w:t>
      </w:r>
      <w:r w:rsidRPr="003C60EA">
        <w:rPr>
          <w:sz w:val="22"/>
          <w:szCs w:val="22"/>
        </w:rPr>
        <w:t xml:space="preserve">).  </w:t>
      </w:r>
    </w:p>
  </w:footnote>
  <w:footnote w:id="6">
    <w:p w14:paraId="5F2594BD" w14:textId="77777777" w:rsidR="000C6DC9" w:rsidRPr="003C60EA" w:rsidRDefault="000C6DC9" w:rsidP="003367DE">
      <w:pPr>
        <w:pStyle w:val="FootnoteText"/>
        <w:spacing w:line="240" w:lineRule="auto"/>
        <w:rPr>
          <w:sz w:val="22"/>
          <w:szCs w:val="22"/>
        </w:rPr>
      </w:pPr>
      <w:r w:rsidRPr="003C60EA">
        <w:rPr>
          <w:rStyle w:val="FootnoteReference"/>
          <w:sz w:val="22"/>
          <w:szCs w:val="22"/>
        </w:rPr>
        <w:footnoteRef/>
      </w:r>
      <w:r w:rsidRPr="003C60EA">
        <w:rPr>
          <w:sz w:val="22"/>
          <w:szCs w:val="22"/>
        </w:rPr>
        <w:t xml:space="preserve"> ACDHH Comments at 1; </w:t>
      </w:r>
      <w:r w:rsidRPr="003C60EA">
        <w:rPr>
          <w:bCs/>
          <w:sz w:val="22"/>
          <w:szCs w:val="22"/>
        </w:rPr>
        <w:t>National Association for State Relay Administration (NASRA) Comments at 2; ITTA – The Voice Of America’s Broadband Providers Comments at 2-3.</w:t>
      </w:r>
    </w:p>
  </w:footnote>
  <w:footnote w:id="7">
    <w:p w14:paraId="3FC80E19" w14:textId="77777777" w:rsidR="000C6DC9" w:rsidRPr="003C60EA" w:rsidRDefault="000C6DC9" w:rsidP="003367DE">
      <w:pPr>
        <w:pStyle w:val="FootnoteText"/>
        <w:spacing w:line="240" w:lineRule="auto"/>
        <w:rPr>
          <w:sz w:val="22"/>
          <w:szCs w:val="22"/>
        </w:rPr>
      </w:pPr>
      <w:r w:rsidRPr="003C60EA">
        <w:rPr>
          <w:rStyle w:val="FootnoteReference"/>
          <w:sz w:val="22"/>
          <w:szCs w:val="22"/>
        </w:rPr>
        <w:footnoteRef/>
      </w:r>
      <w:r w:rsidRPr="003C60EA">
        <w:rPr>
          <w:sz w:val="22"/>
          <w:szCs w:val="22"/>
        </w:rPr>
        <w:t xml:space="preserve"> NASRA Comments at 3; NARUC Comments at 11, 13-14; Pa. PUC Comments at 11.</w:t>
      </w:r>
    </w:p>
  </w:footnote>
  <w:footnote w:id="8">
    <w:p w14:paraId="78D19D16" w14:textId="77777777" w:rsidR="000C6DC9" w:rsidRPr="003C60EA" w:rsidRDefault="000C6DC9" w:rsidP="003367DE">
      <w:pPr>
        <w:pStyle w:val="FootnoteText"/>
        <w:spacing w:line="240" w:lineRule="auto"/>
        <w:rPr>
          <w:sz w:val="22"/>
          <w:szCs w:val="22"/>
        </w:rPr>
      </w:pPr>
      <w:r w:rsidRPr="003C60EA">
        <w:rPr>
          <w:rStyle w:val="FootnoteReference"/>
          <w:sz w:val="22"/>
          <w:szCs w:val="22"/>
        </w:rPr>
        <w:footnoteRef/>
      </w:r>
      <w:r w:rsidRPr="003C60EA">
        <w:rPr>
          <w:sz w:val="22"/>
          <w:szCs w:val="22"/>
        </w:rPr>
        <w:t xml:space="preserve"> ACDHH Comments at 3.</w:t>
      </w:r>
    </w:p>
  </w:footnote>
  <w:footnote w:id="9">
    <w:p w14:paraId="1C844430" w14:textId="77777777" w:rsidR="000C6DC9" w:rsidRPr="003C60EA" w:rsidRDefault="000C6DC9" w:rsidP="003367DE">
      <w:pPr>
        <w:pStyle w:val="FootnoteText"/>
        <w:spacing w:line="240" w:lineRule="auto"/>
        <w:rPr>
          <w:sz w:val="22"/>
          <w:szCs w:val="22"/>
        </w:rPr>
      </w:pPr>
      <w:r w:rsidRPr="003C60EA">
        <w:rPr>
          <w:rStyle w:val="FootnoteReference"/>
          <w:sz w:val="22"/>
          <w:szCs w:val="22"/>
        </w:rPr>
        <w:footnoteRef/>
      </w:r>
      <w:r w:rsidRPr="003C60EA">
        <w:rPr>
          <w:sz w:val="22"/>
          <w:szCs w:val="22"/>
        </w:rPr>
        <w:t xml:space="preserve"> KCC Comments at 2.</w:t>
      </w:r>
    </w:p>
  </w:footnote>
  <w:footnote w:id="10">
    <w:p w14:paraId="1938AE32" w14:textId="77777777" w:rsidR="000C6DC9" w:rsidRPr="003C60EA" w:rsidRDefault="000C6DC9" w:rsidP="003367DE">
      <w:pPr>
        <w:pStyle w:val="FootnoteText"/>
        <w:spacing w:line="240" w:lineRule="auto"/>
        <w:rPr>
          <w:sz w:val="22"/>
          <w:szCs w:val="22"/>
        </w:rPr>
      </w:pPr>
      <w:r w:rsidRPr="003C60EA">
        <w:rPr>
          <w:rStyle w:val="FootnoteReference"/>
          <w:sz w:val="22"/>
          <w:szCs w:val="22"/>
        </w:rPr>
        <w:footnoteRef/>
      </w:r>
      <w:r w:rsidRPr="003C60EA">
        <w:rPr>
          <w:sz w:val="22"/>
          <w:szCs w:val="22"/>
        </w:rPr>
        <w:t xml:space="preserve"> ACDHH</w:t>
      </w:r>
      <w:r w:rsidR="00631EB0" w:rsidRPr="003C60EA">
        <w:rPr>
          <w:sz w:val="22"/>
          <w:szCs w:val="22"/>
        </w:rPr>
        <w:t xml:space="preserve"> </w:t>
      </w:r>
      <w:r w:rsidRPr="003C60EA">
        <w:rPr>
          <w:sz w:val="22"/>
          <w:szCs w:val="22"/>
        </w:rPr>
        <w:t xml:space="preserve">Comments at 2, 3-4. </w:t>
      </w:r>
    </w:p>
  </w:footnote>
  <w:footnote w:id="11">
    <w:p w14:paraId="2E7F75F4" w14:textId="77777777" w:rsidR="000C6DC9" w:rsidRPr="003C60EA" w:rsidRDefault="000C6DC9" w:rsidP="00E20FF2">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00114FA9" w:rsidRPr="003C60EA">
        <w:rPr>
          <w:sz w:val="22"/>
          <w:szCs w:val="22"/>
        </w:rPr>
        <w:t>See joint comments of the Hearing Loss Association of America, Telecommunications for the Deaf and Hard of Hearing, Inc., the National Association of the Deaf, the Association of Late-Deafened Adults, the Cerebral Palsy and Deaf Organization, the American Association of the Deaf-Blind, Deaf Seniors of America, the California Coalition of Agencies Serving the Deaf and Hard of Hearing, Inc., and the Deaf and Hard of Hearing Consumer Advocacy Network; and the comments of the Deaf/Hard of Hearing Technology Rehabilitation Engineering Research Center and the Rehabilitation Engineering Research Center on Universal Interface &amp; Information Technology Access</w:t>
      </w:r>
      <w:r w:rsidRPr="003C60EA">
        <w:rPr>
          <w:sz w:val="22"/>
          <w:szCs w:val="22"/>
        </w:rPr>
        <w:t>.</w:t>
      </w:r>
    </w:p>
  </w:footnote>
  <w:footnote w:id="12">
    <w:p w14:paraId="6ADCD78C" w14:textId="77777777" w:rsidR="000C6DC9" w:rsidRPr="003C60EA" w:rsidRDefault="000C6DC9" w:rsidP="00CD4038">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Pr="003C60EA">
        <w:rPr>
          <w:i/>
          <w:sz w:val="22"/>
          <w:szCs w:val="22"/>
        </w:rPr>
        <w:t>Id.</w:t>
      </w:r>
    </w:p>
  </w:footnote>
  <w:footnote w:id="13">
    <w:p w14:paraId="354601C2" w14:textId="77777777" w:rsidR="000C6DC9" w:rsidRPr="003C60EA" w:rsidRDefault="000C6DC9" w:rsidP="00E20FF2">
      <w:pPr>
        <w:pStyle w:val="FootnoteText"/>
        <w:spacing w:line="240" w:lineRule="auto"/>
        <w:rPr>
          <w:sz w:val="22"/>
          <w:szCs w:val="22"/>
        </w:rPr>
      </w:pPr>
      <w:r w:rsidRPr="003C60EA">
        <w:rPr>
          <w:rStyle w:val="FootnoteReference"/>
          <w:sz w:val="22"/>
          <w:szCs w:val="22"/>
        </w:rPr>
        <w:footnoteRef/>
      </w:r>
      <w:r w:rsidRPr="003C60EA">
        <w:rPr>
          <w:sz w:val="22"/>
          <w:szCs w:val="22"/>
        </w:rPr>
        <w:t xml:space="preserve"> CPUC Comments at 5-7; NARUC Comments at 15-17; NASRA Comments at 3.</w:t>
      </w:r>
    </w:p>
  </w:footnote>
  <w:footnote w:id="14">
    <w:p w14:paraId="59BE3888" w14:textId="77777777" w:rsidR="00114FA9" w:rsidRPr="003C60EA" w:rsidRDefault="00114FA9" w:rsidP="00422697">
      <w:pPr>
        <w:pStyle w:val="FootnoteText"/>
        <w:spacing w:line="240" w:lineRule="auto"/>
        <w:rPr>
          <w:sz w:val="22"/>
          <w:szCs w:val="22"/>
        </w:rPr>
      </w:pPr>
      <w:r w:rsidRPr="003C60EA">
        <w:rPr>
          <w:rStyle w:val="FootnoteReference"/>
          <w:sz w:val="22"/>
          <w:szCs w:val="22"/>
        </w:rPr>
        <w:footnoteRef/>
      </w:r>
      <w:r w:rsidRPr="003C60EA">
        <w:rPr>
          <w:sz w:val="22"/>
          <w:szCs w:val="22"/>
        </w:rPr>
        <w:t xml:space="preserve"> Pa. PUC Comments at 9-10.</w:t>
      </w:r>
    </w:p>
  </w:footnote>
  <w:footnote w:id="15">
    <w:p w14:paraId="718B9710" w14:textId="77777777" w:rsidR="00114FA9" w:rsidRPr="003C60EA" w:rsidRDefault="00114FA9" w:rsidP="00422697">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Pr="003C60EA">
        <w:rPr>
          <w:i/>
          <w:sz w:val="22"/>
          <w:szCs w:val="22"/>
        </w:rPr>
        <w:t>See, e.g.</w:t>
      </w:r>
      <w:r w:rsidRPr="003C60EA">
        <w:rPr>
          <w:sz w:val="22"/>
          <w:szCs w:val="22"/>
        </w:rPr>
        <w:t>, NARUC Comments at 15-16.</w:t>
      </w:r>
    </w:p>
  </w:footnote>
  <w:footnote w:id="16">
    <w:p w14:paraId="132F42F7" w14:textId="77777777" w:rsidR="000C6DC9" w:rsidRPr="003C60EA" w:rsidRDefault="000C6DC9" w:rsidP="003367DE">
      <w:pPr>
        <w:pStyle w:val="FootnoteText"/>
        <w:spacing w:line="240" w:lineRule="auto"/>
        <w:rPr>
          <w:sz w:val="22"/>
          <w:szCs w:val="22"/>
        </w:rPr>
      </w:pPr>
      <w:r w:rsidRPr="003C60EA">
        <w:rPr>
          <w:rStyle w:val="FootnoteReference"/>
          <w:sz w:val="22"/>
          <w:szCs w:val="22"/>
        </w:rPr>
        <w:footnoteRef/>
      </w:r>
      <w:r w:rsidRPr="003C60EA">
        <w:rPr>
          <w:sz w:val="22"/>
          <w:szCs w:val="22"/>
        </w:rPr>
        <w:t xml:space="preserve"> 47 U.S.C. § 152(a).</w:t>
      </w:r>
    </w:p>
  </w:footnote>
  <w:footnote w:id="17">
    <w:p w14:paraId="1728C4D7" w14:textId="77777777" w:rsidR="000C6DC9" w:rsidRPr="003C60EA" w:rsidRDefault="000C6DC9" w:rsidP="003367DE">
      <w:pPr>
        <w:pStyle w:val="FootnoteText"/>
        <w:spacing w:line="240" w:lineRule="auto"/>
        <w:rPr>
          <w:sz w:val="22"/>
          <w:szCs w:val="22"/>
        </w:rPr>
      </w:pPr>
      <w:r w:rsidRPr="003C60EA">
        <w:rPr>
          <w:rStyle w:val="FootnoteReference"/>
          <w:sz w:val="22"/>
          <w:szCs w:val="22"/>
        </w:rPr>
        <w:footnoteRef/>
      </w:r>
      <w:r w:rsidRPr="003C60EA">
        <w:rPr>
          <w:sz w:val="22"/>
          <w:szCs w:val="22"/>
        </w:rPr>
        <w:t xml:space="preserve"> 47 U.S.C. § 152(b)</w:t>
      </w:r>
      <w:r w:rsidR="00631EB0" w:rsidRPr="003C60EA">
        <w:rPr>
          <w:sz w:val="22"/>
          <w:szCs w:val="22"/>
        </w:rPr>
        <w:t xml:space="preserve"> (emphasis added)</w:t>
      </w:r>
      <w:r w:rsidRPr="003C60EA">
        <w:rPr>
          <w:sz w:val="22"/>
          <w:szCs w:val="22"/>
        </w:rPr>
        <w:t>.</w:t>
      </w:r>
    </w:p>
  </w:footnote>
  <w:footnote w:id="18">
    <w:p w14:paraId="12142E0C" w14:textId="77777777" w:rsidR="00631EB0" w:rsidRPr="003C60EA" w:rsidRDefault="00631EB0" w:rsidP="003367DE">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Pr="003C60EA">
        <w:rPr>
          <w:i/>
          <w:sz w:val="22"/>
          <w:szCs w:val="22"/>
        </w:rPr>
        <w:t>Id</w:t>
      </w:r>
      <w:r w:rsidRPr="003C60EA">
        <w:rPr>
          <w:sz w:val="22"/>
          <w:szCs w:val="22"/>
        </w:rPr>
        <w:t>.</w:t>
      </w:r>
    </w:p>
  </w:footnote>
  <w:footnote w:id="19">
    <w:p w14:paraId="2B372FD8" w14:textId="77777777" w:rsidR="000C6DC9" w:rsidRPr="003C60EA" w:rsidRDefault="000C6DC9" w:rsidP="003367DE">
      <w:pPr>
        <w:pStyle w:val="FootnoteText"/>
        <w:spacing w:line="240" w:lineRule="auto"/>
        <w:rPr>
          <w:sz w:val="22"/>
          <w:szCs w:val="22"/>
        </w:rPr>
      </w:pPr>
      <w:r w:rsidRPr="003C60EA">
        <w:rPr>
          <w:rStyle w:val="FootnoteReference"/>
          <w:sz w:val="22"/>
          <w:szCs w:val="22"/>
        </w:rPr>
        <w:footnoteRef/>
      </w:r>
      <w:r w:rsidR="00631EB0" w:rsidRPr="003C60EA">
        <w:rPr>
          <w:sz w:val="22"/>
          <w:szCs w:val="22"/>
        </w:rPr>
        <w:t xml:space="preserve"> 47 U.S.C</w:t>
      </w:r>
      <w:r w:rsidRPr="003C60EA">
        <w:rPr>
          <w:sz w:val="22"/>
          <w:szCs w:val="22"/>
        </w:rPr>
        <w:t>.</w:t>
      </w:r>
      <w:r w:rsidR="00631EB0" w:rsidRPr="003C60EA">
        <w:rPr>
          <w:sz w:val="22"/>
          <w:szCs w:val="22"/>
        </w:rPr>
        <w:t xml:space="preserve"> § 225(b)(1).</w:t>
      </w:r>
    </w:p>
  </w:footnote>
  <w:footnote w:id="20">
    <w:p w14:paraId="7F332EC2" w14:textId="77777777" w:rsidR="000C6DC9" w:rsidRPr="003C60EA" w:rsidRDefault="000C6DC9" w:rsidP="003367DE">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Pr="003C60EA">
        <w:rPr>
          <w:i/>
          <w:iCs/>
          <w:sz w:val="22"/>
          <w:szCs w:val="22"/>
        </w:rPr>
        <w:t>AT&amp;T Corp. v. Iowa Utils. Bd.</w:t>
      </w:r>
      <w:r w:rsidRPr="003C60EA">
        <w:rPr>
          <w:sz w:val="22"/>
          <w:szCs w:val="22"/>
        </w:rPr>
        <w:t xml:space="preserve">, 525 U.S. 366, 377–83 (1999) (holding that the FCC may prescribe rules governing intrastate communications when implementing provisions added by the Telecommunications Act of 1996); </w:t>
      </w:r>
      <w:r w:rsidRPr="003C60EA">
        <w:rPr>
          <w:i/>
          <w:iCs/>
          <w:sz w:val="22"/>
          <w:szCs w:val="22"/>
        </w:rPr>
        <w:t>Sw. Bell Tel. Co. v. Connect Commc’ns Corp.</w:t>
      </w:r>
      <w:r w:rsidRPr="003C60EA">
        <w:rPr>
          <w:sz w:val="22"/>
          <w:szCs w:val="22"/>
        </w:rPr>
        <w:t>, 225 F.3d 942, 948 (8th Cir. 2000).</w:t>
      </w:r>
    </w:p>
  </w:footnote>
  <w:footnote w:id="21">
    <w:p w14:paraId="6995B8A4" w14:textId="76CC229A" w:rsidR="000C6DC9" w:rsidRPr="003C60EA" w:rsidRDefault="000C6DC9" w:rsidP="00422697">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Pr="003C60EA">
        <w:rPr>
          <w:i/>
          <w:iCs/>
          <w:sz w:val="22"/>
          <w:szCs w:val="22"/>
        </w:rPr>
        <w:t xml:space="preserve">See </w:t>
      </w:r>
      <w:r w:rsidRPr="003C60EA">
        <w:rPr>
          <w:sz w:val="22"/>
          <w:szCs w:val="22"/>
        </w:rPr>
        <w:t xml:space="preserve">47 C.F.R. § 64.604(a)-(c); </w:t>
      </w:r>
      <w:r w:rsidRPr="003C60EA">
        <w:rPr>
          <w:i/>
          <w:iCs/>
          <w:sz w:val="22"/>
          <w:szCs w:val="22"/>
        </w:rPr>
        <w:t>see also</w:t>
      </w:r>
      <w:r w:rsidR="003C60EA" w:rsidRPr="003C60EA">
        <w:rPr>
          <w:i/>
          <w:iCs/>
          <w:sz w:val="22"/>
          <w:szCs w:val="22"/>
        </w:rPr>
        <w:t xml:space="preserve"> </w:t>
      </w:r>
      <w:r w:rsidR="003C60EA" w:rsidRPr="003C60EA">
        <w:rPr>
          <w:bCs/>
          <w:i/>
          <w:iCs/>
          <w:sz w:val="22"/>
          <w:szCs w:val="22"/>
          <w:lang w:val="en"/>
        </w:rPr>
        <w:t>In the Matter of Telecommunications Services for Individuals with Hearings and Speech Disabilities and the Americans with Disabilities Act of 1990, (Report and Order and Request for Comments), 6 FCC Rcd 4657(</w:t>
      </w:r>
      <w:r w:rsidRPr="003C60EA">
        <w:rPr>
          <w:i/>
          <w:iCs/>
          <w:sz w:val="22"/>
          <w:szCs w:val="22"/>
        </w:rPr>
        <w:t>First TRS Report and Order</w:t>
      </w:r>
      <w:r w:rsidR="003C60EA" w:rsidRPr="003C60EA">
        <w:rPr>
          <w:i/>
          <w:iCs/>
          <w:sz w:val="22"/>
          <w:szCs w:val="22"/>
        </w:rPr>
        <w:t>).</w:t>
      </w:r>
    </w:p>
  </w:footnote>
  <w:footnote w:id="22">
    <w:p w14:paraId="2FD968A2" w14:textId="77777777" w:rsidR="000C6DC9" w:rsidRPr="003C60EA" w:rsidRDefault="000C6DC9" w:rsidP="00422697">
      <w:pPr>
        <w:pStyle w:val="FootnoteText"/>
        <w:spacing w:line="240" w:lineRule="auto"/>
        <w:rPr>
          <w:sz w:val="22"/>
          <w:szCs w:val="22"/>
        </w:rPr>
      </w:pPr>
      <w:r w:rsidRPr="003C60EA">
        <w:rPr>
          <w:rStyle w:val="FootnoteReference"/>
          <w:sz w:val="22"/>
          <w:szCs w:val="22"/>
        </w:rPr>
        <w:footnoteRef/>
      </w:r>
      <w:r w:rsidRPr="003C60EA">
        <w:rPr>
          <w:sz w:val="22"/>
          <w:szCs w:val="22"/>
        </w:rPr>
        <w:t xml:space="preserve"> 47 U.S.C. § 225(d)(3).</w:t>
      </w:r>
    </w:p>
  </w:footnote>
  <w:footnote w:id="23">
    <w:p w14:paraId="3F0896EE" w14:textId="42DC841F" w:rsidR="00422697" w:rsidRPr="003C60EA" w:rsidRDefault="00422697" w:rsidP="00CD4038">
      <w:pPr>
        <w:pStyle w:val="FootnoteText"/>
        <w:spacing w:line="240" w:lineRule="auto"/>
        <w:rPr>
          <w:sz w:val="22"/>
          <w:szCs w:val="22"/>
        </w:rPr>
      </w:pPr>
      <w:r w:rsidRPr="003C60EA">
        <w:rPr>
          <w:rStyle w:val="FootnoteReference"/>
          <w:sz w:val="22"/>
          <w:szCs w:val="22"/>
        </w:rPr>
        <w:footnoteRef/>
      </w:r>
      <w:r w:rsidRPr="003C60EA">
        <w:rPr>
          <w:sz w:val="22"/>
          <w:szCs w:val="22"/>
        </w:rPr>
        <w:t xml:space="preserve"> 47 U.S.C. § 225(d)(3)(B).</w:t>
      </w:r>
    </w:p>
  </w:footnote>
  <w:footnote w:id="24">
    <w:p w14:paraId="428FEEC3" w14:textId="77777777" w:rsidR="000C6DC9" w:rsidRPr="003C60EA" w:rsidRDefault="000C6DC9" w:rsidP="00422697">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Pr="003C60EA">
        <w:rPr>
          <w:i/>
          <w:iCs/>
          <w:sz w:val="22"/>
          <w:szCs w:val="22"/>
        </w:rPr>
        <w:t xml:space="preserve">See </w:t>
      </w:r>
      <w:r w:rsidRPr="003C60EA">
        <w:rPr>
          <w:sz w:val="22"/>
          <w:szCs w:val="22"/>
        </w:rPr>
        <w:t xml:space="preserve">47 U.S.C. § 152(b) (“[C]harges, classifications, practices, services, facilities, or regulations for or in connection with intrastate communication service” fall under state jurisdiction, “[e]xcept as otherwise provided” under certain provisions administered by the FCC).  </w:t>
      </w:r>
    </w:p>
  </w:footnote>
  <w:footnote w:id="25">
    <w:p w14:paraId="26C77580" w14:textId="77777777" w:rsidR="000C6DC9" w:rsidRPr="003C60EA" w:rsidRDefault="000C6DC9" w:rsidP="003367DE">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Pr="003C60EA">
        <w:rPr>
          <w:i/>
          <w:iCs/>
          <w:sz w:val="22"/>
          <w:szCs w:val="22"/>
        </w:rPr>
        <w:t>See Telecommunications Relay Service, and the Americans with Disabilities Act of 1990</w:t>
      </w:r>
      <w:r w:rsidRPr="003C60EA">
        <w:rPr>
          <w:sz w:val="22"/>
          <w:szCs w:val="22"/>
        </w:rPr>
        <w:t xml:space="preserve">, CC Docket No. 90-571, Third Report and Order and Further Notice of Proposed Rulemaking, 8 FCC Rcd 5300 n.34 (1993).     </w:t>
      </w:r>
    </w:p>
  </w:footnote>
  <w:footnote w:id="26">
    <w:p w14:paraId="4CF36DFD" w14:textId="2ED8CE0D" w:rsidR="000C6DC9" w:rsidRPr="003C60EA" w:rsidRDefault="000C6DC9" w:rsidP="00422697">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Pr="003C60EA">
        <w:rPr>
          <w:sz w:val="22"/>
          <w:szCs w:val="22"/>
          <w:lang w:val="en"/>
        </w:rPr>
        <w:t xml:space="preserve">The federal TRS cost recovery rules require all interstate telecommunications services providers and VoIP service providers, including both interconnected services and non-interconnected VoIP services, to contribute to the Interstate Telecommunications Relay Services Fund (TRS Fund).  </w:t>
      </w:r>
      <w:r w:rsidRPr="003C60EA">
        <w:rPr>
          <w:sz w:val="22"/>
          <w:szCs w:val="22"/>
        </w:rPr>
        <w:t>47 C.F.R. §</w:t>
      </w:r>
      <w:r w:rsidR="003367DE" w:rsidRPr="003C60EA">
        <w:rPr>
          <w:sz w:val="22"/>
          <w:szCs w:val="22"/>
        </w:rPr>
        <w:t> </w:t>
      </w:r>
      <w:r w:rsidRPr="003C60EA">
        <w:rPr>
          <w:sz w:val="22"/>
          <w:szCs w:val="22"/>
        </w:rPr>
        <w:t xml:space="preserve">64.604(c)(5)(iii)(A).  </w:t>
      </w:r>
      <w:r w:rsidRPr="003C60EA">
        <w:rPr>
          <w:sz w:val="22"/>
          <w:szCs w:val="22"/>
          <w:lang w:val="en"/>
        </w:rPr>
        <w:t xml:space="preserve">The amount of their contribution to the TRS Fund </w:t>
      </w:r>
      <w:r w:rsidRPr="003C60EA">
        <w:rPr>
          <w:sz w:val="22"/>
          <w:szCs w:val="22"/>
        </w:rPr>
        <w:t>is the product of the carrier’s gross interstate revenues for the previous year and a contribution factor determined annually by the Commission.  47 C.F.R. § 64.604(c)(</w:t>
      </w:r>
      <w:r w:rsidR="00D21A6D" w:rsidRPr="003C60EA">
        <w:rPr>
          <w:sz w:val="22"/>
          <w:szCs w:val="22"/>
        </w:rPr>
        <w:t>5</w:t>
      </w:r>
      <w:r w:rsidRPr="003C60EA">
        <w:rPr>
          <w:sz w:val="22"/>
          <w:szCs w:val="22"/>
        </w:rPr>
        <w:t>)(iii)(B).</w:t>
      </w:r>
      <w:r w:rsidRPr="003C60EA">
        <w:rPr>
          <w:sz w:val="22"/>
          <w:szCs w:val="22"/>
          <w:lang w:val="en"/>
        </w:rPr>
        <w:t xml:space="preserve">  </w:t>
      </w:r>
      <w:r w:rsidRPr="003C60EA">
        <w:rPr>
          <w:sz w:val="22"/>
          <w:szCs w:val="22"/>
        </w:rPr>
        <w:t>The Interstate TRS Fund, in turn, compensates eligible TRS providers for their reasonable costs of providing TRS.  47 C.F.R. §</w:t>
      </w:r>
      <w:r w:rsidR="00114FA9" w:rsidRPr="003C60EA">
        <w:rPr>
          <w:sz w:val="22"/>
          <w:szCs w:val="22"/>
        </w:rPr>
        <w:t> </w:t>
      </w:r>
      <w:r w:rsidRPr="003C60EA">
        <w:rPr>
          <w:sz w:val="22"/>
          <w:szCs w:val="22"/>
        </w:rPr>
        <w:t>64.604(c)(</w:t>
      </w:r>
      <w:r w:rsidR="00D21A6D" w:rsidRPr="003C60EA">
        <w:rPr>
          <w:sz w:val="22"/>
          <w:szCs w:val="22"/>
        </w:rPr>
        <w:t>5</w:t>
      </w:r>
      <w:r w:rsidRPr="003C60EA">
        <w:rPr>
          <w:sz w:val="22"/>
          <w:szCs w:val="22"/>
        </w:rPr>
        <w:t xml:space="preserve">)(iii)(E).  Thus, with respect to </w:t>
      </w:r>
      <w:r w:rsidRPr="003C60EA">
        <w:rPr>
          <w:i/>
          <w:iCs/>
          <w:sz w:val="22"/>
          <w:szCs w:val="22"/>
        </w:rPr>
        <w:t xml:space="preserve">interstate </w:t>
      </w:r>
      <w:r w:rsidRPr="003C60EA">
        <w:rPr>
          <w:sz w:val="22"/>
          <w:szCs w:val="22"/>
        </w:rPr>
        <w:t xml:space="preserve">TRS, there are two components to the cost recovery framework set forth in the Commission’s rules: (1) collecting contributions currently from telecommunications carriers and providers of interconnected VoIP services based upon their interstate revenues, which are then put into the TRS Fund; and (2) compensating eligible TRS providers from the TRS Fund for the costs of providing eligible TRS services.  </w:t>
      </w:r>
    </w:p>
  </w:footnote>
  <w:footnote w:id="27">
    <w:p w14:paraId="31CF6F7C" w14:textId="5BD66631" w:rsidR="00114FA9" w:rsidRPr="003C60EA" w:rsidRDefault="00114FA9" w:rsidP="00422697">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Pr="003C60EA">
        <w:rPr>
          <w:i/>
          <w:iCs/>
          <w:sz w:val="22"/>
          <w:szCs w:val="22"/>
        </w:rPr>
        <w:t>See</w:t>
      </w:r>
      <w:r w:rsidRPr="003C60EA">
        <w:rPr>
          <w:sz w:val="22"/>
          <w:szCs w:val="22"/>
        </w:rPr>
        <w:t xml:space="preserve"> 47 U.S.C. § 225(d)(3)</w:t>
      </w:r>
      <w:r w:rsidR="00D21A6D" w:rsidRPr="003C60EA">
        <w:rPr>
          <w:sz w:val="22"/>
          <w:szCs w:val="22"/>
        </w:rPr>
        <w:t>(B)</w:t>
      </w:r>
      <w:r w:rsidRPr="003C60EA">
        <w:rPr>
          <w:sz w:val="22"/>
          <w:szCs w:val="22"/>
        </w:rPr>
        <w:t>; 47 C.F.R. § 64.604(c)(5).</w:t>
      </w:r>
    </w:p>
  </w:footnote>
  <w:footnote w:id="28">
    <w:p w14:paraId="6EA5F474" w14:textId="68EDBC87" w:rsidR="00422697" w:rsidRPr="003C60EA" w:rsidRDefault="00422697" w:rsidP="00CD4038">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00D21A6D" w:rsidRPr="003C60EA">
        <w:rPr>
          <w:sz w:val="22"/>
          <w:szCs w:val="22"/>
        </w:rPr>
        <w:t>47 C.F.R. 64.604(c)(5)(ii).</w:t>
      </w:r>
    </w:p>
  </w:footnote>
  <w:footnote w:id="29">
    <w:p w14:paraId="2D21884B" w14:textId="4E659500" w:rsidR="000C6DC9" w:rsidRPr="003C60EA" w:rsidRDefault="000C6DC9" w:rsidP="00316773">
      <w:pPr>
        <w:pStyle w:val="FootnoteText"/>
        <w:spacing w:line="240" w:lineRule="auto"/>
        <w:rPr>
          <w:sz w:val="22"/>
          <w:szCs w:val="22"/>
        </w:rPr>
      </w:pPr>
      <w:r w:rsidRPr="003C60EA">
        <w:rPr>
          <w:rStyle w:val="FootnoteReference"/>
          <w:sz w:val="22"/>
          <w:szCs w:val="22"/>
        </w:rPr>
        <w:footnoteRef/>
      </w:r>
      <w:r w:rsidRPr="003C60EA">
        <w:rPr>
          <w:sz w:val="22"/>
          <w:szCs w:val="22"/>
        </w:rPr>
        <w:t xml:space="preserve"> Unlike other states, the Pennsylvania state legislature enacted the Voice-over-Internet</w:t>
      </w:r>
      <w:r w:rsidR="00114FA9" w:rsidRPr="003C60EA">
        <w:rPr>
          <w:sz w:val="22"/>
          <w:szCs w:val="22"/>
        </w:rPr>
        <w:t>-</w:t>
      </w:r>
      <w:r w:rsidRPr="003C60EA">
        <w:rPr>
          <w:sz w:val="22"/>
          <w:szCs w:val="22"/>
        </w:rPr>
        <w:t xml:space="preserve">Protocol Freedom Act that has given the Pa. PUC the statutory authority to impose a monthly surcharge on VoIP service providers for TRS purposes.  </w:t>
      </w:r>
      <w:r w:rsidRPr="003C60EA">
        <w:rPr>
          <w:i/>
          <w:sz w:val="22"/>
          <w:szCs w:val="22"/>
        </w:rPr>
        <w:t>See</w:t>
      </w:r>
      <w:r w:rsidRPr="003C60EA">
        <w:rPr>
          <w:sz w:val="22"/>
          <w:szCs w:val="22"/>
        </w:rPr>
        <w:t xml:space="preserve"> 73 P.S. § 2251.6(1)(ii).</w:t>
      </w:r>
    </w:p>
  </w:footnote>
  <w:footnote w:id="30">
    <w:p w14:paraId="7A765E1D" w14:textId="77777777" w:rsidR="00114FA9" w:rsidRPr="003C60EA" w:rsidRDefault="00114FA9" w:rsidP="003367DE">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Pr="003C60EA">
        <w:rPr>
          <w:i/>
          <w:sz w:val="22"/>
          <w:szCs w:val="22"/>
        </w:rPr>
        <w:t>In the Matter of Universal Service Contribution Methodology Petition of Nebraska Public Service Commission and Kansas Corporation Commission for Declaratory Ruling or, in the Alternative, Adoption of Rule Declaring that State Universal Service Funds May Assess Nomadic VoIP Intrastate Revenues</w:t>
      </w:r>
      <w:r w:rsidRPr="003C60EA">
        <w:rPr>
          <w:sz w:val="22"/>
          <w:szCs w:val="22"/>
        </w:rPr>
        <w:t>, 25 FCC Rcd 15651 (2010) (</w:t>
      </w:r>
      <w:r w:rsidRPr="003C60EA">
        <w:rPr>
          <w:i/>
          <w:sz w:val="22"/>
          <w:szCs w:val="22"/>
        </w:rPr>
        <w:t>Kansas/Nebraska State USF Contribution Declaratory Ruling</w:t>
      </w:r>
      <w:r w:rsidRPr="003C60EA">
        <w:rPr>
          <w:sz w:val="22"/>
          <w:szCs w:val="22"/>
        </w:rPr>
        <w:t>).</w:t>
      </w:r>
    </w:p>
  </w:footnote>
  <w:footnote w:id="31">
    <w:p w14:paraId="2A057992" w14:textId="77777777" w:rsidR="00631EB0" w:rsidRPr="003C60EA" w:rsidRDefault="000C6DC9" w:rsidP="003367DE">
      <w:pPr>
        <w:pStyle w:val="FootnoteText"/>
        <w:spacing w:line="240" w:lineRule="auto"/>
        <w:rPr>
          <w:i/>
          <w:sz w:val="22"/>
          <w:szCs w:val="22"/>
        </w:rPr>
      </w:pPr>
      <w:r w:rsidRPr="003C60EA">
        <w:rPr>
          <w:rStyle w:val="FootnoteReference"/>
          <w:sz w:val="22"/>
          <w:szCs w:val="22"/>
        </w:rPr>
        <w:footnoteRef/>
      </w:r>
      <w:r w:rsidRPr="003C60EA">
        <w:rPr>
          <w:sz w:val="22"/>
          <w:szCs w:val="22"/>
        </w:rPr>
        <w:t xml:space="preserve"> </w:t>
      </w:r>
      <w:r w:rsidRPr="003C60EA">
        <w:rPr>
          <w:i/>
          <w:sz w:val="22"/>
          <w:szCs w:val="22"/>
        </w:rPr>
        <w:t>See Minnesota Pub. Utilities Comm’n v. FCC</w:t>
      </w:r>
      <w:r w:rsidRPr="003C60EA">
        <w:rPr>
          <w:sz w:val="22"/>
          <w:szCs w:val="22"/>
        </w:rPr>
        <w:t>, 483 F.3d 570, 580 (8th Cir. 2007)</w:t>
      </w:r>
      <w:r w:rsidRPr="003C60EA">
        <w:rPr>
          <w:i/>
          <w:sz w:val="22"/>
          <w:szCs w:val="22"/>
        </w:rPr>
        <w:t xml:space="preserve">; see also </w:t>
      </w:r>
      <w:r w:rsidRPr="003C60EA">
        <w:rPr>
          <w:sz w:val="22"/>
          <w:szCs w:val="22"/>
        </w:rPr>
        <w:t>47 C.F.R. §</w:t>
      </w:r>
      <w:r w:rsidR="00114FA9" w:rsidRPr="003C60EA">
        <w:rPr>
          <w:sz w:val="22"/>
          <w:szCs w:val="22"/>
        </w:rPr>
        <w:t> </w:t>
      </w:r>
      <w:r w:rsidRPr="003C60EA">
        <w:rPr>
          <w:sz w:val="22"/>
          <w:szCs w:val="22"/>
        </w:rPr>
        <w:t>64.702</w:t>
      </w:r>
      <w:r w:rsidRPr="003C60EA">
        <w:rPr>
          <w:i/>
          <w:sz w:val="22"/>
          <w:szCs w:val="22"/>
        </w:rPr>
        <w:t>.</w:t>
      </w:r>
    </w:p>
  </w:footnote>
  <w:footnote w:id="32">
    <w:p w14:paraId="2F159368" w14:textId="77777777" w:rsidR="000C6DC9" w:rsidRPr="003C60EA" w:rsidRDefault="000C6DC9" w:rsidP="003367DE">
      <w:pPr>
        <w:pStyle w:val="FootnoteText"/>
        <w:spacing w:line="240" w:lineRule="auto"/>
        <w:rPr>
          <w:sz w:val="22"/>
          <w:szCs w:val="22"/>
        </w:rPr>
      </w:pPr>
      <w:r w:rsidRPr="003C60EA">
        <w:rPr>
          <w:rStyle w:val="FootnoteReference"/>
          <w:sz w:val="22"/>
          <w:szCs w:val="22"/>
        </w:rPr>
        <w:footnoteRef/>
      </w:r>
      <w:r w:rsidRPr="003C60EA">
        <w:rPr>
          <w:sz w:val="22"/>
          <w:szCs w:val="22"/>
        </w:rPr>
        <w:t xml:space="preserve"> NARUC Comments at 16.</w:t>
      </w:r>
    </w:p>
  </w:footnote>
  <w:footnote w:id="33">
    <w:p w14:paraId="3E0E9315" w14:textId="77777777" w:rsidR="000C6DC9" w:rsidRPr="003C60EA" w:rsidRDefault="000C6DC9" w:rsidP="003367DE">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Pr="003C60EA">
        <w:rPr>
          <w:i/>
          <w:iCs/>
          <w:sz w:val="22"/>
          <w:szCs w:val="22"/>
        </w:rPr>
        <w:t>Vonage</w:t>
      </w:r>
      <w:r w:rsidRPr="003C60EA">
        <w:rPr>
          <w:sz w:val="22"/>
          <w:szCs w:val="22"/>
        </w:rPr>
        <w:t>, 19 FCC Rcd at 22423, para. 31.</w:t>
      </w:r>
    </w:p>
  </w:footnote>
  <w:footnote w:id="34">
    <w:p w14:paraId="502D65F1" w14:textId="77777777" w:rsidR="000C6DC9" w:rsidRPr="003C60EA" w:rsidRDefault="000C6DC9" w:rsidP="003367DE">
      <w:pPr>
        <w:pStyle w:val="FootnoteText"/>
        <w:spacing w:line="240" w:lineRule="auto"/>
        <w:rPr>
          <w:rFonts w:eastAsia="Times New Roman"/>
          <w:snapToGrid w:val="0"/>
          <w:kern w:val="28"/>
          <w:sz w:val="22"/>
          <w:szCs w:val="22"/>
        </w:rPr>
      </w:pPr>
      <w:r w:rsidRPr="003C60EA">
        <w:rPr>
          <w:rStyle w:val="FootnoteReference"/>
          <w:sz w:val="22"/>
          <w:szCs w:val="22"/>
        </w:rPr>
        <w:footnoteRef/>
      </w:r>
      <w:r w:rsidRPr="003C60EA">
        <w:rPr>
          <w:sz w:val="22"/>
          <w:szCs w:val="22"/>
        </w:rPr>
        <w:t xml:space="preserve"> </w:t>
      </w:r>
      <w:r w:rsidRPr="003C60EA">
        <w:rPr>
          <w:i/>
          <w:iCs/>
          <w:sz w:val="22"/>
          <w:szCs w:val="22"/>
        </w:rPr>
        <w:t xml:space="preserve">See In </w:t>
      </w:r>
      <w:r w:rsidRPr="003C60EA">
        <w:rPr>
          <w:i/>
          <w:sz w:val="22"/>
          <w:szCs w:val="22"/>
        </w:rPr>
        <w:t>Re IP-Enabled Services</w:t>
      </w:r>
      <w:r w:rsidRPr="003C60EA">
        <w:rPr>
          <w:i/>
          <w:iCs/>
          <w:sz w:val="22"/>
          <w:szCs w:val="22"/>
        </w:rPr>
        <w:t>—</w:t>
      </w:r>
      <w:r w:rsidRPr="003C60EA">
        <w:rPr>
          <w:i/>
          <w:sz w:val="22"/>
          <w:szCs w:val="22"/>
        </w:rPr>
        <w:t>E911 Requirements for IP-Enabled Service Providers</w:t>
      </w:r>
      <w:r w:rsidRPr="003C60EA">
        <w:rPr>
          <w:sz w:val="22"/>
          <w:szCs w:val="22"/>
        </w:rPr>
        <w:t xml:space="preserve">, 20 FCC Rcd 10245, 10262 (2005), </w:t>
      </w:r>
      <w:r w:rsidRPr="003C60EA">
        <w:rPr>
          <w:i/>
          <w:sz w:val="22"/>
          <w:szCs w:val="22"/>
        </w:rPr>
        <w:t>aff’d sub nom</w:t>
      </w:r>
      <w:r w:rsidRPr="003C60EA">
        <w:rPr>
          <w:sz w:val="22"/>
          <w:szCs w:val="22"/>
        </w:rPr>
        <w:t xml:space="preserve">. </w:t>
      </w:r>
      <w:r w:rsidRPr="003C60EA">
        <w:rPr>
          <w:i/>
          <w:sz w:val="22"/>
          <w:szCs w:val="22"/>
        </w:rPr>
        <w:t>Nuvio Corp. v. FCC</w:t>
      </w:r>
      <w:r w:rsidRPr="003C60EA">
        <w:rPr>
          <w:sz w:val="22"/>
          <w:szCs w:val="22"/>
        </w:rPr>
        <w:t>, 473 F.3d 302 (D.C. Cir. 2007); s</w:t>
      </w:r>
      <w:r w:rsidRPr="003C60EA">
        <w:rPr>
          <w:i/>
          <w:iCs/>
          <w:sz w:val="22"/>
          <w:szCs w:val="22"/>
        </w:rPr>
        <w:t xml:space="preserve">ee </w:t>
      </w:r>
      <w:r w:rsidRPr="003C60EA">
        <w:rPr>
          <w:i/>
          <w:sz w:val="22"/>
          <w:szCs w:val="22"/>
        </w:rPr>
        <w:t>Implementation of the Telecommunications Act of 1996: Telecommunications Carriers’ Use of Customer Proprietary Network Information and Other Customer Information; IP-Enabled Services, Report and Order and Further Notice of Proposed Rulemaking</w:t>
      </w:r>
      <w:r w:rsidRPr="003C60EA">
        <w:rPr>
          <w:sz w:val="22"/>
          <w:szCs w:val="22"/>
        </w:rPr>
        <w:t xml:space="preserve">, 22 FCC Rcd 6227 (2007); </w:t>
      </w:r>
      <w:r w:rsidRPr="003C60EA">
        <w:rPr>
          <w:rFonts w:eastAsia="Times New Roman"/>
          <w:i/>
          <w:snapToGrid w:val="0"/>
          <w:kern w:val="28"/>
          <w:sz w:val="22"/>
          <w:szCs w:val="22"/>
        </w:rPr>
        <w:t xml:space="preserve">see </w:t>
      </w:r>
      <w:r w:rsidRPr="003C60EA">
        <w:rPr>
          <w:rFonts w:eastAsia="Times New Roman"/>
          <w:i/>
          <w:iCs/>
          <w:snapToGrid w:val="0"/>
          <w:kern w:val="28"/>
          <w:sz w:val="22"/>
          <w:szCs w:val="22"/>
        </w:rPr>
        <w:t>Communications Assistance for Law Enforcement Act and Broadband Access and Services</w:t>
      </w:r>
      <w:r w:rsidRPr="003C60EA">
        <w:rPr>
          <w:rFonts w:eastAsia="Times New Roman"/>
          <w:snapToGrid w:val="0"/>
          <w:kern w:val="28"/>
          <w:sz w:val="22"/>
          <w:szCs w:val="22"/>
        </w:rPr>
        <w:t>, ET Docket No. 04-295, RM</w:t>
      </w:r>
      <w:r w:rsidR="003367DE" w:rsidRPr="003C60EA">
        <w:rPr>
          <w:rFonts w:eastAsia="Times New Roman"/>
          <w:snapToGrid w:val="0"/>
          <w:kern w:val="28"/>
          <w:sz w:val="22"/>
          <w:szCs w:val="22"/>
        </w:rPr>
        <w:noBreakHyphen/>
      </w:r>
      <w:r w:rsidRPr="003C60EA">
        <w:rPr>
          <w:rFonts w:eastAsia="Times New Roman"/>
          <w:snapToGrid w:val="0"/>
          <w:kern w:val="28"/>
          <w:sz w:val="22"/>
          <w:szCs w:val="22"/>
        </w:rPr>
        <w:t xml:space="preserve">10865, First Report and Order and Further Notice of Proposed Rulemaking, </w:t>
      </w:r>
      <w:hyperlink r:id="rId1" w:tgtFrame="_top" w:history="1">
        <w:r w:rsidRPr="003C60EA">
          <w:rPr>
            <w:rFonts w:eastAsia="Times New Roman"/>
            <w:snapToGrid w:val="0"/>
            <w:kern w:val="28"/>
            <w:sz w:val="22"/>
            <w:szCs w:val="22"/>
          </w:rPr>
          <w:t>20 FCC Rcd 14989, 14991-92, para. 8 (2005)</w:t>
        </w:r>
      </w:hyperlink>
      <w:r w:rsidRPr="003C60EA">
        <w:rPr>
          <w:rFonts w:eastAsia="Times New Roman"/>
          <w:snapToGrid w:val="0"/>
          <w:kern w:val="28"/>
          <w:sz w:val="22"/>
          <w:szCs w:val="22"/>
        </w:rPr>
        <w:t xml:space="preserve">, </w:t>
      </w:r>
      <w:r w:rsidRPr="003C60EA">
        <w:rPr>
          <w:rFonts w:eastAsia="Times New Roman"/>
          <w:i/>
          <w:iCs/>
          <w:snapToGrid w:val="0"/>
          <w:kern w:val="28"/>
          <w:sz w:val="22"/>
          <w:szCs w:val="22"/>
        </w:rPr>
        <w:t>aff'd</w:t>
      </w:r>
      <w:r w:rsidRPr="003C60EA">
        <w:rPr>
          <w:rFonts w:eastAsia="Times New Roman"/>
          <w:iCs/>
          <w:snapToGrid w:val="0"/>
          <w:kern w:val="28"/>
          <w:sz w:val="22"/>
          <w:szCs w:val="22"/>
        </w:rPr>
        <w:t>,</w:t>
      </w:r>
      <w:r w:rsidRPr="003C60EA">
        <w:rPr>
          <w:rFonts w:eastAsia="Times New Roman"/>
          <w:i/>
          <w:iCs/>
          <w:snapToGrid w:val="0"/>
          <w:kern w:val="28"/>
          <w:sz w:val="22"/>
          <w:szCs w:val="22"/>
        </w:rPr>
        <w:t xml:space="preserve"> American Council on Education v. FCC</w:t>
      </w:r>
      <w:r w:rsidRPr="003C60EA">
        <w:rPr>
          <w:rFonts w:eastAsia="Times New Roman"/>
          <w:snapToGrid w:val="0"/>
          <w:kern w:val="28"/>
          <w:sz w:val="22"/>
          <w:szCs w:val="22"/>
        </w:rPr>
        <w:t>, 451 F.3d 226 (D.C. Cir. 2006)</w:t>
      </w:r>
    </w:p>
  </w:footnote>
  <w:footnote w:id="35">
    <w:p w14:paraId="78ACBC2B" w14:textId="77777777" w:rsidR="000C6DC9" w:rsidRPr="003C60EA" w:rsidRDefault="000C6DC9" w:rsidP="00A71EEE">
      <w:pPr>
        <w:pStyle w:val="FootnoteText"/>
        <w:spacing w:line="240" w:lineRule="auto"/>
        <w:rPr>
          <w:i/>
          <w:iCs/>
          <w:sz w:val="22"/>
          <w:szCs w:val="22"/>
        </w:rPr>
      </w:pPr>
      <w:r w:rsidRPr="003C60EA">
        <w:rPr>
          <w:rStyle w:val="FootnoteReference"/>
          <w:sz w:val="22"/>
          <w:szCs w:val="22"/>
        </w:rPr>
        <w:footnoteRef/>
      </w:r>
      <w:r w:rsidRPr="003C60EA">
        <w:rPr>
          <w:sz w:val="22"/>
          <w:szCs w:val="22"/>
        </w:rPr>
        <w:t xml:space="preserve"> </w:t>
      </w:r>
      <w:r w:rsidRPr="003C60EA">
        <w:rPr>
          <w:i/>
          <w:iCs/>
          <w:sz w:val="22"/>
          <w:szCs w:val="22"/>
        </w:rPr>
        <w:t>See Universal Service Contribution Methodology; Federal-State Joint Board on Universal Service; 1998 Biennial Regulatory Review Streamlined Contributor Reporting Requirements Associated with Administration of Telecommunications Relay Service, North American Numbering Plan, Local Number Portability, and Universal Service Support Mechanisms; Telecommunications Services for Individuals with Hearing and Speech Disabilities, and the Americans with Disabilities Act of 1990; Administration of the North American Numbering Plan and North American Numbering Plan Cost Recovery Contribution Factor and Fund Size; Number Resource Optimization; Telephone Number Portability; Truth-in-Billing and Billing Format; IP-Enabled Services</w:t>
      </w:r>
      <w:r w:rsidRPr="003C60EA">
        <w:rPr>
          <w:sz w:val="22"/>
          <w:szCs w:val="22"/>
        </w:rPr>
        <w:t>, 21 FCC Rcd 7518, 7536, para. 34 (2006)</w:t>
      </w:r>
      <w:r w:rsidRPr="003C60EA">
        <w:rPr>
          <w:i/>
          <w:iCs/>
          <w:sz w:val="22"/>
          <w:szCs w:val="22"/>
        </w:rPr>
        <w:t xml:space="preserve">, aff’d in part and rev’d in part, Vonage Holdings Corp. v. FCC, </w:t>
      </w:r>
      <w:r w:rsidRPr="003C60EA">
        <w:rPr>
          <w:iCs/>
          <w:sz w:val="22"/>
          <w:szCs w:val="22"/>
        </w:rPr>
        <w:t>489 F.3d 1232 (D.C. Cir. 2007)</w:t>
      </w:r>
      <w:r w:rsidRPr="003C60EA">
        <w:rPr>
          <w:sz w:val="22"/>
          <w:szCs w:val="22"/>
        </w:rPr>
        <w:t xml:space="preserve"> (</w:t>
      </w:r>
      <w:r w:rsidRPr="003C60EA">
        <w:rPr>
          <w:i/>
          <w:iCs/>
          <w:sz w:val="22"/>
          <w:szCs w:val="22"/>
        </w:rPr>
        <w:t>Interim Contribution Methodology Order).</w:t>
      </w:r>
    </w:p>
  </w:footnote>
  <w:footnote w:id="36">
    <w:p w14:paraId="15BBB3DC" w14:textId="77777777" w:rsidR="000C6DC9" w:rsidRPr="003C60EA" w:rsidRDefault="000C6DC9" w:rsidP="003367DE">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Pr="003C60EA">
        <w:rPr>
          <w:i/>
          <w:sz w:val="22"/>
          <w:szCs w:val="22"/>
        </w:rPr>
        <w:t>Id.</w:t>
      </w:r>
    </w:p>
  </w:footnote>
  <w:footnote w:id="37">
    <w:p w14:paraId="5CEFCAAC" w14:textId="77777777" w:rsidR="000C6DC9" w:rsidRPr="003C60EA" w:rsidRDefault="000C6DC9" w:rsidP="003367DE">
      <w:pPr>
        <w:pStyle w:val="FootnoteText"/>
        <w:spacing w:line="240" w:lineRule="auto"/>
        <w:rPr>
          <w:sz w:val="22"/>
          <w:szCs w:val="22"/>
        </w:rPr>
      </w:pPr>
      <w:r w:rsidRPr="003C60EA">
        <w:rPr>
          <w:rStyle w:val="FootnoteReference"/>
          <w:sz w:val="22"/>
          <w:szCs w:val="22"/>
        </w:rPr>
        <w:footnoteRef/>
      </w:r>
      <w:r w:rsidRPr="003C60EA">
        <w:rPr>
          <w:sz w:val="22"/>
          <w:szCs w:val="22"/>
        </w:rPr>
        <w:t xml:space="preserve"> </w:t>
      </w:r>
      <w:r w:rsidR="00114FA9" w:rsidRPr="003C60EA">
        <w:rPr>
          <w:i/>
          <w:sz w:val="22"/>
          <w:szCs w:val="22"/>
        </w:rPr>
        <w:t>Id.</w:t>
      </w:r>
      <w:r w:rsidR="00114FA9" w:rsidRPr="003C60EA">
        <w:rPr>
          <w:sz w:val="22"/>
          <w:szCs w:val="22"/>
        </w:rPr>
        <w:t xml:space="preserve">, </w:t>
      </w:r>
      <w:r w:rsidRPr="003C60EA">
        <w:rPr>
          <w:sz w:val="22"/>
          <w:szCs w:val="22"/>
        </w:rPr>
        <w:t>21 FCC Rcd at 7456, para. 56, n.189.</w:t>
      </w:r>
    </w:p>
  </w:footnote>
  <w:footnote w:id="38">
    <w:p w14:paraId="763F1AD2" w14:textId="77777777" w:rsidR="000C6DC9" w:rsidRPr="003367DE" w:rsidRDefault="000C6DC9" w:rsidP="003367DE">
      <w:pPr>
        <w:pStyle w:val="FootnoteText"/>
        <w:spacing w:line="240" w:lineRule="auto"/>
        <w:rPr>
          <w:i/>
          <w:iCs/>
          <w:sz w:val="22"/>
          <w:szCs w:val="22"/>
        </w:rPr>
      </w:pPr>
      <w:r w:rsidRPr="003C60EA">
        <w:rPr>
          <w:rStyle w:val="FootnoteReference"/>
          <w:sz w:val="22"/>
          <w:szCs w:val="22"/>
        </w:rPr>
        <w:footnoteRef/>
      </w:r>
      <w:r w:rsidRPr="003C60EA">
        <w:rPr>
          <w:sz w:val="22"/>
          <w:szCs w:val="22"/>
        </w:rPr>
        <w:t xml:space="preserve"> </w:t>
      </w:r>
      <w:r w:rsidR="00114FA9" w:rsidRPr="003C60EA">
        <w:rPr>
          <w:i/>
          <w:sz w:val="22"/>
          <w:szCs w:val="22"/>
        </w:rPr>
        <w:t xml:space="preserve">See </w:t>
      </w:r>
      <w:r w:rsidRPr="003C60EA">
        <w:rPr>
          <w:i/>
          <w:iCs/>
          <w:sz w:val="22"/>
          <w:szCs w:val="22"/>
        </w:rPr>
        <w:t>Kansas/Nebraska State USF Contribution Declaratory Ruling.</w:t>
      </w:r>
    </w:p>
    <w:p w14:paraId="6DF4F188" w14:textId="77777777" w:rsidR="000C6DC9" w:rsidRDefault="000C6DC9" w:rsidP="00393482">
      <w:pPr>
        <w:pStyle w:val="FootnoteText"/>
        <w:spacing w:line="240" w:lineRule="auto"/>
      </w:pPr>
    </w:p>
  </w:footnote>
  <w:footnote w:id="39">
    <w:p w14:paraId="68E2E95D" w14:textId="77777777" w:rsidR="009061E4" w:rsidRPr="009B1DCA" w:rsidRDefault="009061E4" w:rsidP="003367DE">
      <w:pPr>
        <w:pStyle w:val="FootnoteText"/>
        <w:spacing w:line="240" w:lineRule="auto"/>
        <w:rPr>
          <w:sz w:val="22"/>
          <w:szCs w:val="22"/>
        </w:rPr>
      </w:pPr>
      <w:r w:rsidRPr="009B1DCA">
        <w:rPr>
          <w:rStyle w:val="FootnoteReference"/>
          <w:sz w:val="22"/>
          <w:szCs w:val="22"/>
        </w:rPr>
        <w:footnoteRef/>
      </w:r>
      <w:r w:rsidRPr="009B1DCA">
        <w:rPr>
          <w:sz w:val="22"/>
          <w:szCs w:val="22"/>
        </w:rPr>
        <w:t xml:space="preserve"> 73 Pa. C.S. § 2251.1 </w:t>
      </w:r>
      <w:r w:rsidRPr="009B1DCA">
        <w:rPr>
          <w:i/>
          <w:sz w:val="22"/>
          <w:szCs w:val="22"/>
        </w:rPr>
        <w:t>et seq</w:t>
      </w:r>
      <w:r w:rsidRPr="009B1DCA">
        <w:rPr>
          <w:sz w:val="22"/>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D3B85"/>
    <w:multiLevelType w:val="hybridMultilevel"/>
    <w:tmpl w:val="78805228"/>
    <w:lvl w:ilvl="0" w:tplc="B99C0634">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0C2B1104"/>
    <w:multiLevelType w:val="hybridMultilevel"/>
    <w:tmpl w:val="ABBCF190"/>
    <w:lvl w:ilvl="0" w:tplc="03C4B4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E4C21D6"/>
    <w:multiLevelType w:val="hybridMultilevel"/>
    <w:tmpl w:val="64F2F866"/>
    <w:lvl w:ilvl="0" w:tplc="44DAE85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EA75D3B"/>
    <w:multiLevelType w:val="hybridMultilevel"/>
    <w:tmpl w:val="54F00588"/>
    <w:lvl w:ilvl="0" w:tplc="ACA84C3E">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3734E94"/>
    <w:multiLevelType w:val="hybridMultilevel"/>
    <w:tmpl w:val="EE442EB2"/>
    <w:lvl w:ilvl="0" w:tplc="0F36E96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6F03218"/>
    <w:multiLevelType w:val="hybridMultilevel"/>
    <w:tmpl w:val="C43A889A"/>
    <w:lvl w:ilvl="0" w:tplc="B1B87B0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7A12741"/>
    <w:multiLevelType w:val="hybridMultilevel"/>
    <w:tmpl w:val="ED662B38"/>
    <w:lvl w:ilvl="0" w:tplc="55D89FB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98B2C7E"/>
    <w:multiLevelType w:val="hybridMultilevel"/>
    <w:tmpl w:val="B67C5488"/>
    <w:lvl w:ilvl="0" w:tplc="B4DA90D4">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95897"/>
    <w:multiLevelType w:val="hybridMultilevel"/>
    <w:tmpl w:val="F140BF6C"/>
    <w:lvl w:ilvl="0" w:tplc="919EBC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4D2066"/>
    <w:multiLevelType w:val="hybridMultilevel"/>
    <w:tmpl w:val="62A6D0F6"/>
    <w:lvl w:ilvl="0" w:tplc="FA6E1870">
      <w:start w:val="1"/>
      <w:numFmt w:val="bullet"/>
      <w:lvlText w:val="•"/>
      <w:lvlJc w:val="left"/>
      <w:pPr>
        <w:tabs>
          <w:tab w:val="num" w:pos="720"/>
        </w:tabs>
        <w:ind w:left="720" w:hanging="360"/>
      </w:pPr>
      <w:rPr>
        <w:rFonts w:ascii="Times New Roman" w:hAnsi="Times New Roman" w:hint="default"/>
      </w:rPr>
    </w:lvl>
    <w:lvl w:ilvl="1" w:tplc="D158AC44" w:tentative="1">
      <w:start w:val="1"/>
      <w:numFmt w:val="bullet"/>
      <w:lvlText w:val="•"/>
      <w:lvlJc w:val="left"/>
      <w:pPr>
        <w:tabs>
          <w:tab w:val="num" w:pos="1440"/>
        </w:tabs>
        <w:ind w:left="1440" w:hanging="360"/>
      </w:pPr>
      <w:rPr>
        <w:rFonts w:ascii="Times New Roman" w:hAnsi="Times New Roman" w:hint="default"/>
      </w:rPr>
    </w:lvl>
    <w:lvl w:ilvl="2" w:tplc="185E5834" w:tentative="1">
      <w:start w:val="1"/>
      <w:numFmt w:val="bullet"/>
      <w:lvlText w:val="•"/>
      <w:lvlJc w:val="left"/>
      <w:pPr>
        <w:tabs>
          <w:tab w:val="num" w:pos="2160"/>
        </w:tabs>
        <w:ind w:left="2160" w:hanging="360"/>
      </w:pPr>
      <w:rPr>
        <w:rFonts w:ascii="Times New Roman" w:hAnsi="Times New Roman" w:hint="default"/>
      </w:rPr>
    </w:lvl>
    <w:lvl w:ilvl="3" w:tplc="36640EA4" w:tentative="1">
      <w:start w:val="1"/>
      <w:numFmt w:val="bullet"/>
      <w:lvlText w:val="•"/>
      <w:lvlJc w:val="left"/>
      <w:pPr>
        <w:tabs>
          <w:tab w:val="num" w:pos="2880"/>
        </w:tabs>
        <w:ind w:left="2880" w:hanging="360"/>
      </w:pPr>
      <w:rPr>
        <w:rFonts w:ascii="Times New Roman" w:hAnsi="Times New Roman" w:hint="default"/>
      </w:rPr>
    </w:lvl>
    <w:lvl w:ilvl="4" w:tplc="2220A02E" w:tentative="1">
      <w:start w:val="1"/>
      <w:numFmt w:val="bullet"/>
      <w:lvlText w:val="•"/>
      <w:lvlJc w:val="left"/>
      <w:pPr>
        <w:tabs>
          <w:tab w:val="num" w:pos="3600"/>
        </w:tabs>
        <w:ind w:left="3600" w:hanging="360"/>
      </w:pPr>
      <w:rPr>
        <w:rFonts w:ascii="Times New Roman" w:hAnsi="Times New Roman" w:hint="default"/>
      </w:rPr>
    </w:lvl>
    <w:lvl w:ilvl="5" w:tplc="AC8E6D62" w:tentative="1">
      <w:start w:val="1"/>
      <w:numFmt w:val="bullet"/>
      <w:lvlText w:val="•"/>
      <w:lvlJc w:val="left"/>
      <w:pPr>
        <w:tabs>
          <w:tab w:val="num" w:pos="4320"/>
        </w:tabs>
        <w:ind w:left="4320" w:hanging="360"/>
      </w:pPr>
      <w:rPr>
        <w:rFonts w:ascii="Times New Roman" w:hAnsi="Times New Roman" w:hint="default"/>
      </w:rPr>
    </w:lvl>
    <w:lvl w:ilvl="6" w:tplc="CAFCA8EA" w:tentative="1">
      <w:start w:val="1"/>
      <w:numFmt w:val="bullet"/>
      <w:lvlText w:val="•"/>
      <w:lvlJc w:val="left"/>
      <w:pPr>
        <w:tabs>
          <w:tab w:val="num" w:pos="5040"/>
        </w:tabs>
        <w:ind w:left="5040" w:hanging="360"/>
      </w:pPr>
      <w:rPr>
        <w:rFonts w:ascii="Times New Roman" w:hAnsi="Times New Roman" w:hint="default"/>
      </w:rPr>
    </w:lvl>
    <w:lvl w:ilvl="7" w:tplc="89227A2A" w:tentative="1">
      <w:start w:val="1"/>
      <w:numFmt w:val="bullet"/>
      <w:lvlText w:val="•"/>
      <w:lvlJc w:val="left"/>
      <w:pPr>
        <w:tabs>
          <w:tab w:val="num" w:pos="5760"/>
        </w:tabs>
        <w:ind w:left="5760" w:hanging="360"/>
      </w:pPr>
      <w:rPr>
        <w:rFonts w:ascii="Times New Roman" w:hAnsi="Times New Roman" w:hint="default"/>
      </w:rPr>
    </w:lvl>
    <w:lvl w:ilvl="8" w:tplc="003EBF5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8C82AFF"/>
    <w:multiLevelType w:val="hybridMultilevel"/>
    <w:tmpl w:val="B67C5488"/>
    <w:lvl w:ilvl="0" w:tplc="B4DA90D4">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A80912"/>
    <w:multiLevelType w:val="hybridMultilevel"/>
    <w:tmpl w:val="671E5146"/>
    <w:lvl w:ilvl="0" w:tplc="105A93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D7A395C"/>
    <w:multiLevelType w:val="hybridMultilevel"/>
    <w:tmpl w:val="098A4136"/>
    <w:lvl w:ilvl="0" w:tplc="19982BF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33F1D5F"/>
    <w:multiLevelType w:val="hybridMultilevel"/>
    <w:tmpl w:val="B854F7B2"/>
    <w:lvl w:ilvl="0" w:tplc="04090015">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EAA09C0"/>
    <w:multiLevelType w:val="hybridMultilevel"/>
    <w:tmpl w:val="5D00503C"/>
    <w:lvl w:ilvl="0" w:tplc="364A254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4ED75A0F"/>
    <w:multiLevelType w:val="hybridMultilevel"/>
    <w:tmpl w:val="D1344938"/>
    <w:lvl w:ilvl="0" w:tplc="22AEC9A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5BC6525"/>
    <w:multiLevelType w:val="hybridMultilevel"/>
    <w:tmpl w:val="63DC6948"/>
    <w:lvl w:ilvl="0" w:tplc="04090001">
      <w:start w:val="1"/>
      <w:numFmt w:val="bullet"/>
      <w:lvlText w:val=""/>
      <w:lvlJc w:val="left"/>
      <w:pPr>
        <w:ind w:left="1080" w:hanging="360"/>
      </w:pPr>
      <w:rPr>
        <w:rFonts w:ascii="Symbol" w:hAnsi="Symbol" w:hint="default"/>
      </w:rPr>
    </w:lvl>
    <w:lvl w:ilvl="1" w:tplc="CB68FB64">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DD67724"/>
    <w:multiLevelType w:val="hybridMultilevel"/>
    <w:tmpl w:val="779058D8"/>
    <w:lvl w:ilvl="0" w:tplc="BAAE2202">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0833365"/>
    <w:multiLevelType w:val="hybridMultilevel"/>
    <w:tmpl w:val="FAEE2DEE"/>
    <w:lvl w:ilvl="0" w:tplc="C01688F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72B964DC"/>
    <w:multiLevelType w:val="hybridMultilevel"/>
    <w:tmpl w:val="BA0CF80E"/>
    <w:lvl w:ilvl="0" w:tplc="30FA5F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4DC738E"/>
    <w:multiLevelType w:val="hybridMultilevel"/>
    <w:tmpl w:val="A5C4D934"/>
    <w:lvl w:ilvl="0" w:tplc="EE3CF5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
  </w:num>
  <w:num w:numId="3">
    <w:abstractNumId w:val="17"/>
  </w:num>
  <w:num w:numId="4">
    <w:abstractNumId w:val="1"/>
  </w:num>
  <w:num w:numId="5">
    <w:abstractNumId w:val="15"/>
  </w:num>
  <w:num w:numId="6">
    <w:abstractNumId w:val="4"/>
  </w:num>
  <w:num w:numId="7">
    <w:abstractNumId w:val="13"/>
  </w:num>
  <w:num w:numId="8">
    <w:abstractNumId w:val="8"/>
  </w:num>
  <w:num w:numId="9">
    <w:abstractNumId w:val="20"/>
  </w:num>
  <w:num w:numId="10">
    <w:abstractNumId w:val="0"/>
  </w:num>
  <w:num w:numId="11">
    <w:abstractNumId w:val="3"/>
  </w:num>
  <w:num w:numId="12">
    <w:abstractNumId w:val="12"/>
  </w:num>
  <w:num w:numId="13">
    <w:abstractNumId w:val="14"/>
  </w:num>
  <w:num w:numId="14">
    <w:abstractNumId w:val="9"/>
  </w:num>
  <w:num w:numId="15">
    <w:abstractNumId w:val="11"/>
  </w:num>
  <w:num w:numId="16">
    <w:abstractNumId w:val="19"/>
  </w:num>
  <w:num w:numId="17">
    <w:abstractNumId w:val="6"/>
  </w:num>
  <w:num w:numId="18">
    <w:abstractNumId w:val="7"/>
  </w:num>
  <w:num w:numId="19">
    <w:abstractNumId w:val="18"/>
  </w:num>
  <w:num w:numId="20">
    <w:abstractNumId w:val="5"/>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DFA"/>
    <w:rsid w:val="000108EE"/>
    <w:rsid w:val="000131F5"/>
    <w:rsid w:val="000136E2"/>
    <w:rsid w:val="00014298"/>
    <w:rsid w:val="000166A0"/>
    <w:rsid w:val="00017370"/>
    <w:rsid w:val="00017AC5"/>
    <w:rsid w:val="0002384D"/>
    <w:rsid w:val="000307C2"/>
    <w:rsid w:val="00031300"/>
    <w:rsid w:val="00033A5C"/>
    <w:rsid w:val="00034C89"/>
    <w:rsid w:val="00041240"/>
    <w:rsid w:val="000415E6"/>
    <w:rsid w:val="000431DE"/>
    <w:rsid w:val="000436E3"/>
    <w:rsid w:val="00044528"/>
    <w:rsid w:val="00044CDF"/>
    <w:rsid w:val="00044D74"/>
    <w:rsid w:val="00046074"/>
    <w:rsid w:val="00046D4F"/>
    <w:rsid w:val="00052B8A"/>
    <w:rsid w:val="000547F4"/>
    <w:rsid w:val="00054825"/>
    <w:rsid w:val="000563B7"/>
    <w:rsid w:val="00056B18"/>
    <w:rsid w:val="00056E08"/>
    <w:rsid w:val="000604AD"/>
    <w:rsid w:val="00060F90"/>
    <w:rsid w:val="0006161B"/>
    <w:rsid w:val="000634DD"/>
    <w:rsid w:val="000640A3"/>
    <w:rsid w:val="00064B2E"/>
    <w:rsid w:val="00064E48"/>
    <w:rsid w:val="00074C89"/>
    <w:rsid w:val="00080A11"/>
    <w:rsid w:val="00083948"/>
    <w:rsid w:val="0008432D"/>
    <w:rsid w:val="00084962"/>
    <w:rsid w:val="00086657"/>
    <w:rsid w:val="00091661"/>
    <w:rsid w:val="00091A7B"/>
    <w:rsid w:val="00091EB0"/>
    <w:rsid w:val="00092F6F"/>
    <w:rsid w:val="00094967"/>
    <w:rsid w:val="0009527F"/>
    <w:rsid w:val="00095959"/>
    <w:rsid w:val="00095E20"/>
    <w:rsid w:val="000A0781"/>
    <w:rsid w:val="000A13FB"/>
    <w:rsid w:val="000A191D"/>
    <w:rsid w:val="000A1D84"/>
    <w:rsid w:val="000A439A"/>
    <w:rsid w:val="000A6566"/>
    <w:rsid w:val="000A65FD"/>
    <w:rsid w:val="000A795F"/>
    <w:rsid w:val="000B1235"/>
    <w:rsid w:val="000B15A6"/>
    <w:rsid w:val="000B25A3"/>
    <w:rsid w:val="000B59A1"/>
    <w:rsid w:val="000C27B8"/>
    <w:rsid w:val="000C6382"/>
    <w:rsid w:val="000C6DC9"/>
    <w:rsid w:val="000D2B57"/>
    <w:rsid w:val="000D3267"/>
    <w:rsid w:val="000D49BE"/>
    <w:rsid w:val="000D6149"/>
    <w:rsid w:val="000D699D"/>
    <w:rsid w:val="000E3AF3"/>
    <w:rsid w:val="000E474E"/>
    <w:rsid w:val="000E6C09"/>
    <w:rsid w:val="000E6DA6"/>
    <w:rsid w:val="000E6F39"/>
    <w:rsid w:val="000E6F69"/>
    <w:rsid w:val="000E7A30"/>
    <w:rsid w:val="000E7D9C"/>
    <w:rsid w:val="000F1519"/>
    <w:rsid w:val="000F655D"/>
    <w:rsid w:val="00102B10"/>
    <w:rsid w:val="0010410E"/>
    <w:rsid w:val="00104FD0"/>
    <w:rsid w:val="00110F1B"/>
    <w:rsid w:val="0011146F"/>
    <w:rsid w:val="00111601"/>
    <w:rsid w:val="00111E59"/>
    <w:rsid w:val="001123B6"/>
    <w:rsid w:val="00114FA9"/>
    <w:rsid w:val="0011565D"/>
    <w:rsid w:val="001165A3"/>
    <w:rsid w:val="00120618"/>
    <w:rsid w:val="00122779"/>
    <w:rsid w:val="00122856"/>
    <w:rsid w:val="001228C4"/>
    <w:rsid w:val="00122BE6"/>
    <w:rsid w:val="00125634"/>
    <w:rsid w:val="00126976"/>
    <w:rsid w:val="0012783C"/>
    <w:rsid w:val="00130939"/>
    <w:rsid w:val="001369AE"/>
    <w:rsid w:val="00137BD6"/>
    <w:rsid w:val="00141713"/>
    <w:rsid w:val="00143513"/>
    <w:rsid w:val="0014416D"/>
    <w:rsid w:val="00144E1E"/>
    <w:rsid w:val="001515BF"/>
    <w:rsid w:val="00152520"/>
    <w:rsid w:val="00153AD9"/>
    <w:rsid w:val="00155F34"/>
    <w:rsid w:val="001578E3"/>
    <w:rsid w:val="0016026E"/>
    <w:rsid w:val="00161745"/>
    <w:rsid w:val="001652B5"/>
    <w:rsid w:val="00166623"/>
    <w:rsid w:val="00166C14"/>
    <w:rsid w:val="00166F30"/>
    <w:rsid w:val="00171300"/>
    <w:rsid w:val="001726C8"/>
    <w:rsid w:val="001755EF"/>
    <w:rsid w:val="001761F6"/>
    <w:rsid w:val="001778CF"/>
    <w:rsid w:val="001828BC"/>
    <w:rsid w:val="00182B56"/>
    <w:rsid w:val="00183F9D"/>
    <w:rsid w:val="00185F17"/>
    <w:rsid w:val="0019133B"/>
    <w:rsid w:val="001942B9"/>
    <w:rsid w:val="00195ADE"/>
    <w:rsid w:val="001967E7"/>
    <w:rsid w:val="001972AA"/>
    <w:rsid w:val="00197CEC"/>
    <w:rsid w:val="001A1AC8"/>
    <w:rsid w:val="001A1D37"/>
    <w:rsid w:val="001A3075"/>
    <w:rsid w:val="001A372C"/>
    <w:rsid w:val="001A3993"/>
    <w:rsid w:val="001A3F5B"/>
    <w:rsid w:val="001A4AF9"/>
    <w:rsid w:val="001A5FE3"/>
    <w:rsid w:val="001A7F73"/>
    <w:rsid w:val="001B1F34"/>
    <w:rsid w:val="001B2DBF"/>
    <w:rsid w:val="001B2EF7"/>
    <w:rsid w:val="001B708A"/>
    <w:rsid w:val="001B74B9"/>
    <w:rsid w:val="001B7A49"/>
    <w:rsid w:val="001C0BF1"/>
    <w:rsid w:val="001C1768"/>
    <w:rsid w:val="001C44EA"/>
    <w:rsid w:val="001C4FFE"/>
    <w:rsid w:val="001D3209"/>
    <w:rsid w:val="001D5490"/>
    <w:rsid w:val="001D7EEC"/>
    <w:rsid w:val="001E2623"/>
    <w:rsid w:val="001E6681"/>
    <w:rsid w:val="001F2C8B"/>
    <w:rsid w:val="001F35B4"/>
    <w:rsid w:val="001F698B"/>
    <w:rsid w:val="001F7BBB"/>
    <w:rsid w:val="00201349"/>
    <w:rsid w:val="002068BF"/>
    <w:rsid w:val="00211AEA"/>
    <w:rsid w:val="002138E5"/>
    <w:rsid w:val="002219CD"/>
    <w:rsid w:val="00222C7A"/>
    <w:rsid w:val="00224C42"/>
    <w:rsid w:val="00225DC9"/>
    <w:rsid w:val="002261CC"/>
    <w:rsid w:val="0023007A"/>
    <w:rsid w:val="0023083F"/>
    <w:rsid w:val="0023298B"/>
    <w:rsid w:val="00241DD0"/>
    <w:rsid w:val="002423E6"/>
    <w:rsid w:val="00250706"/>
    <w:rsid w:val="00250720"/>
    <w:rsid w:val="00250752"/>
    <w:rsid w:val="00252BF0"/>
    <w:rsid w:val="002540B6"/>
    <w:rsid w:val="002540C1"/>
    <w:rsid w:val="002571A5"/>
    <w:rsid w:val="002574B1"/>
    <w:rsid w:val="00260E35"/>
    <w:rsid w:val="00263D32"/>
    <w:rsid w:val="002646C0"/>
    <w:rsid w:val="002655E4"/>
    <w:rsid w:val="00266836"/>
    <w:rsid w:val="00267C59"/>
    <w:rsid w:val="0027058B"/>
    <w:rsid w:val="0027070E"/>
    <w:rsid w:val="0027088C"/>
    <w:rsid w:val="00270A6F"/>
    <w:rsid w:val="00271ADC"/>
    <w:rsid w:val="00274988"/>
    <w:rsid w:val="002769AF"/>
    <w:rsid w:val="00277F83"/>
    <w:rsid w:val="002838B4"/>
    <w:rsid w:val="00286AC9"/>
    <w:rsid w:val="0028798A"/>
    <w:rsid w:val="002909CE"/>
    <w:rsid w:val="00290DCA"/>
    <w:rsid w:val="00291324"/>
    <w:rsid w:val="00294CA8"/>
    <w:rsid w:val="002950B6"/>
    <w:rsid w:val="002A0206"/>
    <w:rsid w:val="002A4AC7"/>
    <w:rsid w:val="002B1EF3"/>
    <w:rsid w:val="002B2A76"/>
    <w:rsid w:val="002B2DC5"/>
    <w:rsid w:val="002B303E"/>
    <w:rsid w:val="002B5F62"/>
    <w:rsid w:val="002B71C2"/>
    <w:rsid w:val="002C041F"/>
    <w:rsid w:val="002C2B5F"/>
    <w:rsid w:val="002C3C1C"/>
    <w:rsid w:val="002C7325"/>
    <w:rsid w:val="002D1B94"/>
    <w:rsid w:val="002D1FA6"/>
    <w:rsid w:val="002D2B56"/>
    <w:rsid w:val="002D373F"/>
    <w:rsid w:val="002D3EC3"/>
    <w:rsid w:val="002D6AA5"/>
    <w:rsid w:val="002E03C5"/>
    <w:rsid w:val="002E3D23"/>
    <w:rsid w:val="002E70B8"/>
    <w:rsid w:val="002F27C9"/>
    <w:rsid w:val="002F416F"/>
    <w:rsid w:val="002F4174"/>
    <w:rsid w:val="002F4E47"/>
    <w:rsid w:val="003019E8"/>
    <w:rsid w:val="003021DA"/>
    <w:rsid w:val="003025E1"/>
    <w:rsid w:val="00304B9C"/>
    <w:rsid w:val="00305771"/>
    <w:rsid w:val="003075DB"/>
    <w:rsid w:val="00310370"/>
    <w:rsid w:val="0031445B"/>
    <w:rsid w:val="00314972"/>
    <w:rsid w:val="00316773"/>
    <w:rsid w:val="00316B17"/>
    <w:rsid w:val="003175C4"/>
    <w:rsid w:val="00317B88"/>
    <w:rsid w:val="00317C19"/>
    <w:rsid w:val="00323B35"/>
    <w:rsid w:val="00325E28"/>
    <w:rsid w:val="00327256"/>
    <w:rsid w:val="003307BF"/>
    <w:rsid w:val="0033099F"/>
    <w:rsid w:val="00330BD3"/>
    <w:rsid w:val="003323D5"/>
    <w:rsid w:val="0033376A"/>
    <w:rsid w:val="00333DE0"/>
    <w:rsid w:val="00335DDB"/>
    <w:rsid w:val="0033650E"/>
    <w:rsid w:val="003367DE"/>
    <w:rsid w:val="0033704D"/>
    <w:rsid w:val="0033735C"/>
    <w:rsid w:val="003377C0"/>
    <w:rsid w:val="00347C8F"/>
    <w:rsid w:val="00347DDC"/>
    <w:rsid w:val="00350302"/>
    <w:rsid w:val="00352C14"/>
    <w:rsid w:val="003568E4"/>
    <w:rsid w:val="00357F51"/>
    <w:rsid w:val="003671A6"/>
    <w:rsid w:val="00370C0D"/>
    <w:rsid w:val="0038679E"/>
    <w:rsid w:val="003867EB"/>
    <w:rsid w:val="00387923"/>
    <w:rsid w:val="003914E3"/>
    <w:rsid w:val="00393482"/>
    <w:rsid w:val="00395DD9"/>
    <w:rsid w:val="00396731"/>
    <w:rsid w:val="003A08EA"/>
    <w:rsid w:val="003A2319"/>
    <w:rsid w:val="003A35DC"/>
    <w:rsid w:val="003A4BC0"/>
    <w:rsid w:val="003A4F2C"/>
    <w:rsid w:val="003A4FD9"/>
    <w:rsid w:val="003A5018"/>
    <w:rsid w:val="003A5726"/>
    <w:rsid w:val="003A6795"/>
    <w:rsid w:val="003A6E9A"/>
    <w:rsid w:val="003A7B06"/>
    <w:rsid w:val="003B0942"/>
    <w:rsid w:val="003B0F5A"/>
    <w:rsid w:val="003B113B"/>
    <w:rsid w:val="003B2295"/>
    <w:rsid w:val="003B2371"/>
    <w:rsid w:val="003B5F06"/>
    <w:rsid w:val="003C2785"/>
    <w:rsid w:val="003C2FAC"/>
    <w:rsid w:val="003C3CC3"/>
    <w:rsid w:val="003C60EA"/>
    <w:rsid w:val="003E084F"/>
    <w:rsid w:val="003E287A"/>
    <w:rsid w:val="003E3426"/>
    <w:rsid w:val="003E69B2"/>
    <w:rsid w:val="003E70DA"/>
    <w:rsid w:val="003E7894"/>
    <w:rsid w:val="003F1E2B"/>
    <w:rsid w:val="003F3ED3"/>
    <w:rsid w:val="003F4177"/>
    <w:rsid w:val="003F645C"/>
    <w:rsid w:val="003F7F1E"/>
    <w:rsid w:val="00402F0C"/>
    <w:rsid w:val="004039A4"/>
    <w:rsid w:val="00404B46"/>
    <w:rsid w:val="0040777B"/>
    <w:rsid w:val="00412337"/>
    <w:rsid w:val="00414501"/>
    <w:rsid w:val="00414A91"/>
    <w:rsid w:val="004217C0"/>
    <w:rsid w:val="00422697"/>
    <w:rsid w:val="0042505B"/>
    <w:rsid w:val="00433434"/>
    <w:rsid w:val="004340D7"/>
    <w:rsid w:val="004352B4"/>
    <w:rsid w:val="0043585E"/>
    <w:rsid w:val="00435FF7"/>
    <w:rsid w:val="0043613D"/>
    <w:rsid w:val="0043733E"/>
    <w:rsid w:val="00437C8A"/>
    <w:rsid w:val="00443FF5"/>
    <w:rsid w:val="004539F6"/>
    <w:rsid w:val="00455221"/>
    <w:rsid w:val="00455A94"/>
    <w:rsid w:val="00456DA0"/>
    <w:rsid w:val="00457D0D"/>
    <w:rsid w:val="00457E37"/>
    <w:rsid w:val="004654A6"/>
    <w:rsid w:val="00471B25"/>
    <w:rsid w:val="004756D5"/>
    <w:rsid w:val="0048086D"/>
    <w:rsid w:val="00481DF4"/>
    <w:rsid w:val="00485541"/>
    <w:rsid w:val="00487809"/>
    <w:rsid w:val="00492046"/>
    <w:rsid w:val="00492701"/>
    <w:rsid w:val="004A2863"/>
    <w:rsid w:val="004A3776"/>
    <w:rsid w:val="004A5A0C"/>
    <w:rsid w:val="004A743C"/>
    <w:rsid w:val="004B025D"/>
    <w:rsid w:val="004B156E"/>
    <w:rsid w:val="004B7A72"/>
    <w:rsid w:val="004B7EB4"/>
    <w:rsid w:val="004B7F76"/>
    <w:rsid w:val="004C1254"/>
    <w:rsid w:val="004D20AF"/>
    <w:rsid w:val="004D3C01"/>
    <w:rsid w:val="004D4925"/>
    <w:rsid w:val="004D5C90"/>
    <w:rsid w:val="004D668B"/>
    <w:rsid w:val="004D6912"/>
    <w:rsid w:val="004D7BA1"/>
    <w:rsid w:val="004E0D69"/>
    <w:rsid w:val="004E23BD"/>
    <w:rsid w:val="004E23D3"/>
    <w:rsid w:val="004E33C0"/>
    <w:rsid w:val="004E39D2"/>
    <w:rsid w:val="004E59CD"/>
    <w:rsid w:val="004F0981"/>
    <w:rsid w:val="004F481F"/>
    <w:rsid w:val="004F7878"/>
    <w:rsid w:val="0050180B"/>
    <w:rsid w:val="00501FCE"/>
    <w:rsid w:val="005046E0"/>
    <w:rsid w:val="0050671B"/>
    <w:rsid w:val="00506FC6"/>
    <w:rsid w:val="00511C15"/>
    <w:rsid w:val="00512CFB"/>
    <w:rsid w:val="005151E9"/>
    <w:rsid w:val="00517AB6"/>
    <w:rsid w:val="00517DFA"/>
    <w:rsid w:val="00520355"/>
    <w:rsid w:val="005223F9"/>
    <w:rsid w:val="00523D2A"/>
    <w:rsid w:val="00525A66"/>
    <w:rsid w:val="00525D0F"/>
    <w:rsid w:val="00527EDC"/>
    <w:rsid w:val="00530F9D"/>
    <w:rsid w:val="00532467"/>
    <w:rsid w:val="005345AA"/>
    <w:rsid w:val="00540173"/>
    <w:rsid w:val="00541D94"/>
    <w:rsid w:val="00543C9A"/>
    <w:rsid w:val="00543FFD"/>
    <w:rsid w:val="005519DD"/>
    <w:rsid w:val="0055244D"/>
    <w:rsid w:val="0055341F"/>
    <w:rsid w:val="005545E2"/>
    <w:rsid w:val="00555EC7"/>
    <w:rsid w:val="00556AE4"/>
    <w:rsid w:val="00562699"/>
    <w:rsid w:val="005633C9"/>
    <w:rsid w:val="00564F25"/>
    <w:rsid w:val="00565D5D"/>
    <w:rsid w:val="00570105"/>
    <w:rsid w:val="005701D2"/>
    <w:rsid w:val="0057170E"/>
    <w:rsid w:val="005756A5"/>
    <w:rsid w:val="005803D1"/>
    <w:rsid w:val="005807A6"/>
    <w:rsid w:val="00581787"/>
    <w:rsid w:val="00581D25"/>
    <w:rsid w:val="00583096"/>
    <w:rsid w:val="00583C5F"/>
    <w:rsid w:val="0058414B"/>
    <w:rsid w:val="00584F59"/>
    <w:rsid w:val="00586912"/>
    <w:rsid w:val="00587E56"/>
    <w:rsid w:val="005902C1"/>
    <w:rsid w:val="005913DE"/>
    <w:rsid w:val="00594281"/>
    <w:rsid w:val="005954B5"/>
    <w:rsid w:val="00595722"/>
    <w:rsid w:val="0059612E"/>
    <w:rsid w:val="00597FF6"/>
    <w:rsid w:val="005A5DAF"/>
    <w:rsid w:val="005A5DDA"/>
    <w:rsid w:val="005A5EC5"/>
    <w:rsid w:val="005A6883"/>
    <w:rsid w:val="005B1B8B"/>
    <w:rsid w:val="005B4B76"/>
    <w:rsid w:val="005B50BF"/>
    <w:rsid w:val="005B706F"/>
    <w:rsid w:val="005C1F59"/>
    <w:rsid w:val="005C1FF5"/>
    <w:rsid w:val="005C47E9"/>
    <w:rsid w:val="005C527E"/>
    <w:rsid w:val="005C7BDE"/>
    <w:rsid w:val="005D073A"/>
    <w:rsid w:val="005D0E69"/>
    <w:rsid w:val="005D1D94"/>
    <w:rsid w:val="005D2026"/>
    <w:rsid w:val="005D230A"/>
    <w:rsid w:val="005D2A64"/>
    <w:rsid w:val="005D2FE5"/>
    <w:rsid w:val="005D5B38"/>
    <w:rsid w:val="005D5F21"/>
    <w:rsid w:val="005E04AD"/>
    <w:rsid w:val="005E33F9"/>
    <w:rsid w:val="005E484E"/>
    <w:rsid w:val="005E5458"/>
    <w:rsid w:val="005E72E3"/>
    <w:rsid w:val="005F1798"/>
    <w:rsid w:val="005F1F9D"/>
    <w:rsid w:val="006001B9"/>
    <w:rsid w:val="00600B69"/>
    <w:rsid w:val="00602661"/>
    <w:rsid w:val="006036FF"/>
    <w:rsid w:val="00603DAB"/>
    <w:rsid w:val="00604DDF"/>
    <w:rsid w:val="00606004"/>
    <w:rsid w:val="0060645A"/>
    <w:rsid w:val="00606DA0"/>
    <w:rsid w:val="00616097"/>
    <w:rsid w:val="00616880"/>
    <w:rsid w:val="00623BD4"/>
    <w:rsid w:val="00624130"/>
    <w:rsid w:val="00624B0D"/>
    <w:rsid w:val="00624E3A"/>
    <w:rsid w:val="00625A8A"/>
    <w:rsid w:val="00625C77"/>
    <w:rsid w:val="00626869"/>
    <w:rsid w:val="00626BAA"/>
    <w:rsid w:val="00631EB0"/>
    <w:rsid w:val="006361EA"/>
    <w:rsid w:val="00640CFC"/>
    <w:rsid w:val="00641038"/>
    <w:rsid w:val="00642C11"/>
    <w:rsid w:val="00642F70"/>
    <w:rsid w:val="006442F6"/>
    <w:rsid w:val="00645C45"/>
    <w:rsid w:val="00646ACF"/>
    <w:rsid w:val="00650691"/>
    <w:rsid w:val="006529CB"/>
    <w:rsid w:val="00655861"/>
    <w:rsid w:val="00655C59"/>
    <w:rsid w:val="006616D0"/>
    <w:rsid w:val="0066230D"/>
    <w:rsid w:val="006628EE"/>
    <w:rsid w:val="006642F6"/>
    <w:rsid w:val="00665A1F"/>
    <w:rsid w:val="00672EC6"/>
    <w:rsid w:val="00672F43"/>
    <w:rsid w:val="006757F8"/>
    <w:rsid w:val="006800FE"/>
    <w:rsid w:val="00682E4C"/>
    <w:rsid w:val="00683518"/>
    <w:rsid w:val="00685CCD"/>
    <w:rsid w:val="0068610A"/>
    <w:rsid w:val="00693DB8"/>
    <w:rsid w:val="00696A9D"/>
    <w:rsid w:val="00697BEC"/>
    <w:rsid w:val="006A1C50"/>
    <w:rsid w:val="006A4910"/>
    <w:rsid w:val="006A4CAD"/>
    <w:rsid w:val="006A4CF3"/>
    <w:rsid w:val="006A5C79"/>
    <w:rsid w:val="006A71B9"/>
    <w:rsid w:val="006B52B9"/>
    <w:rsid w:val="006B5615"/>
    <w:rsid w:val="006C03D9"/>
    <w:rsid w:val="006C2F85"/>
    <w:rsid w:val="006C5FD5"/>
    <w:rsid w:val="006C63C6"/>
    <w:rsid w:val="006C7290"/>
    <w:rsid w:val="006D0C94"/>
    <w:rsid w:val="006D629E"/>
    <w:rsid w:val="006D6625"/>
    <w:rsid w:val="006D7BFD"/>
    <w:rsid w:val="006E246F"/>
    <w:rsid w:val="006E410E"/>
    <w:rsid w:val="006E41BC"/>
    <w:rsid w:val="006E6BFA"/>
    <w:rsid w:val="006F140D"/>
    <w:rsid w:val="006F23B1"/>
    <w:rsid w:val="006F286E"/>
    <w:rsid w:val="006F756D"/>
    <w:rsid w:val="00701552"/>
    <w:rsid w:val="00705195"/>
    <w:rsid w:val="007067EA"/>
    <w:rsid w:val="00713631"/>
    <w:rsid w:val="00714EE6"/>
    <w:rsid w:val="00714F8D"/>
    <w:rsid w:val="00717012"/>
    <w:rsid w:val="0071796F"/>
    <w:rsid w:val="00721CA7"/>
    <w:rsid w:val="00722057"/>
    <w:rsid w:val="007220A1"/>
    <w:rsid w:val="00726819"/>
    <w:rsid w:val="00727C74"/>
    <w:rsid w:val="007309AE"/>
    <w:rsid w:val="007345B6"/>
    <w:rsid w:val="0074056D"/>
    <w:rsid w:val="007406D1"/>
    <w:rsid w:val="00741A57"/>
    <w:rsid w:val="00743BB9"/>
    <w:rsid w:val="00745C77"/>
    <w:rsid w:val="0074640E"/>
    <w:rsid w:val="00751FCC"/>
    <w:rsid w:val="00753C15"/>
    <w:rsid w:val="00753C5A"/>
    <w:rsid w:val="00760C91"/>
    <w:rsid w:val="00760FC3"/>
    <w:rsid w:val="00761695"/>
    <w:rsid w:val="00762E4B"/>
    <w:rsid w:val="00763381"/>
    <w:rsid w:val="00764858"/>
    <w:rsid w:val="00765590"/>
    <w:rsid w:val="0076649F"/>
    <w:rsid w:val="00767764"/>
    <w:rsid w:val="00767BFE"/>
    <w:rsid w:val="007707BC"/>
    <w:rsid w:val="0077103F"/>
    <w:rsid w:val="00771948"/>
    <w:rsid w:val="00772D48"/>
    <w:rsid w:val="00776373"/>
    <w:rsid w:val="00777BB2"/>
    <w:rsid w:val="0078112C"/>
    <w:rsid w:val="0078395B"/>
    <w:rsid w:val="00783D94"/>
    <w:rsid w:val="00783F5F"/>
    <w:rsid w:val="0079055F"/>
    <w:rsid w:val="0079069A"/>
    <w:rsid w:val="00792BF3"/>
    <w:rsid w:val="00794B9B"/>
    <w:rsid w:val="007A0E7D"/>
    <w:rsid w:val="007A43F1"/>
    <w:rsid w:val="007A4D70"/>
    <w:rsid w:val="007B10B7"/>
    <w:rsid w:val="007B1CD1"/>
    <w:rsid w:val="007B4239"/>
    <w:rsid w:val="007B6388"/>
    <w:rsid w:val="007B7966"/>
    <w:rsid w:val="007C039E"/>
    <w:rsid w:val="007C3047"/>
    <w:rsid w:val="007C444F"/>
    <w:rsid w:val="007C556E"/>
    <w:rsid w:val="007C7169"/>
    <w:rsid w:val="007D01EA"/>
    <w:rsid w:val="007D2FDF"/>
    <w:rsid w:val="007E01B2"/>
    <w:rsid w:val="007E12AA"/>
    <w:rsid w:val="007E4555"/>
    <w:rsid w:val="007E471A"/>
    <w:rsid w:val="007F1779"/>
    <w:rsid w:val="007F376A"/>
    <w:rsid w:val="007F4A79"/>
    <w:rsid w:val="007F4F70"/>
    <w:rsid w:val="007F651B"/>
    <w:rsid w:val="008019B9"/>
    <w:rsid w:val="00802749"/>
    <w:rsid w:val="008053C0"/>
    <w:rsid w:val="008062A6"/>
    <w:rsid w:val="00806903"/>
    <w:rsid w:val="00812B74"/>
    <w:rsid w:val="008153DE"/>
    <w:rsid w:val="0081677D"/>
    <w:rsid w:val="0082283C"/>
    <w:rsid w:val="0082461B"/>
    <w:rsid w:val="00826D14"/>
    <w:rsid w:val="008373A6"/>
    <w:rsid w:val="0083785E"/>
    <w:rsid w:val="0084292F"/>
    <w:rsid w:val="0084318E"/>
    <w:rsid w:val="00845283"/>
    <w:rsid w:val="00845976"/>
    <w:rsid w:val="00847899"/>
    <w:rsid w:val="00850099"/>
    <w:rsid w:val="0085071D"/>
    <w:rsid w:val="008547B0"/>
    <w:rsid w:val="00854A09"/>
    <w:rsid w:val="00855178"/>
    <w:rsid w:val="00857D16"/>
    <w:rsid w:val="0086227B"/>
    <w:rsid w:val="00862775"/>
    <w:rsid w:val="008739FB"/>
    <w:rsid w:val="00876879"/>
    <w:rsid w:val="00877FA6"/>
    <w:rsid w:val="0088193F"/>
    <w:rsid w:val="00881B4A"/>
    <w:rsid w:val="008837E9"/>
    <w:rsid w:val="008868F8"/>
    <w:rsid w:val="00887FBA"/>
    <w:rsid w:val="008921B1"/>
    <w:rsid w:val="008973EA"/>
    <w:rsid w:val="0089774A"/>
    <w:rsid w:val="008A2DA9"/>
    <w:rsid w:val="008A301E"/>
    <w:rsid w:val="008A350F"/>
    <w:rsid w:val="008A591B"/>
    <w:rsid w:val="008B1917"/>
    <w:rsid w:val="008B19CA"/>
    <w:rsid w:val="008B3E5C"/>
    <w:rsid w:val="008B44D6"/>
    <w:rsid w:val="008B7D3F"/>
    <w:rsid w:val="008C0448"/>
    <w:rsid w:val="008C04AE"/>
    <w:rsid w:val="008C1E7C"/>
    <w:rsid w:val="008C2BF1"/>
    <w:rsid w:val="008C4CAA"/>
    <w:rsid w:val="008C5D4D"/>
    <w:rsid w:val="008D1362"/>
    <w:rsid w:val="008D35C2"/>
    <w:rsid w:val="008D3B42"/>
    <w:rsid w:val="008D685E"/>
    <w:rsid w:val="008E21A2"/>
    <w:rsid w:val="008E2298"/>
    <w:rsid w:val="008E30FC"/>
    <w:rsid w:val="008E7909"/>
    <w:rsid w:val="008E7E01"/>
    <w:rsid w:val="008F52FD"/>
    <w:rsid w:val="008F761C"/>
    <w:rsid w:val="008F7D79"/>
    <w:rsid w:val="0090542F"/>
    <w:rsid w:val="00905D45"/>
    <w:rsid w:val="009061E4"/>
    <w:rsid w:val="00921324"/>
    <w:rsid w:val="009219CF"/>
    <w:rsid w:val="00924888"/>
    <w:rsid w:val="009267FE"/>
    <w:rsid w:val="009279C9"/>
    <w:rsid w:val="00930C09"/>
    <w:rsid w:val="009310DF"/>
    <w:rsid w:val="009326A9"/>
    <w:rsid w:val="0093471E"/>
    <w:rsid w:val="009358D6"/>
    <w:rsid w:val="00936F57"/>
    <w:rsid w:val="0094230C"/>
    <w:rsid w:val="0094452F"/>
    <w:rsid w:val="00945FBF"/>
    <w:rsid w:val="00946FAB"/>
    <w:rsid w:val="00952407"/>
    <w:rsid w:val="009532A1"/>
    <w:rsid w:val="00953F8E"/>
    <w:rsid w:val="00954057"/>
    <w:rsid w:val="009578AA"/>
    <w:rsid w:val="00957A0B"/>
    <w:rsid w:val="00960462"/>
    <w:rsid w:val="009645DF"/>
    <w:rsid w:val="00966069"/>
    <w:rsid w:val="00967956"/>
    <w:rsid w:val="009720B1"/>
    <w:rsid w:val="00972278"/>
    <w:rsid w:val="00972714"/>
    <w:rsid w:val="0097365F"/>
    <w:rsid w:val="00974A7C"/>
    <w:rsid w:val="00976E4D"/>
    <w:rsid w:val="00977044"/>
    <w:rsid w:val="0098081D"/>
    <w:rsid w:val="00981384"/>
    <w:rsid w:val="00982916"/>
    <w:rsid w:val="00982D5D"/>
    <w:rsid w:val="00984DAC"/>
    <w:rsid w:val="009877E5"/>
    <w:rsid w:val="009916E8"/>
    <w:rsid w:val="009930D3"/>
    <w:rsid w:val="009A052D"/>
    <w:rsid w:val="009A4646"/>
    <w:rsid w:val="009A6F41"/>
    <w:rsid w:val="009B1DCA"/>
    <w:rsid w:val="009B28D4"/>
    <w:rsid w:val="009B298B"/>
    <w:rsid w:val="009B38C4"/>
    <w:rsid w:val="009B4680"/>
    <w:rsid w:val="009B4B37"/>
    <w:rsid w:val="009B6462"/>
    <w:rsid w:val="009B6F9A"/>
    <w:rsid w:val="009C4AA6"/>
    <w:rsid w:val="009C51C3"/>
    <w:rsid w:val="009C5CEE"/>
    <w:rsid w:val="009D1700"/>
    <w:rsid w:val="009D1E9D"/>
    <w:rsid w:val="009D2829"/>
    <w:rsid w:val="009D3226"/>
    <w:rsid w:val="009D50BA"/>
    <w:rsid w:val="009E0C06"/>
    <w:rsid w:val="009E0D05"/>
    <w:rsid w:val="009E1DD4"/>
    <w:rsid w:val="009E2983"/>
    <w:rsid w:val="009E355A"/>
    <w:rsid w:val="009E3C24"/>
    <w:rsid w:val="009E4B6D"/>
    <w:rsid w:val="009E6BC5"/>
    <w:rsid w:val="009E75AB"/>
    <w:rsid w:val="009F3332"/>
    <w:rsid w:val="009F3F28"/>
    <w:rsid w:val="009F5350"/>
    <w:rsid w:val="009F6585"/>
    <w:rsid w:val="00A00F10"/>
    <w:rsid w:val="00A04701"/>
    <w:rsid w:val="00A0486F"/>
    <w:rsid w:val="00A10F32"/>
    <w:rsid w:val="00A1577F"/>
    <w:rsid w:val="00A17F9F"/>
    <w:rsid w:val="00A20CB0"/>
    <w:rsid w:val="00A21695"/>
    <w:rsid w:val="00A22EC1"/>
    <w:rsid w:val="00A232EC"/>
    <w:rsid w:val="00A25B26"/>
    <w:rsid w:val="00A268C8"/>
    <w:rsid w:val="00A26D40"/>
    <w:rsid w:val="00A330E6"/>
    <w:rsid w:val="00A35709"/>
    <w:rsid w:val="00A373A7"/>
    <w:rsid w:val="00A417FC"/>
    <w:rsid w:val="00A44380"/>
    <w:rsid w:val="00A508A2"/>
    <w:rsid w:val="00A51026"/>
    <w:rsid w:val="00A51D89"/>
    <w:rsid w:val="00A529A6"/>
    <w:rsid w:val="00A52FCE"/>
    <w:rsid w:val="00A544AB"/>
    <w:rsid w:val="00A5600F"/>
    <w:rsid w:val="00A5681F"/>
    <w:rsid w:val="00A56D2E"/>
    <w:rsid w:val="00A60416"/>
    <w:rsid w:val="00A60C34"/>
    <w:rsid w:val="00A66A4D"/>
    <w:rsid w:val="00A67915"/>
    <w:rsid w:val="00A71374"/>
    <w:rsid w:val="00A71EEE"/>
    <w:rsid w:val="00A739C0"/>
    <w:rsid w:val="00A74C3C"/>
    <w:rsid w:val="00A75C1D"/>
    <w:rsid w:val="00A760C0"/>
    <w:rsid w:val="00A7649D"/>
    <w:rsid w:val="00A84AC3"/>
    <w:rsid w:val="00A85DA3"/>
    <w:rsid w:val="00A8683F"/>
    <w:rsid w:val="00A9182A"/>
    <w:rsid w:val="00A92504"/>
    <w:rsid w:val="00A96C3E"/>
    <w:rsid w:val="00A97800"/>
    <w:rsid w:val="00AA18CC"/>
    <w:rsid w:val="00AA34B0"/>
    <w:rsid w:val="00AA62DD"/>
    <w:rsid w:val="00AA64A0"/>
    <w:rsid w:val="00AA7E98"/>
    <w:rsid w:val="00AB1885"/>
    <w:rsid w:val="00AB33DB"/>
    <w:rsid w:val="00AB7D46"/>
    <w:rsid w:val="00AC076F"/>
    <w:rsid w:val="00AC2A65"/>
    <w:rsid w:val="00AC3643"/>
    <w:rsid w:val="00AC401B"/>
    <w:rsid w:val="00AD02B0"/>
    <w:rsid w:val="00AD0996"/>
    <w:rsid w:val="00AD17E3"/>
    <w:rsid w:val="00AD4150"/>
    <w:rsid w:val="00AE005F"/>
    <w:rsid w:val="00AE08B9"/>
    <w:rsid w:val="00AE5074"/>
    <w:rsid w:val="00AE59F9"/>
    <w:rsid w:val="00AF2C98"/>
    <w:rsid w:val="00AF4C59"/>
    <w:rsid w:val="00AF5BB3"/>
    <w:rsid w:val="00B00285"/>
    <w:rsid w:val="00B00364"/>
    <w:rsid w:val="00B03597"/>
    <w:rsid w:val="00B03657"/>
    <w:rsid w:val="00B05CD0"/>
    <w:rsid w:val="00B1408A"/>
    <w:rsid w:val="00B16699"/>
    <w:rsid w:val="00B21582"/>
    <w:rsid w:val="00B21A3F"/>
    <w:rsid w:val="00B22790"/>
    <w:rsid w:val="00B22D4F"/>
    <w:rsid w:val="00B22F91"/>
    <w:rsid w:val="00B25EFA"/>
    <w:rsid w:val="00B27E86"/>
    <w:rsid w:val="00B30222"/>
    <w:rsid w:val="00B336CB"/>
    <w:rsid w:val="00B35D8D"/>
    <w:rsid w:val="00B361F4"/>
    <w:rsid w:val="00B377EB"/>
    <w:rsid w:val="00B4019C"/>
    <w:rsid w:val="00B41999"/>
    <w:rsid w:val="00B426B8"/>
    <w:rsid w:val="00B44A16"/>
    <w:rsid w:val="00B4562D"/>
    <w:rsid w:val="00B500A6"/>
    <w:rsid w:val="00B50F34"/>
    <w:rsid w:val="00B511B3"/>
    <w:rsid w:val="00B513FC"/>
    <w:rsid w:val="00B5333C"/>
    <w:rsid w:val="00B54132"/>
    <w:rsid w:val="00B546AB"/>
    <w:rsid w:val="00B560E2"/>
    <w:rsid w:val="00B5791E"/>
    <w:rsid w:val="00B57EFD"/>
    <w:rsid w:val="00B60C1A"/>
    <w:rsid w:val="00B633D3"/>
    <w:rsid w:val="00B6588D"/>
    <w:rsid w:val="00B66F1F"/>
    <w:rsid w:val="00B67B7F"/>
    <w:rsid w:val="00B70928"/>
    <w:rsid w:val="00B70EBF"/>
    <w:rsid w:val="00B71A7A"/>
    <w:rsid w:val="00B71D9C"/>
    <w:rsid w:val="00B7263D"/>
    <w:rsid w:val="00B739FF"/>
    <w:rsid w:val="00B76546"/>
    <w:rsid w:val="00B812EE"/>
    <w:rsid w:val="00B83F28"/>
    <w:rsid w:val="00B87D4D"/>
    <w:rsid w:val="00B96688"/>
    <w:rsid w:val="00BA3469"/>
    <w:rsid w:val="00BA3BF9"/>
    <w:rsid w:val="00BA5790"/>
    <w:rsid w:val="00BA64CA"/>
    <w:rsid w:val="00BA6EB7"/>
    <w:rsid w:val="00BA723E"/>
    <w:rsid w:val="00BB0B37"/>
    <w:rsid w:val="00BB275D"/>
    <w:rsid w:val="00BB27F0"/>
    <w:rsid w:val="00BB5F28"/>
    <w:rsid w:val="00BC47BB"/>
    <w:rsid w:val="00BC4E07"/>
    <w:rsid w:val="00BC55A8"/>
    <w:rsid w:val="00BC69D0"/>
    <w:rsid w:val="00BD07B0"/>
    <w:rsid w:val="00BD37CF"/>
    <w:rsid w:val="00BD4FB7"/>
    <w:rsid w:val="00BD54B5"/>
    <w:rsid w:val="00BD6F39"/>
    <w:rsid w:val="00BE1BC5"/>
    <w:rsid w:val="00BE46A0"/>
    <w:rsid w:val="00BE5631"/>
    <w:rsid w:val="00BF0E2D"/>
    <w:rsid w:val="00BF1B2B"/>
    <w:rsid w:val="00BF2FB5"/>
    <w:rsid w:val="00BF5BD7"/>
    <w:rsid w:val="00BF6195"/>
    <w:rsid w:val="00BF7138"/>
    <w:rsid w:val="00C00535"/>
    <w:rsid w:val="00C04745"/>
    <w:rsid w:val="00C07349"/>
    <w:rsid w:val="00C11E37"/>
    <w:rsid w:val="00C125F6"/>
    <w:rsid w:val="00C12A6C"/>
    <w:rsid w:val="00C135D3"/>
    <w:rsid w:val="00C14280"/>
    <w:rsid w:val="00C146E5"/>
    <w:rsid w:val="00C14FCE"/>
    <w:rsid w:val="00C20D93"/>
    <w:rsid w:val="00C2201A"/>
    <w:rsid w:val="00C23111"/>
    <w:rsid w:val="00C238FF"/>
    <w:rsid w:val="00C24F35"/>
    <w:rsid w:val="00C2577D"/>
    <w:rsid w:val="00C25795"/>
    <w:rsid w:val="00C27C62"/>
    <w:rsid w:val="00C3297A"/>
    <w:rsid w:val="00C34D49"/>
    <w:rsid w:val="00C368ED"/>
    <w:rsid w:val="00C372E5"/>
    <w:rsid w:val="00C400AB"/>
    <w:rsid w:val="00C40382"/>
    <w:rsid w:val="00C403CF"/>
    <w:rsid w:val="00C4162A"/>
    <w:rsid w:val="00C423F0"/>
    <w:rsid w:val="00C50DAB"/>
    <w:rsid w:val="00C51FD8"/>
    <w:rsid w:val="00C53192"/>
    <w:rsid w:val="00C54A08"/>
    <w:rsid w:val="00C561F6"/>
    <w:rsid w:val="00C5782B"/>
    <w:rsid w:val="00C617F2"/>
    <w:rsid w:val="00C61F7D"/>
    <w:rsid w:val="00C6215B"/>
    <w:rsid w:val="00C6452A"/>
    <w:rsid w:val="00C6775D"/>
    <w:rsid w:val="00C67932"/>
    <w:rsid w:val="00C74C5D"/>
    <w:rsid w:val="00C75ED4"/>
    <w:rsid w:val="00C773E9"/>
    <w:rsid w:val="00C77904"/>
    <w:rsid w:val="00C77B85"/>
    <w:rsid w:val="00C77C29"/>
    <w:rsid w:val="00C863A9"/>
    <w:rsid w:val="00C91142"/>
    <w:rsid w:val="00C91CDD"/>
    <w:rsid w:val="00C93CC7"/>
    <w:rsid w:val="00C94396"/>
    <w:rsid w:val="00C96E44"/>
    <w:rsid w:val="00CA0824"/>
    <w:rsid w:val="00CA2EF5"/>
    <w:rsid w:val="00CA3347"/>
    <w:rsid w:val="00CA4F16"/>
    <w:rsid w:val="00CA6661"/>
    <w:rsid w:val="00CA6901"/>
    <w:rsid w:val="00CA70B5"/>
    <w:rsid w:val="00CB0DCF"/>
    <w:rsid w:val="00CB2348"/>
    <w:rsid w:val="00CB2F42"/>
    <w:rsid w:val="00CB34DB"/>
    <w:rsid w:val="00CB40C9"/>
    <w:rsid w:val="00CB5698"/>
    <w:rsid w:val="00CB7237"/>
    <w:rsid w:val="00CC0FD6"/>
    <w:rsid w:val="00CC6C5D"/>
    <w:rsid w:val="00CD233B"/>
    <w:rsid w:val="00CD39C4"/>
    <w:rsid w:val="00CD3C36"/>
    <w:rsid w:val="00CD3DF1"/>
    <w:rsid w:val="00CD3E01"/>
    <w:rsid w:val="00CD4038"/>
    <w:rsid w:val="00CD4CF4"/>
    <w:rsid w:val="00CD55E2"/>
    <w:rsid w:val="00CD6178"/>
    <w:rsid w:val="00CD78EA"/>
    <w:rsid w:val="00CD7DA1"/>
    <w:rsid w:val="00CE0E4C"/>
    <w:rsid w:val="00CE1EEB"/>
    <w:rsid w:val="00CE5889"/>
    <w:rsid w:val="00CE7DD3"/>
    <w:rsid w:val="00CE7E16"/>
    <w:rsid w:val="00CF08ED"/>
    <w:rsid w:val="00CF39B9"/>
    <w:rsid w:val="00CF3AE3"/>
    <w:rsid w:val="00CF5CF0"/>
    <w:rsid w:val="00D0016C"/>
    <w:rsid w:val="00D015C9"/>
    <w:rsid w:val="00D0195F"/>
    <w:rsid w:val="00D05C16"/>
    <w:rsid w:val="00D06088"/>
    <w:rsid w:val="00D10553"/>
    <w:rsid w:val="00D10E11"/>
    <w:rsid w:val="00D1145E"/>
    <w:rsid w:val="00D14725"/>
    <w:rsid w:val="00D14DF5"/>
    <w:rsid w:val="00D16EFA"/>
    <w:rsid w:val="00D21219"/>
    <w:rsid w:val="00D21A6D"/>
    <w:rsid w:val="00D25413"/>
    <w:rsid w:val="00D2696F"/>
    <w:rsid w:val="00D34198"/>
    <w:rsid w:val="00D375D9"/>
    <w:rsid w:val="00D37BEF"/>
    <w:rsid w:val="00D41184"/>
    <w:rsid w:val="00D41B9C"/>
    <w:rsid w:val="00D5038C"/>
    <w:rsid w:val="00D50788"/>
    <w:rsid w:val="00D54122"/>
    <w:rsid w:val="00D544DB"/>
    <w:rsid w:val="00D547B9"/>
    <w:rsid w:val="00D55B0D"/>
    <w:rsid w:val="00D57EAD"/>
    <w:rsid w:val="00D60147"/>
    <w:rsid w:val="00D61BAF"/>
    <w:rsid w:val="00D63AE1"/>
    <w:rsid w:val="00D663B5"/>
    <w:rsid w:val="00D70B11"/>
    <w:rsid w:val="00D74BA9"/>
    <w:rsid w:val="00D75428"/>
    <w:rsid w:val="00D75698"/>
    <w:rsid w:val="00D81654"/>
    <w:rsid w:val="00D85B41"/>
    <w:rsid w:val="00D86DFF"/>
    <w:rsid w:val="00D907FC"/>
    <w:rsid w:val="00D9117B"/>
    <w:rsid w:val="00D9152E"/>
    <w:rsid w:val="00D9487A"/>
    <w:rsid w:val="00DA0C31"/>
    <w:rsid w:val="00DA0F26"/>
    <w:rsid w:val="00DA3068"/>
    <w:rsid w:val="00DA3E97"/>
    <w:rsid w:val="00DA6371"/>
    <w:rsid w:val="00DB09EB"/>
    <w:rsid w:val="00DB4075"/>
    <w:rsid w:val="00DB47FE"/>
    <w:rsid w:val="00DB4CFC"/>
    <w:rsid w:val="00DB5F0A"/>
    <w:rsid w:val="00DB6E78"/>
    <w:rsid w:val="00DB78C8"/>
    <w:rsid w:val="00DC06EE"/>
    <w:rsid w:val="00DC0E49"/>
    <w:rsid w:val="00DC464F"/>
    <w:rsid w:val="00DC5110"/>
    <w:rsid w:val="00DC5FD7"/>
    <w:rsid w:val="00DC6339"/>
    <w:rsid w:val="00DC7E72"/>
    <w:rsid w:val="00DD3086"/>
    <w:rsid w:val="00DD5FB3"/>
    <w:rsid w:val="00DD6373"/>
    <w:rsid w:val="00DD665E"/>
    <w:rsid w:val="00DD6681"/>
    <w:rsid w:val="00DD7629"/>
    <w:rsid w:val="00DE042B"/>
    <w:rsid w:val="00DE79E9"/>
    <w:rsid w:val="00DF1864"/>
    <w:rsid w:val="00DF50CF"/>
    <w:rsid w:val="00E04156"/>
    <w:rsid w:val="00E0510D"/>
    <w:rsid w:val="00E129F6"/>
    <w:rsid w:val="00E13CAB"/>
    <w:rsid w:val="00E1400D"/>
    <w:rsid w:val="00E1493F"/>
    <w:rsid w:val="00E16747"/>
    <w:rsid w:val="00E16D97"/>
    <w:rsid w:val="00E173FB"/>
    <w:rsid w:val="00E17B55"/>
    <w:rsid w:val="00E20FDB"/>
    <w:rsid w:val="00E20FF2"/>
    <w:rsid w:val="00E23C23"/>
    <w:rsid w:val="00E25E95"/>
    <w:rsid w:val="00E25EA7"/>
    <w:rsid w:val="00E26C50"/>
    <w:rsid w:val="00E26C82"/>
    <w:rsid w:val="00E27C0E"/>
    <w:rsid w:val="00E27DAE"/>
    <w:rsid w:val="00E32A9D"/>
    <w:rsid w:val="00E3305D"/>
    <w:rsid w:val="00E3439F"/>
    <w:rsid w:val="00E34C23"/>
    <w:rsid w:val="00E35DB5"/>
    <w:rsid w:val="00E360C9"/>
    <w:rsid w:val="00E41B78"/>
    <w:rsid w:val="00E42F8E"/>
    <w:rsid w:val="00E43CF8"/>
    <w:rsid w:val="00E458E2"/>
    <w:rsid w:val="00E46C43"/>
    <w:rsid w:val="00E52913"/>
    <w:rsid w:val="00E54C90"/>
    <w:rsid w:val="00E54D10"/>
    <w:rsid w:val="00E5603D"/>
    <w:rsid w:val="00E62860"/>
    <w:rsid w:val="00E6435D"/>
    <w:rsid w:val="00E6556F"/>
    <w:rsid w:val="00E65C35"/>
    <w:rsid w:val="00E6603D"/>
    <w:rsid w:val="00E82D14"/>
    <w:rsid w:val="00E87754"/>
    <w:rsid w:val="00E921D7"/>
    <w:rsid w:val="00E9229B"/>
    <w:rsid w:val="00E94521"/>
    <w:rsid w:val="00E9499C"/>
    <w:rsid w:val="00E95586"/>
    <w:rsid w:val="00E95D9A"/>
    <w:rsid w:val="00E9660E"/>
    <w:rsid w:val="00E97660"/>
    <w:rsid w:val="00EA0327"/>
    <w:rsid w:val="00EA1C89"/>
    <w:rsid w:val="00EA5F60"/>
    <w:rsid w:val="00EA65D1"/>
    <w:rsid w:val="00EA6689"/>
    <w:rsid w:val="00EA7934"/>
    <w:rsid w:val="00EB5087"/>
    <w:rsid w:val="00EB727B"/>
    <w:rsid w:val="00EC0063"/>
    <w:rsid w:val="00EC0085"/>
    <w:rsid w:val="00EC00B0"/>
    <w:rsid w:val="00EC1CD7"/>
    <w:rsid w:val="00EC3024"/>
    <w:rsid w:val="00EC7820"/>
    <w:rsid w:val="00ED000E"/>
    <w:rsid w:val="00ED03EC"/>
    <w:rsid w:val="00ED0F4B"/>
    <w:rsid w:val="00EE29AF"/>
    <w:rsid w:val="00EE358D"/>
    <w:rsid w:val="00EE64B3"/>
    <w:rsid w:val="00EE74FB"/>
    <w:rsid w:val="00EF1F61"/>
    <w:rsid w:val="00EF285C"/>
    <w:rsid w:val="00EF3A42"/>
    <w:rsid w:val="00F00D6D"/>
    <w:rsid w:val="00F01C6F"/>
    <w:rsid w:val="00F02A29"/>
    <w:rsid w:val="00F02F13"/>
    <w:rsid w:val="00F04F5B"/>
    <w:rsid w:val="00F052FB"/>
    <w:rsid w:val="00F10CB9"/>
    <w:rsid w:val="00F144B4"/>
    <w:rsid w:val="00F165EA"/>
    <w:rsid w:val="00F16B6F"/>
    <w:rsid w:val="00F2481F"/>
    <w:rsid w:val="00F2601D"/>
    <w:rsid w:val="00F300E6"/>
    <w:rsid w:val="00F317DD"/>
    <w:rsid w:val="00F33694"/>
    <w:rsid w:val="00F34A29"/>
    <w:rsid w:val="00F3598B"/>
    <w:rsid w:val="00F36BE6"/>
    <w:rsid w:val="00F40DD9"/>
    <w:rsid w:val="00F436D4"/>
    <w:rsid w:val="00F478DA"/>
    <w:rsid w:val="00F47A3C"/>
    <w:rsid w:val="00F53620"/>
    <w:rsid w:val="00F5452E"/>
    <w:rsid w:val="00F54B4D"/>
    <w:rsid w:val="00F5571C"/>
    <w:rsid w:val="00F57E4C"/>
    <w:rsid w:val="00F57ED8"/>
    <w:rsid w:val="00F6053B"/>
    <w:rsid w:val="00F622E1"/>
    <w:rsid w:val="00F7114C"/>
    <w:rsid w:val="00F737B8"/>
    <w:rsid w:val="00F768C2"/>
    <w:rsid w:val="00F81424"/>
    <w:rsid w:val="00F87E09"/>
    <w:rsid w:val="00F902CD"/>
    <w:rsid w:val="00F90D5E"/>
    <w:rsid w:val="00F95C17"/>
    <w:rsid w:val="00FA032A"/>
    <w:rsid w:val="00FA1045"/>
    <w:rsid w:val="00FA2483"/>
    <w:rsid w:val="00FA3C19"/>
    <w:rsid w:val="00FA4A34"/>
    <w:rsid w:val="00FA7D25"/>
    <w:rsid w:val="00FA7FD7"/>
    <w:rsid w:val="00FB29AB"/>
    <w:rsid w:val="00FB31BA"/>
    <w:rsid w:val="00FB4D7A"/>
    <w:rsid w:val="00FB544B"/>
    <w:rsid w:val="00FB5A18"/>
    <w:rsid w:val="00FB6EA1"/>
    <w:rsid w:val="00FB79B0"/>
    <w:rsid w:val="00FC056C"/>
    <w:rsid w:val="00FC19E6"/>
    <w:rsid w:val="00FC1AD4"/>
    <w:rsid w:val="00FC34F6"/>
    <w:rsid w:val="00FC3E57"/>
    <w:rsid w:val="00FC5384"/>
    <w:rsid w:val="00FC54F3"/>
    <w:rsid w:val="00FC6C52"/>
    <w:rsid w:val="00FD261B"/>
    <w:rsid w:val="00FD4351"/>
    <w:rsid w:val="00FD5A74"/>
    <w:rsid w:val="00FE0C42"/>
    <w:rsid w:val="00FE283B"/>
    <w:rsid w:val="00FE4DFB"/>
    <w:rsid w:val="00FE67FA"/>
    <w:rsid w:val="00FF07DB"/>
    <w:rsid w:val="00FF0B26"/>
    <w:rsid w:val="00FF13CC"/>
    <w:rsid w:val="00FF4026"/>
    <w:rsid w:val="00FF5EB9"/>
    <w:rsid w:val="00FF6C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024058"/>
  <w15:docId w15:val="{FFCEA3BD-F903-404B-9508-78F87E21E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sz w:val="22"/>
        <w:szCs w:val="22"/>
        <w:lang w:val="en-US" w:eastAsia="en-US"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8414B"/>
    <w:rPr>
      <w:sz w:val="20"/>
      <w:szCs w:val="20"/>
    </w:rPr>
  </w:style>
  <w:style w:type="character" w:customStyle="1" w:styleId="FootnoteTextChar">
    <w:name w:val="Footnote Text Char"/>
    <w:basedOn w:val="DefaultParagraphFont"/>
    <w:link w:val="FootnoteText"/>
    <w:uiPriority w:val="99"/>
    <w:rsid w:val="0058414B"/>
    <w:rPr>
      <w:sz w:val="20"/>
      <w:szCs w:val="20"/>
    </w:rPr>
  </w:style>
  <w:style w:type="character" w:styleId="FootnoteReference">
    <w:name w:val="footnote reference"/>
    <w:basedOn w:val="DefaultParagraphFont"/>
    <w:uiPriority w:val="99"/>
    <w:semiHidden/>
    <w:unhideWhenUsed/>
    <w:rsid w:val="0058414B"/>
    <w:rPr>
      <w:vertAlign w:val="superscript"/>
    </w:rPr>
  </w:style>
  <w:style w:type="paragraph" w:styleId="BalloonText">
    <w:name w:val="Balloon Text"/>
    <w:basedOn w:val="Normal"/>
    <w:link w:val="BalloonTextChar"/>
    <w:uiPriority w:val="99"/>
    <w:semiHidden/>
    <w:unhideWhenUsed/>
    <w:rsid w:val="002B71C2"/>
    <w:rPr>
      <w:rFonts w:ascii="Tahoma" w:hAnsi="Tahoma" w:cs="Tahoma"/>
      <w:sz w:val="16"/>
      <w:szCs w:val="16"/>
    </w:rPr>
  </w:style>
  <w:style w:type="character" w:customStyle="1" w:styleId="BalloonTextChar">
    <w:name w:val="Balloon Text Char"/>
    <w:basedOn w:val="DefaultParagraphFont"/>
    <w:link w:val="BalloonText"/>
    <w:uiPriority w:val="99"/>
    <w:semiHidden/>
    <w:rsid w:val="002B71C2"/>
    <w:rPr>
      <w:rFonts w:ascii="Tahoma" w:hAnsi="Tahoma" w:cs="Tahoma"/>
      <w:sz w:val="16"/>
      <w:szCs w:val="16"/>
    </w:rPr>
  </w:style>
  <w:style w:type="paragraph" w:styleId="Header">
    <w:name w:val="header"/>
    <w:basedOn w:val="Normal"/>
    <w:link w:val="HeaderChar"/>
    <w:uiPriority w:val="99"/>
    <w:unhideWhenUsed/>
    <w:rsid w:val="000A65FD"/>
    <w:pPr>
      <w:tabs>
        <w:tab w:val="center" w:pos="4680"/>
        <w:tab w:val="right" w:pos="9360"/>
      </w:tabs>
    </w:pPr>
  </w:style>
  <w:style w:type="character" w:customStyle="1" w:styleId="HeaderChar">
    <w:name w:val="Header Char"/>
    <w:basedOn w:val="DefaultParagraphFont"/>
    <w:link w:val="Header"/>
    <w:uiPriority w:val="99"/>
    <w:rsid w:val="000A65FD"/>
  </w:style>
  <w:style w:type="paragraph" w:styleId="Footer">
    <w:name w:val="footer"/>
    <w:basedOn w:val="Normal"/>
    <w:link w:val="FooterChar"/>
    <w:uiPriority w:val="99"/>
    <w:unhideWhenUsed/>
    <w:rsid w:val="000A65FD"/>
    <w:pPr>
      <w:tabs>
        <w:tab w:val="center" w:pos="4680"/>
        <w:tab w:val="right" w:pos="9360"/>
      </w:tabs>
    </w:pPr>
  </w:style>
  <w:style w:type="character" w:customStyle="1" w:styleId="FooterChar">
    <w:name w:val="Footer Char"/>
    <w:basedOn w:val="DefaultParagraphFont"/>
    <w:link w:val="Footer"/>
    <w:uiPriority w:val="99"/>
    <w:rsid w:val="000A65FD"/>
  </w:style>
  <w:style w:type="character" w:styleId="CommentReference">
    <w:name w:val="annotation reference"/>
    <w:basedOn w:val="DefaultParagraphFont"/>
    <w:uiPriority w:val="99"/>
    <w:semiHidden/>
    <w:unhideWhenUsed/>
    <w:rsid w:val="000A65FD"/>
    <w:rPr>
      <w:sz w:val="16"/>
      <w:szCs w:val="16"/>
    </w:rPr>
  </w:style>
  <w:style w:type="paragraph" w:styleId="CommentText">
    <w:name w:val="annotation text"/>
    <w:basedOn w:val="Normal"/>
    <w:link w:val="CommentTextChar"/>
    <w:uiPriority w:val="99"/>
    <w:semiHidden/>
    <w:unhideWhenUsed/>
    <w:rsid w:val="000A65FD"/>
    <w:rPr>
      <w:sz w:val="20"/>
      <w:szCs w:val="20"/>
    </w:rPr>
  </w:style>
  <w:style w:type="character" w:customStyle="1" w:styleId="CommentTextChar">
    <w:name w:val="Comment Text Char"/>
    <w:basedOn w:val="DefaultParagraphFont"/>
    <w:link w:val="CommentText"/>
    <w:uiPriority w:val="99"/>
    <w:semiHidden/>
    <w:rsid w:val="000A65FD"/>
    <w:rPr>
      <w:sz w:val="20"/>
      <w:szCs w:val="20"/>
    </w:rPr>
  </w:style>
  <w:style w:type="paragraph" w:styleId="CommentSubject">
    <w:name w:val="annotation subject"/>
    <w:basedOn w:val="CommentText"/>
    <w:next w:val="CommentText"/>
    <w:link w:val="CommentSubjectChar"/>
    <w:uiPriority w:val="99"/>
    <w:semiHidden/>
    <w:unhideWhenUsed/>
    <w:rsid w:val="000A65FD"/>
    <w:rPr>
      <w:b/>
      <w:bCs/>
    </w:rPr>
  </w:style>
  <w:style w:type="character" w:customStyle="1" w:styleId="CommentSubjectChar">
    <w:name w:val="Comment Subject Char"/>
    <w:basedOn w:val="CommentTextChar"/>
    <w:link w:val="CommentSubject"/>
    <w:uiPriority w:val="99"/>
    <w:semiHidden/>
    <w:rsid w:val="000A65FD"/>
    <w:rPr>
      <w:b/>
      <w:bCs/>
      <w:sz w:val="20"/>
      <w:szCs w:val="20"/>
    </w:rPr>
  </w:style>
  <w:style w:type="paragraph" w:styleId="ListParagraph">
    <w:name w:val="List Paragraph"/>
    <w:basedOn w:val="Normal"/>
    <w:uiPriority w:val="34"/>
    <w:qFormat/>
    <w:rsid w:val="00C75ED4"/>
    <w:pPr>
      <w:ind w:left="720"/>
      <w:contextualSpacing/>
    </w:pPr>
  </w:style>
  <w:style w:type="character" w:styleId="Hyperlink">
    <w:name w:val="Hyperlink"/>
    <w:basedOn w:val="DefaultParagraphFont"/>
    <w:uiPriority w:val="99"/>
    <w:unhideWhenUsed/>
    <w:rsid w:val="00B96688"/>
    <w:rPr>
      <w:color w:val="0000FF" w:themeColor="hyperlink"/>
      <w:u w:val="single"/>
    </w:rPr>
  </w:style>
  <w:style w:type="character" w:styleId="UnresolvedMention">
    <w:name w:val="Unresolved Mention"/>
    <w:basedOn w:val="DefaultParagraphFont"/>
    <w:uiPriority w:val="99"/>
    <w:semiHidden/>
    <w:unhideWhenUsed/>
    <w:rsid w:val="00B96688"/>
    <w:rPr>
      <w:color w:val="605E5C"/>
      <w:shd w:val="clear" w:color="auto" w:fill="E1DFDD"/>
    </w:rPr>
  </w:style>
  <w:style w:type="paragraph" w:styleId="HTMLPreformatted">
    <w:name w:val="HTML Preformatted"/>
    <w:basedOn w:val="Normal"/>
    <w:link w:val="HTMLPreformattedChar"/>
    <w:uiPriority w:val="99"/>
    <w:semiHidden/>
    <w:unhideWhenUsed/>
    <w:rsid w:val="00F300E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300E6"/>
    <w:rPr>
      <w:rFonts w:ascii="Consolas" w:hAnsi="Consolas"/>
      <w:sz w:val="20"/>
      <w:szCs w:val="20"/>
    </w:rPr>
  </w:style>
  <w:style w:type="paragraph" w:styleId="Revision">
    <w:name w:val="Revision"/>
    <w:hidden/>
    <w:uiPriority w:val="99"/>
    <w:semiHidden/>
    <w:rsid w:val="00525D0F"/>
    <w:pPr>
      <w:spacing w:line="240" w:lineRule="auto"/>
    </w:pPr>
  </w:style>
  <w:style w:type="table" w:styleId="TableGrid">
    <w:name w:val="Table Grid"/>
    <w:basedOn w:val="TableNormal"/>
    <w:uiPriority w:val="59"/>
    <w:rsid w:val="0011160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571A5"/>
    <w:pPr>
      <w:autoSpaceDE w:val="0"/>
      <w:autoSpaceDN w:val="0"/>
      <w:adjustRightInd w:val="0"/>
      <w:spacing w:line="240" w:lineRule="auto"/>
    </w:pPr>
    <w:rPr>
      <w:color w:val="000000"/>
      <w:sz w:val="24"/>
      <w:szCs w:val="24"/>
    </w:rPr>
  </w:style>
  <w:style w:type="character" w:customStyle="1" w:styleId="ssit2">
    <w:name w:val="ss_it2"/>
    <w:basedOn w:val="DefaultParagraphFont"/>
    <w:rsid w:val="00166F30"/>
    <w:rPr>
      <w:i/>
      <w:iCs/>
    </w:rPr>
  </w:style>
  <w:style w:type="paragraph" w:styleId="NormalWeb">
    <w:name w:val="Normal (Web)"/>
    <w:basedOn w:val="Normal"/>
    <w:uiPriority w:val="99"/>
    <w:semiHidden/>
    <w:unhideWhenUsed/>
    <w:rsid w:val="000E6DA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9804">
      <w:bodyDiv w:val="1"/>
      <w:marLeft w:val="0"/>
      <w:marRight w:val="0"/>
      <w:marTop w:val="0"/>
      <w:marBottom w:val="0"/>
      <w:divBdr>
        <w:top w:val="none" w:sz="0" w:space="0" w:color="auto"/>
        <w:left w:val="none" w:sz="0" w:space="0" w:color="auto"/>
        <w:bottom w:val="none" w:sz="0" w:space="0" w:color="auto"/>
        <w:right w:val="none" w:sz="0" w:space="0" w:color="auto"/>
      </w:divBdr>
      <w:divsChild>
        <w:div w:id="532157982">
          <w:marLeft w:val="0"/>
          <w:marRight w:val="0"/>
          <w:marTop w:val="0"/>
          <w:marBottom w:val="0"/>
          <w:divBdr>
            <w:top w:val="none" w:sz="0" w:space="0" w:color="auto"/>
            <w:left w:val="none" w:sz="0" w:space="0" w:color="auto"/>
            <w:bottom w:val="none" w:sz="0" w:space="0" w:color="auto"/>
            <w:right w:val="none" w:sz="0" w:space="0" w:color="auto"/>
          </w:divBdr>
          <w:divsChild>
            <w:div w:id="1327321144">
              <w:marLeft w:val="0"/>
              <w:marRight w:val="0"/>
              <w:marTop w:val="0"/>
              <w:marBottom w:val="0"/>
              <w:divBdr>
                <w:top w:val="none" w:sz="0" w:space="0" w:color="auto"/>
                <w:left w:val="none" w:sz="0" w:space="0" w:color="auto"/>
                <w:bottom w:val="none" w:sz="0" w:space="0" w:color="auto"/>
                <w:right w:val="none" w:sz="0" w:space="0" w:color="auto"/>
              </w:divBdr>
              <w:divsChild>
                <w:div w:id="1361780513">
                  <w:marLeft w:val="0"/>
                  <w:marRight w:val="300"/>
                  <w:marTop w:val="0"/>
                  <w:marBottom w:val="0"/>
                  <w:divBdr>
                    <w:top w:val="none" w:sz="0" w:space="0" w:color="auto"/>
                    <w:left w:val="none" w:sz="0" w:space="0" w:color="auto"/>
                    <w:bottom w:val="none" w:sz="0" w:space="0" w:color="auto"/>
                    <w:right w:val="none" w:sz="0" w:space="0" w:color="auto"/>
                  </w:divBdr>
                  <w:divsChild>
                    <w:div w:id="1935243868">
                      <w:marLeft w:val="0"/>
                      <w:marRight w:val="300"/>
                      <w:marTop w:val="0"/>
                      <w:marBottom w:val="0"/>
                      <w:divBdr>
                        <w:top w:val="none" w:sz="0" w:space="0" w:color="auto"/>
                        <w:left w:val="none" w:sz="0" w:space="0" w:color="auto"/>
                        <w:bottom w:val="none" w:sz="0" w:space="0" w:color="auto"/>
                        <w:right w:val="none" w:sz="0" w:space="0" w:color="auto"/>
                      </w:divBdr>
                      <w:divsChild>
                        <w:div w:id="17492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689732">
      <w:bodyDiv w:val="1"/>
      <w:marLeft w:val="0"/>
      <w:marRight w:val="0"/>
      <w:marTop w:val="0"/>
      <w:marBottom w:val="0"/>
      <w:divBdr>
        <w:top w:val="none" w:sz="0" w:space="0" w:color="auto"/>
        <w:left w:val="none" w:sz="0" w:space="0" w:color="auto"/>
        <w:bottom w:val="none" w:sz="0" w:space="0" w:color="auto"/>
        <w:right w:val="none" w:sz="0" w:space="0" w:color="auto"/>
      </w:divBdr>
    </w:div>
    <w:div w:id="218171974">
      <w:bodyDiv w:val="1"/>
      <w:marLeft w:val="0"/>
      <w:marRight w:val="0"/>
      <w:marTop w:val="0"/>
      <w:marBottom w:val="0"/>
      <w:divBdr>
        <w:top w:val="none" w:sz="0" w:space="0" w:color="auto"/>
        <w:left w:val="none" w:sz="0" w:space="0" w:color="auto"/>
        <w:bottom w:val="none" w:sz="0" w:space="0" w:color="auto"/>
        <w:right w:val="none" w:sz="0" w:space="0" w:color="auto"/>
      </w:divBdr>
      <w:divsChild>
        <w:div w:id="133379463">
          <w:marLeft w:val="0"/>
          <w:marRight w:val="0"/>
          <w:marTop w:val="0"/>
          <w:marBottom w:val="0"/>
          <w:divBdr>
            <w:top w:val="none" w:sz="0" w:space="0" w:color="auto"/>
            <w:left w:val="none" w:sz="0" w:space="0" w:color="auto"/>
            <w:bottom w:val="none" w:sz="0" w:space="0" w:color="auto"/>
            <w:right w:val="none" w:sz="0" w:space="0" w:color="auto"/>
          </w:divBdr>
          <w:divsChild>
            <w:div w:id="251741606">
              <w:marLeft w:val="0"/>
              <w:marRight w:val="0"/>
              <w:marTop w:val="0"/>
              <w:marBottom w:val="0"/>
              <w:divBdr>
                <w:top w:val="none" w:sz="0" w:space="0" w:color="auto"/>
                <w:left w:val="none" w:sz="0" w:space="0" w:color="auto"/>
                <w:bottom w:val="none" w:sz="0" w:space="0" w:color="auto"/>
                <w:right w:val="none" w:sz="0" w:space="0" w:color="auto"/>
              </w:divBdr>
              <w:divsChild>
                <w:div w:id="324213772">
                  <w:marLeft w:val="0"/>
                  <w:marRight w:val="0"/>
                  <w:marTop w:val="0"/>
                  <w:marBottom w:val="0"/>
                  <w:divBdr>
                    <w:top w:val="none" w:sz="0" w:space="0" w:color="auto"/>
                    <w:left w:val="none" w:sz="0" w:space="0" w:color="auto"/>
                    <w:bottom w:val="none" w:sz="0" w:space="0" w:color="auto"/>
                    <w:right w:val="none" w:sz="0" w:space="0" w:color="auto"/>
                  </w:divBdr>
                  <w:divsChild>
                    <w:div w:id="992024278">
                      <w:marLeft w:val="0"/>
                      <w:marRight w:val="0"/>
                      <w:marTop w:val="0"/>
                      <w:marBottom w:val="0"/>
                      <w:divBdr>
                        <w:top w:val="none" w:sz="0" w:space="0" w:color="auto"/>
                        <w:left w:val="none" w:sz="0" w:space="0" w:color="auto"/>
                        <w:bottom w:val="none" w:sz="0" w:space="0" w:color="auto"/>
                        <w:right w:val="none" w:sz="0" w:space="0" w:color="auto"/>
                      </w:divBdr>
                      <w:divsChild>
                        <w:div w:id="348410327">
                          <w:marLeft w:val="0"/>
                          <w:marRight w:val="0"/>
                          <w:marTop w:val="0"/>
                          <w:marBottom w:val="0"/>
                          <w:divBdr>
                            <w:top w:val="none" w:sz="0" w:space="0" w:color="auto"/>
                            <w:left w:val="none" w:sz="0" w:space="0" w:color="auto"/>
                            <w:bottom w:val="none" w:sz="0" w:space="0" w:color="auto"/>
                            <w:right w:val="none" w:sz="0" w:space="0" w:color="auto"/>
                          </w:divBdr>
                          <w:divsChild>
                            <w:div w:id="187719016">
                              <w:marLeft w:val="0"/>
                              <w:marRight w:val="0"/>
                              <w:marTop w:val="0"/>
                              <w:marBottom w:val="0"/>
                              <w:divBdr>
                                <w:top w:val="none" w:sz="0" w:space="0" w:color="auto"/>
                                <w:left w:val="none" w:sz="0" w:space="0" w:color="auto"/>
                                <w:bottom w:val="none" w:sz="0" w:space="0" w:color="auto"/>
                                <w:right w:val="none" w:sz="0" w:space="0" w:color="auto"/>
                              </w:divBdr>
                              <w:divsChild>
                                <w:div w:id="1452432798">
                                  <w:marLeft w:val="0"/>
                                  <w:marRight w:val="0"/>
                                  <w:marTop w:val="0"/>
                                  <w:marBottom w:val="0"/>
                                  <w:divBdr>
                                    <w:top w:val="none" w:sz="0" w:space="0" w:color="auto"/>
                                    <w:left w:val="none" w:sz="0" w:space="0" w:color="auto"/>
                                    <w:bottom w:val="none" w:sz="0" w:space="0" w:color="auto"/>
                                    <w:right w:val="none" w:sz="0" w:space="0" w:color="auto"/>
                                  </w:divBdr>
                                  <w:divsChild>
                                    <w:div w:id="1603224947">
                                      <w:marLeft w:val="0"/>
                                      <w:marRight w:val="0"/>
                                      <w:marTop w:val="0"/>
                                      <w:marBottom w:val="0"/>
                                      <w:divBdr>
                                        <w:top w:val="none" w:sz="0" w:space="0" w:color="auto"/>
                                        <w:left w:val="none" w:sz="0" w:space="0" w:color="auto"/>
                                        <w:bottom w:val="none" w:sz="0" w:space="0" w:color="auto"/>
                                        <w:right w:val="none" w:sz="0" w:space="0" w:color="auto"/>
                                      </w:divBdr>
                                      <w:divsChild>
                                        <w:div w:id="744231459">
                                          <w:marLeft w:val="0"/>
                                          <w:marRight w:val="0"/>
                                          <w:marTop w:val="0"/>
                                          <w:marBottom w:val="0"/>
                                          <w:divBdr>
                                            <w:top w:val="none" w:sz="0" w:space="0" w:color="auto"/>
                                            <w:left w:val="none" w:sz="0" w:space="0" w:color="auto"/>
                                            <w:bottom w:val="none" w:sz="0" w:space="0" w:color="auto"/>
                                            <w:right w:val="none" w:sz="0" w:space="0" w:color="auto"/>
                                          </w:divBdr>
                                          <w:divsChild>
                                            <w:div w:id="557784314">
                                              <w:marLeft w:val="0"/>
                                              <w:marRight w:val="0"/>
                                              <w:marTop w:val="0"/>
                                              <w:marBottom w:val="0"/>
                                              <w:divBdr>
                                                <w:top w:val="none" w:sz="0" w:space="0" w:color="auto"/>
                                                <w:left w:val="none" w:sz="0" w:space="0" w:color="auto"/>
                                                <w:bottom w:val="none" w:sz="0" w:space="0" w:color="auto"/>
                                                <w:right w:val="none" w:sz="0" w:space="0" w:color="auto"/>
                                              </w:divBdr>
                                              <w:divsChild>
                                                <w:div w:id="1722708454">
                                                  <w:marLeft w:val="0"/>
                                                  <w:marRight w:val="0"/>
                                                  <w:marTop w:val="0"/>
                                                  <w:marBottom w:val="0"/>
                                                  <w:divBdr>
                                                    <w:top w:val="none" w:sz="0" w:space="0" w:color="auto"/>
                                                    <w:left w:val="none" w:sz="0" w:space="0" w:color="auto"/>
                                                    <w:bottom w:val="none" w:sz="0" w:space="0" w:color="auto"/>
                                                    <w:right w:val="none" w:sz="0" w:space="0" w:color="auto"/>
                                                  </w:divBdr>
                                                  <w:divsChild>
                                                    <w:div w:id="1918511106">
                                                      <w:marLeft w:val="0"/>
                                                      <w:marRight w:val="0"/>
                                                      <w:marTop w:val="240"/>
                                                      <w:marBottom w:val="60"/>
                                                      <w:divBdr>
                                                        <w:top w:val="none" w:sz="0" w:space="0" w:color="auto"/>
                                                        <w:left w:val="none" w:sz="0" w:space="0" w:color="auto"/>
                                                        <w:bottom w:val="none" w:sz="0" w:space="0" w:color="auto"/>
                                                        <w:right w:val="none" w:sz="0" w:space="0" w:color="auto"/>
                                                      </w:divBdr>
                                                      <w:divsChild>
                                                        <w:div w:id="1036731366">
                                                          <w:marLeft w:val="240"/>
                                                          <w:marRight w:val="0"/>
                                                          <w:marTop w:val="60"/>
                                                          <w:marBottom w:val="60"/>
                                                          <w:divBdr>
                                                            <w:top w:val="none" w:sz="0" w:space="0" w:color="auto"/>
                                                            <w:left w:val="none" w:sz="0" w:space="0" w:color="auto"/>
                                                            <w:bottom w:val="none" w:sz="0" w:space="0" w:color="auto"/>
                                                            <w:right w:val="none" w:sz="0" w:space="0" w:color="auto"/>
                                                          </w:divBdr>
                                                          <w:divsChild>
                                                            <w:div w:id="1154302505">
                                                              <w:marLeft w:val="240"/>
                                                              <w:marRight w:val="0"/>
                                                              <w:marTop w:val="60"/>
                                                              <w:marBottom w:val="60"/>
                                                              <w:divBdr>
                                                                <w:top w:val="none" w:sz="0" w:space="0" w:color="auto"/>
                                                                <w:left w:val="none" w:sz="0" w:space="0" w:color="auto"/>
                                                                <w:bottom w:val="none" w:sz="0" w:space="0" w:color="auto"/>
                                                                <w:right w:val="none" w:sz="0" w:space="0" w:color="auto"/>
                                                              </w:divBdr>
                                                              <w:divsChild>
                                                                <w:div w:id="462966414">
                                                                  <w:marLeft w:val="240"/>
                                                                  <w:marRight w:val="0"/>
                                                                  <w:marTop w:val="60"/>
                                                                  <w:marBottom w:val="60"/>
                                                                  <w:divBdr>
                                                                    <w:top w:val="none" w:sz="0" w:space="0" w:color="auto"/>
                                                                    <w:left w:val="none" w:sz="0" w:space="0" w:color="auto"/>
                                                                    <w:bottom w:val="none" w:sz="0" w:space="0" w:color="auto"/>
                                                                    <w:right w:val="none" w:sz="0" w:space="0" w:color="auto"/>
                                                                  </w:divBdr>
                                                                  <w:divsChild>
                                                                    <w:div w:id="150531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45265877">
      <w:bodyDiv w:val="1"/>
      <w:marLeft w:val="0"/>
      <w:marRight w:val="0"/>
      <w:marTop w:val="0"/>
      <w:marBottom w:val="0"/>
      <w:divBdr>
        <w:top w:val="none" w:sz="0" w:space="0" w:color="auto"/>
        <w:left w:val="none" w:sz="0" w:space="0" w:color="auto"/>
        <w:bottom w:val="none" w:sz="0" w:space="0" w:color="auto"/>
        <w:right w:val="none" w:sz="0" w:space="0" w:color="auto"/>
      </w:divBdr>
      <w:divsChild>
        <w:div w:id="1003629291">
          <w:marLeft w:val="0"/>
          <w:marRight w:val="0"/>
          <w:marTop w:val="0"/>
          <w:marBottom w:val="0"/>
          <w:divBdr>
            <w:top w:val="none" w:sz="0" w:space="0" w:color="auto"/>
            <w:left w:val="none" w:sz="0" w:space="0" w:color="auto"/>
            <w:bottom w:val="none" w:sz="0" w:space="0" w:color="auto"/>
            <w:right w:val="none" w:sz="0" w:space="0" w:color="auto"/>
          </w:divBdr>
          <w:divsChild>
            <w:div w:id="1274165967">
              <w:marLeft w:val="0"/>
              <w:marRight w:val="0"/>
              <w:marTop w:val="0"/>
              <w:marBottom w:val="0"/>
              <w:divBdr>
                <w:top w:val="none" w:sz="0" w:space="0" w:color="auto"/>
                <w:left w:val="none" w:sz="0" w:space="0" w:color="auto"/>
                <w:bottom w:val="none" w:sz="0" w:space="0" w:color="auto"/>
                <w:right w:val="none" w:sz="0" w:space="0" w:color="auto"/>
              </w:divBdr>
              <w:divsChild>
                <w:div w:id="1863590196">
                  <w:marLeft w:val="0"/>
                  <w:marRight w:val="0"/>
                  <w:marTop w:val="0"/>
                  <w:marBottom w:val="0"/>
                  <w:divBdr>
                    <w:top w:val="none" w:sz="0" w:space="0" w:color="auto"/>
                    <w:left w:val="none" w:sz="0" w:space="0" w:color="auto"/>
                    <w:bottom w:val="none" w:sz="0" w:space="0" w:color="auto"/>
                    <w:right w:val="none" w:sz="0" w:space="0" w:color="auto"/>
                  </w:divBdr>
                  <w:divsChild>
                    <w:div w:id="1277561583">
                      <w:marLeft w:val="0"/>
                      <w:marRight w:val="0"/>
                      <w:marTop w:val="0"/>
                      <w:marBottom w:val="0"/>
                      <w:divBdr>
                        <w:top w:val="none" w:sz="0" w:space="0" w:color="auto"/>
                        <w:left w:val="none" w:sz="0" w:space="0" w:color="auto"/>
                        <w:bottom w:val="none" w:sz="0" w:space="0" w:color="auto"/>
                        <w:right w:val="none" w:sz="0" w:space="0" w:color="auto"/>
                      </w:divBdr>
                      <w:divsChild>
                        <w:div w:id="6955663">
                          <w:marLeft w:val="0"/>
                          <w:marRight w:val="0"/>
                          <w:marTop w:val="0"/>
                          <w:marBottom w:val="0"/>
                          <w:divBdr>
                            <w:top w:val="none" w:sz="0" w:space="0" w:color="auto"/>
                            <w:left w:val="none" w:sz="0" w:space="0" w:color="auto"/>
                            <w:bottom w:val="none" w:sz="0" w:space="0" w:color="auto"/>
                            <w:right w:val="none" w:sz="0" w:space="0" w:color="auto"/>
                          </w:divBdr>
                          <w:divsChild>
                            <w:div w:id="2107533332">
                              <w:marLeft w:val="0"/>
                              <w:marRight w:val="0"/>
                              <w:marTop w:val="0"/>
                              <w:marBottom w:val="0"/>
                              <w:divBdr>
                                <w:top w:val="none" w:sz="0" w:space="0" w:color="auto"/>
                                <w:left w:val="none" w:sz="0" w:space="0" w:color="auto"/>
                                <w:bottom w:val="none" w:sz="0" w:space="0" w:color="auto"/>
                                <w:right w:val="none" w:sz="0" w:space="0" w:color="auto"/>
                              </w:divBdr>
                              <w:divsChild>
                                <w:div w:id="407729510">
                                  <w:marLeft w:val="0"/>
                                  <w:marRight w:val="0"/>
                                  <w:marTop w:val="0"/>
                                  <w:marBottom w:val="0"/>
                                  <w:divBdr>
                                    <w:top w:val="none" w:sz="0" w:space="0" w:color="auto"/>
                                    <w:left w:val="none" w:sz="0" w:space="0" w:color="auto"/>
                                    <w:bottom w:val="none" w:sz="0" w:space="0" w:color="auto"/>
                                    <w:right w:val="none" w:sz="0" w:space="0" w:color="auto"/>
                                  </w:divBdr>
                                  <w:divsChild>
                                    <w:div w:id="1970013879">
                                      <w:marLeft w:val="0"/>
                                      <w:marRight w:val="0"/>
                                      <w:marTop w:val="0"/>
                                      <w:marBottom w:val="0"/>
                                      <w:divBdr>
                                        <w:top w:val="none" w:sz="0" w:space="0" w:color="auto"/>
                                        <w:left w:val="none" w:sz="0" w:space="0" w:color="auto"/>
                                        <w:bottom w:val="none" w:sz="0" w:space="0" w:color="auto"/>
                                        <w:right w:val="none" w:sz="0" w:space="0" w:color="auto"/>
                                      </w:divBdr>
                                      <w:divsChild>
                                        <w:div w:id="1119573108">
                                          <w:marLeft w:val="0"/>
                                          <w:marRight w:val="0"/>
                                          <w:marTop w:val="0"/>
                                          <w:marBottom w:val="0"/>
                                          <w:divBdr>
                                            <w:top w:val="none" w:sz="0" w:space="0" w:color="auto"/>
                                            <w:left w:val="none" w:sz="0" w:space="0" w:color="auto"/>
                                            <w:bottom w:val="none" w:sz="0" w:space="0" w:color="auto"/>
                                            <w:right w:val="none" w:sz="0" w:space="0" w:color="auto"/>
                                          </w:divBdr>
                                          <w:divsChild>
                                            <w:div w:id="1911848690">
                                              <w:marLeft w:val="0"/>
                                              <w:marRight w:val="0"/>
                                              <w:marTop w:val="0"/>
                                              <w:marBottom w:val="0"/>
                                              <w:divBdr>
                                                <w:top w:val="none" w:sz="0" w:space="0" w:color="auto"/>
                                                <w:left w:val="none" w:sz="0" w:space="0" w:color="auto"/>
                                                <w:bottom w:val="none" w:sz="0" w:space="0" w:color="auto"/>
                                                <w:right w:val="none" w:sz="0" w:space="0" w:color="auto"/>
                                              </w:divBdr>
                                              <w:divsChild>
                                                <w:div w:id="1124077101">
                                                  <w:marLeft w:val="0"/>
                                                  <w:marRight w:val="0"/>
                                                  <w:marTop w:val="0"/>
                                                  <w:marBottom w:val="0"/>
                                                  <w:divBdr>
                                                    <w:top w:val="none" w:sz="0" w:space="0" w:color="auto"/>
                                                    <w:left w:val="none" w:sz="0" w:space="0" w:color="auto"/>
                                                    <w:bottom w:val="none" w:sz="0" w:space="0" w:color="auto"/>
                                                    <w:right w:val="none" w:sz="0" w:space="0" w:color="auto"/>
                                                  </w:divBdr>
                                                  <w:divsChild>
                                                    <w:div w:id="1053191130">
                                                      <w:marLeft w:val="0"/>
                                                      <w:marRight w:val="0"/>
                                                      <w:marTop w:val="240"/>
                                                      <w:marBottom w:val="60"/>
                                                      <w:divBdr>
                                                        <w:top w:val="none" w:sz="0" w:space="0" w:color="auto"/>
                                                        <w:left w:val="none" w:sz="0" w:space="0" w:color="auto"/>
                                                        <w:bottom w:val="none" w:sz="0" w:space="0" w:color="auto"/>
                                                        <w:right w:val="none" w:sz="0" w:space="0" w:color="auto"/>
                                                      </w:divBdr>
                                                      <w:divsChild>
                                                        <w:div w:id="380636696">
                                                          <w:marLeft w:val="240"/>
                                                          <w:marRight w:val="0"/>
                                                          <w:marTop w:val="60"/>
                                                          <w:marBottom w:val="60"/>
                                                          <w:divBdr>
                                                            <w:top w:val="none" w:sz="0" w:space="0" w:color="auto"/>
                                                            <w:left w:val="none" w:sz="0" w:space="0" w:color="auto"/>
                                                            <w:bottom w:val="none" w:sz="0" w:space="0" w:color="auto"/>
                                                            <w:right w:val="none" w:sz="0" w:space="0" w:color="auto"/>
                                                          </w:divBdr>
                                                          <w:divsChild>
                                                            <w:div w:id="1424912122">
                                                              <w:marLeft w:val="240"/>
                                                              <w:marRight w:val="0"/>
                                                              <w:marTop w:val="60"/>
                                                              <w:marBottom w:val="60"/>
                                                              <w:divBdr>
                                                                <w:top w:val="none" w:sz="0" w:space="0" w:color="auto"/>
                                                                <w:left w:val="none" w:sz="0" w:space="0" w:color="auto"/>
                                                                <w:bottom w:val="none" w:sz="0" w:space="0" w:color="auto"/>
                                                                <w:right w:val="none" w:sz="0" w:space="0" w:color="auto"/>
                                                              </w:divBdr>
                                                              <w:divsChild>
                                                                <w:div w:id="173874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30839410">
      <w:bodyDiv w:val="1"/>
      <w:marLeft w:val="0"/>
      <w:marRight w:val="0"/>
      <w:marTop w:val="0"/>
      <w:marBottom w:val="0"/>
      <w:divBdr>
        <w:top w:val="none" w:sz="0" w:space="0" w:color="auto"/>
        <w:left w:val="none" w:sz="0" w:space="0" w:color="auto"/>
        <w:bottom w:val="none" w:sz="0" w:space="0" w:color="auto"/>
        <w:right w:val="none" w:sz="0" w:space="0" w:color="auto"/>
      </w:divBdr>
    </w:div>
    <w:div w:id="333997816">
      <w:bodyDiv w:val="1"/>
      <w:marLeft w:val="0"/>
      <w:marRight w:val="0"/>
      <w:marTop w:val="0"/>
      <w:marBottom w:val="0"/>
      <w:divBdr>
        <w:top w:val="none" w:sz="0" w:space="0" w:color="auto"/>
        <w:left w:val="none" w:sz="0" w:space="0" w:color="auto"/>
        <w:bottom w:val="none" w:sz="0" w:space="0" w:color="auto"/>
        <w:right w:val="none" w:sz="0" w:space="0" w:color="auto"/>
      </w:divBdr>
      <w:divsChild>
        <w:div w:id="1874531850">
          <w:marLeft w:val="547"/>
          <w:marRight w:val="0"/>
          <w:marTop w:val="96"/>
          <w:marBottom w:val="0"/>
          <w:divBdr>
            <w:top w:val="none" w:sz="0" w:space="0" w:color="auto"/>
            <w:left w:val="none" w:sz="0" w:space="0" w:color="auto"/>
            <w:bottom w:val="none" w:sz="0" w:space="0" w:color="auto"/>
            <w:right w:val="none" w:sz="0" w:space="0" w:color="auto"/>
          </w:divBdr>
        </w:div>
      </w:divsChild>
    </w:div>
    <w:div w:id="367295568">
      <w:bodyDiv w:val="1"/>
      <w:marLeft w:val="0"/>
      <w:marRight w:val="0"/>
      <w:marTop w:val="0"/>
      <w:marBottom w:val="0"/>
      <w:divBdr>
        <w:top w:val="none" w:sz="0" w:space="0" w:color="auto"/>
        <w:left w:val="none" w:sz="0" w:space="0" w:color="auto"/>
        <w:bottom w:val="none" w:sz="0" w:space="0" w:color="auto"/>
        <w:right w:val="none" w:sz="0" w:space="0" w:color="auto"/>
      </w:divBdr>
      <w:divsChild>
        <w:div w:id="1022322832">
          <w:marLeft w:val="0"/>
          <w:marRight w:val="0"/>
          <w:marTop w:val="0"/>
          <w:marBottom w:val="0"/>
          <w:divBdr>
            <w:top w:val="none" w:sz="0" w:space="0" w:color="auto"/>
            <w:left w:val="none" w:sz="0" w:space="0" w:color="auto"/>
            <w:bottom w:val="none" w:sz="0" w:space="0" w:color="auto"/>
            <w:right w:val="none" w:sz="0" w:space="0" w:color="auto"/>
          </w:divBdr>
          <w:divsChild>
            <w:div w:id="368920262">
              <w:marLeft w:val="0"/>
              <w:marRight w:val="0"/>
              <w:marTop w:val="0"/>
              <w:marBottom w:val="0"/>
              <w:divBdr>
                <w:top w:val="none" w:sz="0" w:space="0" w:color="auto"/>
                <w:left w:val="none" w:sz="0" w:space="0" w:color="auto"/>
                <w:bottom w:val="none" w:sz="0" w:space="0" w:color="auto"/>
                <w:right w:val="none" w:sz="0" w:space="0" w:color="auto"/>
              </w:divBdr>
              <w:divsChild>
                <w:div w:id="905141679">
                  <w:marLeft w:val="0"/>
                  <w:marRight w:val="0"/>
                  <w:marTop w:val="0"/>
                  <w:marBottom w:val="0"/>
                  <w:divBdr>
                    <w:top w:val="none" w:sz="0" w:space="0" w:color="auto"/>
                    <w:left w:val="none" w:sz="0" w:space="0" w:color="auto"/>
                    <w:bottom w:val="none" w:sz="0" w:space="0" w:color="auto"/>
                    <w:right w:val="none" w:sz="0" w:space="0" w:color="auto"/>
                  </w:divBdr>
                  <w:divsChild>
                    <w:div w:id="1409033367">
                      <w:marLeft w:val="0"/>
                      <w:marRight w:val="0"/>
                      <w:marTop w:val="0"/>
                      <w:marBottom w:val="0"/>
                      <w:divBdr>
                        <w:top w:val="none" w:sz="0" w:space="0" w:color="auto"/>
                        <w:left w:val="none" w:sz="0" w:space="0" w:color="auto"/>
                        <w:bottom w:val="none" w:sz="0" w:space="0" w:color="auto"/>
                        <w:right w:val="none" w:sz="0" w:space="0" w:color="auto"/>
                      </w:divBdr>
                      <w:divsChild>
                        <w:div w:id="195239914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51540325">
                              <w:marLeft w:val="0"/>
                              <w:marRight w:val="0"/>
                              <w:marTop w:val="0"/>
                              <w:marBottom w:val="0"/>
                              <w:divBdr>
                                <w:top w:val="none" w:sz="0" w:space="0" w:color="auto"/>
                                <w:left w:val="none" w:sz="0" w:space="0" w:color="auto"/>
                                <w:bottom w:val="none" w:sz="0" w:space="0" w:color="auto"/>
                                <w:right w:val="none" w:sz="0" w:space="0" w:color="auto"/>
                              </w:divBdr>
                              <w:divsChild>
                                <w:div w:id="1307929725">
                                  <w:marLeft w:val="0"/>
                                  <w:marRight w:val="0"/>
                                  <w:marTop w:val="240"/>
                                  <w:marBottom w:val="0"/>
                                  <w:divBdr>
                                    <w:top w:val="none" w:sz="0" w:space="0" w:color="auto"/>
                                    <w:left w:val="none" w:sz="0" w:space="0" w:color="auto"/>
                                    <w:bottom w:val="none" w:sz="0" w:space="0" w:color="auto"/>
                                    <w:right w:val="none" w:sz="0" w:space="0" w:color="auto"/>
                                  </w:divBdr>
                                  <w:divsChild>
                                    <w:div w:id="1518035370">
                                      <w:marLeft w:val="0"/>
                                      <w:marRight w:val="0"/>
                                      <w:marTop w:val="0"/>
                                      <w:marBottom w:val="0"/>
                                      <w:divBdr>
                                        <w:top w:val="none" w:sz="0" w:space="0" w:color="auto"/>
                                        <w:left w:val="none" w:sz="0" w:space="0" w:color="auto"/>
                                        <w:bottom w:val="none" w:sz="0" w:space="0" w:color="auto"/>
                                        <w:right w:val="none" w:sz="0" w:space="0" w:color="auto"/>
                                      </w:divBdr>
                                      <w:divsChild>
                                        <w:div w:id="1966305033">
                                          <w:marLeft w:val="1275"/>
                                          <w:marRight w:val="0"/>
                                          <w:marTop w:val="0"/>
                                          <w:marBottom w:val="0"/>
                                          <w:divBdr>
                                            <w:top w:val="none" w:sz="0" w:space="0" w:color="auto"/>
                                            <w:left w:val="none" w:sz="0" w:space="0" w:color="auto"/>
                                            <w:bottom w:val="none" w:sz="0" w:space="0" w:color="auto"/>
                                            <w:right w:val="none" w:sz="0" w:space="0" w:color="auto"/>
                                          </w:divBdr>
                                          <w:divsChild>
                                            <w:div w:id="269357944">
                                              <w:marLeft w:val="0"/>
                                              <w:marRight w:val="0"/>
                                              <w:marTop w:val="0"/>
                                              <w:marBottom w:val="0"/>
                                              <w:divBdr>
                                                <w:top w:val="none" w:sz="0" w:space="0" w:color="auto"/>
                                                <w:left w:val="none" w:sz="0" w:space="0" w:color="auto"/>
                                                <w:bottom w:val="none" w:sz="0" w:space="0" w:color="auto"/>
                                                <w:right w:val="none" w:sz="0" w:space="0" w:color="auto"/>
                                              </w:divBdr>
                                              <w:divsChild>
                                                <w:div w:id="46605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6171076">
      <w:bodyDiv w:val="1"/>
      <w:marLeft w:val="0"/>
      <w:marRight w:val="0"/>
      <w:marTop w:val="0"/>
      <w:marBottom w:val="0"/>
      <w:divBdr>
        <w:top w:val="none" w:sz="0" w:space="0" w:color="auto"/>
        <w:left w:val="none" w:sz="0" w:space="0" w:color="auto"/>
        <w:bottom w:val="none" w:sz="0" w:space="0" w:color="auto"/>
        <w:right w:val="none" w:sz="0" w:space="0" w:color="auto"/>
      </w:divBdr>
    </w:div>
    <w:div w:id="419528242">
      <w:bodyDiv w:val="1"/>
      <w:marLeft w:val="0"/>
      <w:marRight w:val="0"/>
      <w:marTop w:val="0"/>
      <w:marBottom w:val="0"/>
      <w:divBdr>
        <w:top w:val="none" w:sz="0" w:space="0" w:color="auto"/>
        <w:left w:val="none" w:sz="0" w:space="0" w:color="auto"/>
        <w:bottom w:val="none" w:sz="0" w:space="0" w:color="auto"/>
        <w:right w:val="none" w:sz="0" w:space="0" w:color="auto"/>
      </w:divBdr>
      <w:divsChild>
        <w:div w:id="895823739">
          <w:marLeft w:val="0"/>
          <w:marRight w:val="0"/>
          <w:marTop w:val="0"/>
          <w:marBottom w:val="0"/>
          <w:divBdr>
            <w:top w:val="none" w:sz="0" w:space="0" w:color="auto"/>
            <w:left w:val="none" w:sz="0" w:space="0" w:color="auto"/>
            <w:bottom w:val="none" w:sz="0" w:space="0" w:color="auto"/>
            <w:right w:val="none" w:sz="0" w:space="0" w:color="auto"/>
          </w:divBdr>
          <w:divsChild>
            <w:div w:id="464274852">
              <w:marLeft w:val="0"/>
              <w:marRight w:val="0"/>
              <w:marTop w:val="225"/>
              <w:marBottom w:val="0"/>
              <w:divBdr>
                <w:top w:val="none" w:sz="0" w:space="0" w:color="auto"/>
                <w:left w:val="none" w:sz="0" w:space="0" w:color="auto"/>
                <w:bottom w:val="none" w:sz="0" w:space="0" w:color="auto"/>
                <w:right w:val="none" w:sz="0" w:space="0" w:color="auto"/>
              </w:divBdr>
              <w:divsChild>
                <w:div w:id="316619380">
                  <w:marLeft w:val="0"/>
                  <w:marRight w:val="0"/>
                  <w:marTop w:val="0"/>
                  <w:marBottom w:val="225"/>
                  <w:divBdr>
                    <w:top w:val="none" w:sz="0" w:space="0" w:color="auto"/>
                    <w:left w:val="none" w:sz="0" w:space="0" w:color="auto"/>
                    <w:bottom w:val="none" w:sz="0" w:space="0" w:color="auto"/>
                    <w:right w:val="none" w:sz="0" w:space="0" w:color="auto"/>
                  </w:divBdr>
                  <w:divsChild>
                    <w:div w:id="1451365194">
                      <w:marLeft w:val="0"/>
                      <w:marRight w:val="0"/>
                      <w:marTop w:val="0"/>
                      <w:marBottom w:val="225"/>
                      <w:divBdr>
                        <w:top w:val="none" w:sz="0" w:space="0" w:color="auto"/>
                        <w:left w:val="none" w:sz="0" w:space="0" w:color="auto"/>
                        <w:bottom w:val="none" w:sz="0" w:space="0" w:color="auto"/>
                        <w:right w:val="none" w:sz="0" w:space="0" w:color="auto"/>
                      </w:divBdr>
                      <w:divsChild>
                        <w:div w:id="434054095">
                          <w:marLeft w:val="0"/>
                          <w:marRight w:val="0"/>
                          <w:marTop w:val="0"/>
                          <w:marBottom w:val="0"/>
                          <w:divBdr>
                            <w:top w:val="none" w:sz="0" w:space="0" w:color="auto"/>
                            <w:left w:val="none" w:sz="0" w:space="0" w:color="auto"/>
                            <w:bottom w:val="none" w:sz="0" w:space="0" w:color="auto"/>
                            <w:right w:val="none" w:sz="0" w:space="0" w:color="auto"/>
                          </w:divBdr>
                          <w:divsChild>
                            <w:div w:id="306671131">
                              <w:marLeft w:val="0"/>
                              <w:marRight w:val="0"/>
                              <w:marTop w:val="0"/>
                              <w:marBottom w:val="0"/>
                              <w:divBdr>
                                <w:top w:val="none" w:sz="0" w:space="0" w:color="auto"/>
                                <w:left w:val="none" w:sz="0" w:space="0" w:color="auto"/>
                                <w:bottom w:val="none" w:sz="0" w:space="0" w:color="auto"/>
                                <w:right w:val="none" w:sz="0" w:space="0" w:color="auto"/>
                              </w:divBdr>
                              <w:divsChild>
                                <w:div w:id="282613159">
                                  <w:marLeft w:val="0"/>
                                  <w:marRight w:val="0"/>
                                  <w:marTop w:val="0"/>
                                  <w:marBottom w:val="0"/>
                                  <w:divBdr>
                                    <w:top w:val="none" w:sz="0" w:space="0" w:color="auto"/>
                                    <w:left w:val="none" w:sz="0" w:space="0" w:color="auto"/>
                                    <w:bottom w:val="none" w:sz="0" w:space="0" w:color="auto"/>
                                    <w:right w:val="none" w:sz="0" w:space="0" w:color="auto"/>
                                  </w:divBdr>
                                  <w:divsChild>
                                    <w:div w:id="1741560043">
                                      <w:marLeft w:val="0"/>
                                      <w:marRight w:val="0"/>
                                      <w:marTop w:val="0"/>
                                      <w:marBottom w:val="0"/>
                                      <w:divBdr>
                                        <w:top w:val="none" w:sz="0" w:space="0" w:color="auto"/>
                                        <w:left w:val="none" w:sz="0" w:space="0" w:color="auto"/>
                                        <w:bottom w:val="none" w:sz="0" w:space="0" w:color="auto"/>
                                        <w:right w:val="none" w:sz="0" w:space="0" w:color="auto"/>
                                      </w:divBdr>
                                      <w:divsChild>
                                        <w:div w:id="203538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0056523">
      <w:bodyDiv w:val="1"/>
      <w:marLeft w:val="0"/>
      <w:marRight w:val="0"/>
      <w:marTop w:val="0"/>
      <w:marBottom w:val="0"/>
      <w:divBdr>
        <w:top w:val="none" w:sz="0" w:space="0" w:color="auto"/>
        <w:left w:val="none" w:sz="0" w:space="0" w:color="auto"/>
        <w:bottom w:val="none" w:sz="0" w:space="0" w:color="auto"/>
        <w:right w:val="none" w:sz="0" w:space="0" w:color="auto"/>
      </w:divBdr>
    </w:div>
    <w:div w:id="430202378">
      <w:bodyDiv w:val="1"/>
      <w:marLeft w:val="0"/>
      <w:marRight w:val="0"/>
      <w:marTop w:val="0"/>
      <w:marBottom w:val="0"/>
      <w:divBdr>
        <w:top w:val="none" w:sz="0" w:space="0" w:color="auto"/>
        <w:left w:val="none" w:sz="0" w:space="0" w:color="auto"/>
        <w:bottom w:val="none" w:sz="0" w:space="0" w:color="auto"/>
        <w:right w:val="none" w:sz="0" w:space="0" w:color="auto"/>
      </w:divBdr>
    </w:div>
    <w:div w:id="484276786">
      <w:bodyDiv w:val="1"/>
      <w:marLeft w:val="0"/>
      <w:marRight w:val="0"/>
      <w:marTop w:val="0"/>
      <w:marBottom w:val="0"/>
      <w:divBdr>
        <w:top w:val="none" w:sz="0" w:space="0" w:color="auto"/>
        <w:left w:val="none" w:sz="0" w:space="0" w:color="auto"/>
        <w:bottom w:val="none" w:sz="0" w:space="0" w:color="auto"/>
        <w:right w:val="none" w:sz="0" w:space="0" w:color="auto"/>
      </w:divBdr>
      <w:divsChild>
        <w:div w:id="1617247267">
          <w:marLeft w:val="0"/>
          <w:marRight w:val="0"/>
          <w:marTop w:val="0"/>
          <w:marBottom w:val="0"/>
          <w:divBdr>
            <w:top w:val="none" w:sz="0" w:space="0" w:color="auto"/>
            <w:left w:val="none" w:sz="0" w:space="0" w:color="auto"/>
            <w:bottom w:val="none" w:sz="0" w:space="0" w:color="auto"/>
            <w:right w:val="none" w:sz="0" w:space="0" w:color="auto"/>
          </w:divBdr>
          <w:divsChild>
            <w:div w:id="103351465">
              <w:marLeft w:val="0"/>
              <w:marRight w:val="0"/>
              <w:marTop w:val="225"/>
              <w:marBottom w:val="0"/>
              <w:divBdr>
                <w:top w:val="none" w:sz="0" w:space="0" w:color="auto"/>
                <w:left w:val="none" w:sz="0" w:space="0" w:color="auto"/>
                <w:bottom w:val="none" w:sz="0" w:space="0" w:color="auto"/>
                <w:right w:val="none" w:sz="0" w:space="0" w:color="auto"/>
              </w:divBdr>
              <w:divsChild>
                <w:div w:id="105393582">
                  <w:marLeft w:val="0"/>
                  <w:marRight w:val="0"/>
                  <w:marTop w:val="0"/>
                  <w:marBottom w:val="225"/>
                  <w:divBdr>
                    <w:top w:val="none" w:sz="0" w:space="0" w:color="auto"/>
                    <w:left w:val="none" w:sz="0" w:space="0" w:color="auto"/>
                    <w:bottom w:val="none" w:sz="0" w:space="0" w:color="auto"/>
                    <w:right w:val="none" w:sz="0" w:space="0" w:color="auto"/>
                  </w:divBdr>
                  <w:divsChild>
                    <w:div w:id="124353288">
                      <w:marLeft w:val="0"/>
                      <w:marRight w:val="0"/>
                      <w:marTop w:val="0"/>
                      <w:marBottom w:val="225"/>
                      <w:divBdr>
                        <w:top w:val="none" w:sz="0" w:space="0" w:color="auto"/>
                        <w:left w:val="none" w:sz="0" w:space="0" w:color="auto"/>
                        <w:bottom w:val="none" w:sz="0" w:space="0" w:color="auto"/>
                        <w:right w:val="none" w:sz="0" w:space="0" w:color="auto"/>
                      </w:divBdr>
                      <w:divsChild>
                        <w:div w:id="1994528623">
                          <w:marLeft w:val="0"/>
                          <w:marRight w:val="0"/>
                          <w:marTop w:val="0"/>
                          <w:marBottom w:val="0"/>
                          <w:divBdr>
                            <w:top w:val="none" w:sz="0" w:space="0" w:color="auto"/>
                            <w:left w:val="none" w:sz="0" w:space="0" w:color="auto"/>
                            <w:bottom w:val="none" w:sz="0" w:space="0" w:color="auto"/>
                            <w:right w:val="none" w:sz="0" w:space="0" w:color="auto"/>
                          </w:divBdr>
                          <w:divsChild>
                            <w:div w:id="755634050">
                              <w:marLeft w:val="0"/>
                              <w:marRight w:val="0"/>
                              <w:marTop w:val="0"/>
                              <w:marBottom w:val="0"/>
                              <w:divBdr>
                                <w:top w:val="none" w:sz="0" w:space="0" w:color="auto"/>
                                <w:left w:val="none" w:sz="0" w:space="0" w:color="auto"/>
                                <w:bottom w:val="none" w:sz="0" w:space="0" w:color="auto"/>
                                <w:right w:val="none" w:sz="0" w:space="0" w:color="auto"/>
                              </w:divBdr>
                              <w:divsChild>
                                <w:div w:id="1335062857">
                                  <w:marLeft w:val="0"/>
                                  <w:marRight w:val="0"/>
                                  <w:marTop w:val="0"/>
                                  <w:marBottom w:val="0"/>
                                  <w:divBdr>
                                    <w:top w:val="none" w:sz="0" w:space="0" w:color="auto"/>
                                    <w:left w:val="none" w:sz="0" w:space="0" w:color="auto"/>
                                    <w:bottom w:val="none" w:sz="0" w:space="0" w:color="auto"/>
                                    <w:right w:val="none" w:sz="0" w:space="0" w:color="auto"/>
                                  </w:divBdr>
                                  <w:divsChild>
                                    <w:div w:id="560872421">
                                      <w:marLeft w:val="0"/>
                                      <w:marRight w:val="0"/>
                                      <w:marTop w:val="0"/>
                                      <w:marBottom w:val="0"/>
                                      <w:divBdr>
                                        <w:top w:val="none" w:sz="0" w:space="0" w:color="auto"/>
                                        <w:left w:val="none" w:sz="0" w:space="0" w:color="auto"/>
                                        <w:bottom w:val="none" w:sz="0" w:space="0" w:color="auto"/>
                                        <w:right w:val="none" w:sz="0" w:space="0" w:color="auto"/>
                                      </w:divBdr>
                                      <w:divsChild>
                                        <w:div w:id="23521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5525932">
      <w:bodyDiv w:val="1"/>
      <w:marLeft w:val="0"/>
      <w:marRight w:val="0"/>
      <w:marTop w:val="0"/>
      <w:marBottom w:val="0"/>
      <w:divBdr>
        <w:top w:val="none" w:sz="0" w:space="0" w:color="auto"/>
        <w:left w:val="none" w:sz="0" w:space="0" w:color="auto"/>
        <w:bottom w:val="none" w:sz="0" w:space="0" w:color="auto"/>
        <w:right w:val="none" w:sz="0" w:space="0" w:color="auto"/>
      </w:divBdr>
    </w:div>
    <w:div w:id="883563738">
      <w:bodyDiv w:val="1"/>
      <w:marLeft w:val="0"/>
      <w:marRight w:val="0"/>
      <w:marTop w:val="0"/>
      <w:marBottom w:val="0"/>
      <w:divBdr>
        <w:top w:val="none" w:sz="0" w:space="0" w:color="auto"/>
        <w:left w:val="none" w:sz="0" w:space="0" w:color="auto"/>
        <w:bottom w:val="none" w:sz="0" w:space="0" w:color="auto"/>
        <w:right w:val="none" w:sz="0" w:space="0" w:color="auto"/>
      </w:divBdr>
      <w:divsChild>
        <w:div w:id="1202551104">
          <w:marLeft w:val="0"/>
          <w:marRight w:val="0"/>
          <w:marTop w:val="0"/>
          <w:marBottom w:val="0"/>
          <w:divBdr>
            <w:top w:val="none" w:sz="0" w:space="0" w:color="auto"/>
            <w:left w:val="none" w:sz="0" w:space="0" w:color="auto"/>
            <w:bottom w:val="none" w:sz="0" w:space="0" w:color="auto"/>
            <w:right w:val="none" w:sz="0" w:space="0" w:color="auto"/>
          </w:divBdr>
          <w:divsChild>
            <w:div w:id="243808075">
              <w:marLeft w:val="0"/>
              <w:marRight w:val="0"/>
              <w:marTop w:val="0"/>
              <w:marBottom w:val="0"/>
              <w:divBdr>
                <w:top w:val="none" w:sz="0" w:space="0" w:color="auto"/>
                <w:left w:val="none" w:sz="0" w:space="0" w:color="auto"/>
                <w:bottom w:val="none" w:sz="0" w:space="0" w:color="auto"/>
                <w:right w:val="none" w:sz="0" w:space="0" w:color="auto"/>
              </w:divBdr>
              <w:divsChild>
                <w:div w:id="1661738020">
                  <w:marLeft w:val="0"/>
                  <w:marRight w:val="0"/>
                  <w:marTop w:val="0"/>
                  <w:marBottom w:val="0"/>
                  <w:divBdr>
                    <w:top w:val="none" w:sz="0" w:space="0" w:color="auto"/>
                    <w:left w:val="none" w:sz="0" w:space="0" w:color="auto"/>
                    <w:bottom w:val="none" w:sz="0" w:space="0" w:color="auto"/>
                    <w:right w:val="none" w:sz="0" w:space="0" w:color="auto"/>
                  </w:divBdr>
                  <w:divsChild>
                    <w:div w:id="1184825677">
                      <w:marLeft w:val="0"/>
                      <w:marRight w:val="0"/>
                      <w:marTop w:val="0"/>
                      <w:marBottom w:val="0"/>
                      <w:divBdr>
                        <w:top w:val="none" w:sz="0" w:space="0" w:color="auto"/>
                        <w:left w:val="none" w:sz="0" w:space="0" w:color="auto"/>
                        <w:bottom w:val="none" w:sz="0" w:space="0" w:color="auto"/>
                        <w:right w:val="none" w:sz="0" w:space="0" w:color="auto"/>
                      </w:divBdr>
                      <w:divsChild>
                        <w:div w:id="1055667706">
                          <w:marLeft w:val="0"/>
                          <w:marRight w:val="0"/>
                          <w:marTop w:val="0"/>
                          <w:marBottom w:val="0"/>
                          <w:divBdr>
                            <w:top w:val="none" w:sz="0" w:space="0" w:color="auto"/>
                            <w:left w:val="none" w:sz="0" w:space="0" w:color="auto"/>
                            <w:bottom w:val="none" w:sz="0" w:space="0" w:color="auto"/>
                            <w:right w:val="none" w:sz="0" w:space="0" w:color="auto"/>
                          </w:divBdr>
                          <w:divsChild>
                            <w:div w:id="534122856">
                              <w:marLeft w:val="0"/>
                              <w:marRight w:val="0"/>
                              <w:marTop w:val="0"/>
                              <w:marBottom w:val="0"/>
                              <w:divBdr>
                                <w:top w:val="none" w:sz="0" w:space="0" w:color="auto"/>
                                <w:left w:val="none" w:sz="0" w:space="0" w:color="auto"/>
                                <w:bottom w:val="none" w:sz="0" w:space="0" w:color="auto"/>
                                <w:right w:val="none" w:sz="0" w:space="0" w:color="auto"/>
                              </w:divBdr>
                              <w:divsChild>
                                <w:div w:id="1059204910">
                                  <w:marLeft w:val="0"/>
                                  <w:marRight w:val="0"/>
                                  <w:marTop w:val="0"/>
                                  <w:marBottom w:val="0"/>
                                  <w:divBdr>
                                    <w:top w:val="none" w:sz="0" w:space="0" w:color="auto"/>
                                    <w:left w:val="none" w:sz="0" w:space="0" w:color="auto"/>
                                    <w:bottom w:val="none" w:sz="0" w:space="0" w:color="auto"/>
                                    <w:right w:val="none" w:sz="0" w:space="0" w:color="auto"/>
                                  </w:divBdr>
                                  <w:divsChild>
                                    <w:div w:id="1557004787">
                                      <w:marLeft w:val="0"/>
                                      <w:marRight w:val="0"/>
                                      <w:marTop w:val="0"/>
                                      <w:marBottom w:val="0"/>
                                      <w:divBdr>
                                        <w:top w:val="none" w:sz="0" w:space="0" w:color="auto"/>
                                        <w:left w:val="none" w:sz="0" w:space="0" w:color="auto"/>
                                        <w:bottom w:val="none" w:sz="0" w:space="0" w:color="auto"/>
                                        <w:right w:val="none" w:sz="0" w:space="0" w:color="auto"/>
                                      </w:divBdr>
                                      <w:divsChild>
                                        <w:div w:id="1143280500">
                                          <w:marLeft w:val="0"/>
                                          <w:marRight w:val="0"/>
                                          <w:marTop w:val="0"/>
                                          <w:marBottom w:val="0"/>
                                          <w:divBdr>
                                            <w:top w:val="none" w:sz="0" w:space="0" w:color="auto"/>
                                            <w:left w:val="none" w:sz="0" w:space="0" w:color="auto"/>
                                            <w:bottom w:val="none" w:sz="0" w:space="0" w:color="auto"/>
                                            <w:right w:val="none" w:sz="0" w:space="0" w:color="auto"/>
                                          </w:divBdr>
                                          <w:divsChild>
                                            <w:div w:id="485323706">
                                              <w:marLeft w:val="0"/>
                                              <w:marRight w:val="0"/>
                                              <w:marTop w:val="0"/>
                                              <w:marBottom w:val="0"/>
                                              <w:divBdr>
                                                <w:top w:val="none" w:sz="0" w:space="0" w:color="auto"/>
                                                <w:left w:val="none" w:sz="0" w:space="0" w:color="auto"/>
                                                <w:bottom w:val="none" w:sz="0" w:space="0" w:color="auto"/>
                                                <w:right w:val="none" w:sz="0" w:space="0" w:color="auto"/>
                                              </w:divBdr>
                                              <w:divsChild>
                                                <w:div w:id="2146198582">
                                                  <w:marLeft w:val="0"/>
                                                  <w:marRight w:val="0"/>
                                                  <w:marTop w:val="0"/>
                                                  <w:marBottom w:val="0"/>
                                                  <w:divBdr>
                                                    <w:top w:val="none" w:sz="0" w:space="0" w:color="auto"/>
                                                    <w:left w:val="none" w:sz="0" w:space="0" w:color="auto"/>
                                                    <w:bottom w:val="none" w:sz="0" w:space="0" w:color="auto"/>
                                                    <w:right w:val="none" w:sz="0" w:space="0" w:color="auto"/>
                                                  </w:divBdr>
                                                  <w:divsChild>
                                                    <w:div w:id="1840340798">
                                                      <w:marLeft w:val="0"/>
                                                      <w:marRight w:val="0"/>
                                                      <w:marTop w:val="240"/>
                                                      <w:marBottom w:val="60"/>
                                                      <w:divBdr>
                                                        <w:top w:val="none" w:sz="0" w:space="0" w:color="auto"/>
                                                        <w:left w:val="none" w:sz="0" w:space="0" w:color="auto"/>
                                                        <w:bottom w:val="none" w:sz="0" w:space="0" w:color="auto"/>
                                                        <w:right w:val="none" w:sz="0" w:space="0" w:color="auto"/>
                                                      </w:divBdr>
                                                      <w:divsChild>
                                                        <w:div w:id="777262888">
                                                          <w:marLeft w:val="240"/>
                                                          <w:marRight w:val="0"/>
                                                          <w:marTop w:val="60"/>
                                                          <w:marBottom w:val="60"/>
                                                          <w:divBdr>
                                                            <w:top w:val="none" w:sz="0" w:space="0" w:color="auto"/>
                                                            <w:left w:val="none" w:sz="0" w:space="0" w:color="auto"/>
                                                            <w:bottom w:val="none" w:sz="0" w:space="0" w:color="auto"/>
                                                            <w:right w:val="none" w:sz="0" w:space="0" w:color="auto"/>
                                                          </w:divBdr>
                                                          <w:divsChild>
                                                            <w:div w:id="1602421401">
                                                              <w:marLeft w:val="240"/>
                                                              <w:marRight w:val="0"/>
                                                              <w:marTop w:val="60"/>
                                                              <w:marBottom w:val="60"/>
                                                              <w:divBdr>
                                                                <w:top w:val="none" w:sz="0" w:space="0" w:color="auto"/>
                                                                <w:left w:val="none" w:sz="0" w:space="0" w:color="auto"/>
                                                                <w:bottom w:val="none" w:sz="0" w:space="0" w:color="auto"/>
                                                                <w:right w:val="none" w:sz="0" w:space="0" w:color="auto"/>
                                                              </w:divBdr>
                                                              <w:divsChild>
                                                                <w:div w:id="78461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05608575">
      <w:bodyDiv w:val="1"/>
      <w:marLeft w:val="0"/>
      <w:marRight w:val="0"/>
      <w:marTop w:val="0"/>
      <w:marBottom w:val="0"/>
      <w:divBdr>
        <w:top w:val="none" w:sz="0" w:space="0" w:color="auto"/>
        <w:left w:val="none" w:sz="0" w:space="0" w:color="auto"/>
        <w:bottom w:val="none" w:sz="0" w:space="0" w:color="auto"/>
        <w:right w:val="none" w:sz="0" w:space="0" w:color="auto"/>
      </w:divBdr>
      <w:divsChild>
        <w:div w:id="394277169">
          <w:marLeft w:val="0"/>
          <w:marRight w:val="0"/>
          <w:marTop w:val="0"/>
          <w:marBottom w:val="0"/>
          <w:divBdr>
            <w:top w:val="none" w:sz="0" w:space="0" w:color="auto"/>
            <w:left w:val="none" w:sz="0" w:space="0" w:color="auto"/>
            <w:bottom w:val="none" w:sz="0" w:space="0" w:color="auto"/>
            <w:right w:val="none" w:sz="0" w:space="0" w:color="auto"/>
          </w:divBdr>
          <w:divsChild>
            <w:div w:id="660429614">
              <w:marLeft w:val="0"/>
              <w:marRight w:val="0"/>
              <w:marTop w:val="0"/>
              <w:marBottom w:val="0"/>
              <w:divBdr>
                <w:top w:val="none" w:sz="0" w:space="0" w:color="auto"/>
                <w:left w:val="none" w:sz="0" w:space="0" w:color="auto"/>
                <w:bottom w:val="none" w:sz="0" w:space="0" w:color="auto"/>
                <w:right w:val="none" w:sz="0" w:space="0" w:color="auto"/>
              </w:divBdr>
              <w:divsChild>
                <w:div w:id="1970553491">
                  <w:marLeft w:val="0"/>
                  <w:marRight w:val="0"/>
                  <w:marTop w:val="0"/>
                  <w:marBottom w:val="0"/>
                  <w:divBdr>
                    <w:top w:val="none" w:sz="0" w:space="0" w:color="auto"/>
                    <w:left w:val="none" w:sz="0" w:space="0" w:color="auto"/>
                    <w:bottom w:val="none" w:sz="0" w:space="0" w:color="auto"/>
                    <w:right w:val="none" w:sz="0" w:space="0" w:color="auto"/>
                  </w:divBdr>
                  <w:divsChild>
                    <w:div w:id="1834489607">
                      <w:marLeft w:val="0"/>
                      <w:marRight w:val="0"/>
                      <w:marTop w:val="0"/>
                      <w:marBottom w:val="0"/>
                      <w:divBdr>
                        <w:top w:val="none" w:sz="0" w:space="0" w:color="auto"/>
                        <w:left w:val="none" w:sz="0" w:space="0" w:color="auto"/>
                        <w:bottom w:val="none" w:sz="0" w:space="0" w:color="auto"/>
                        <w:right w:val="none" w:sz="0" w:space="0" w:color="auto"/>
                      </w:divBdr>
                      <w:divsChild>
                        <w:div w:id="1936014079">
                          <w:marLeft w:val="0"/>
                          <w:marRight w:val="0"/>
                          <w:marTop w:val="0"/>
                          <w:marBottom w:val="0"/>
                          <w:divBdr>
                            <w:top w:val="none" w:sz="0" w:space="0" w:color="auto"/>
                            <w:left w:val="none" w:sz="0" w:space="0" w:color="auto"/>
                            <w:bottom w:val="single" w:sz="6" w:space="0" w:color="DBDBDB"/>
                            <w:right w:val="none" w:sz="0" w:space="0" w:color="auto"/>
                          </w:divBdr>
                          <w:divsChild>
                            <w:div w:id="1049839290">
                              <w:marLeft w:val="0"/>
                              <w:marRight w:val="0"/>
                              <w:marTop w:val="0"/>
                              <w:marBottom w:val="0"/>
                              <w:divBdr>
                                <w:top w:val="none" w:sz="0" w:space="0" w:color="auto"/>
                                <w:left w:val="none" w:sz="0" w:space="0" w:color="auto"/>
                                <w:bottom w:val="none" w:sz="0" w:space="0" w:color="auto"/>
                                <w:right w:val="none" w:sz="0" w:space="0" w:color="auto"/>
                              </w:divBdr>
                              <w:divsChild>
                                <w:div w:id="128667021">
                                  <w:marLeft w:val="0"/>
                                  <w:marRight w:val="0"/>
                                  <w:marTop w:val="0"/>
                                  <w:marBottom w:val="0"/>
                                  <w:divBdr>
                                    <w:top w:val="none" w:sz="0" w:space="0" w:color="auto"/>
                                    <w:left w:val="none" w:sz="0" w:space="0" w:color="auto"/>
                                    <w:bottom w:val="none" w:sz="0" w:space="0" w:color="auto"/>
                                    <w:right w:val="none" w:sz="0" w:space="0" w:color="auto"/>
                                  </w:divBdr>
                                  <w:divsChild>
                                    <w:div w:id="1658000375">
                                      <w:marLeft w:val="0"/>
                                      <w:marRight w:val="0"/>
                                      <w:marTop w:val="0"/>
                                      <w:marBottom w:val="0"/>
                                      <w:divBdr>
                                        <w:top w:val="none" w:sz="0" w:space="0" w:color="auto"/>
                                        <w:left w:val="none" w:sz="0" w:space="0" w:color="auto"/>
                                        <w:bottom w:val="none" w:sz="0" w:space="0" w:color="auto"/>
                                        <w:right w:val="none" w:sz="0" w:space="0" w:color="auto"/>
                                      </w:divBdr>
                                    </w:div>
                                    <w:div w:id="6727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283443">
      <w:bodyDiv w:val="1"/>
      <w:marLeft w:val="0"/>
      <w:marRight w:val="0"/>
      <w:marTop w:val="0"/>
      <w:marBottom w:val="0"/>
      <w:divBdr>
        <w:top w:val="none" w:sz="0" w:space="0" w:color="auto"/>
        <w:left w:val="none" w:sz="0" w:space="0" w:color="auto"/>
        <w:bottom w:val="none" w:sz="0" w:space="0" w:color="auto"/>
        <w:right w:val="none" w:sz="0" w:space="0" w:color="auto"/>
      </w:divBdr>
    </w:div>
    <w:div w:id="1162503683">
      <w:bodyDiv w:val="1"/>
      <w:marLeft w:val="0"/>
      <w:marRight w:val="0"/>
      <w:marTop w:val="0"/>
      <w:marBottom w:val="0"/>
      <w:divBdr>
        <w:top w:val="none" w:sz="0" w:space="0" w:color="auto"/>
        <w:left w:val="none" w:sz="0" w:space="0" w:color="auto"/>
        <w:bottom w:val="none" w:sz="0" w:space="0" w:color="auto"/>
        <w:right w:val="none" w:sz="0" w:space="0" w:color="auto"/>
      </w:divBdr>
    </w:div>
    <w:div w:id="1180268017">
      <w:bodyDiv w:val="1"/>
      <w:marLeft w:val="0"/>
      <w:marRight w:val="0"/>
      <w:marTop w:val="0"/>
      <w:marBottom w:val="0"/>
      <w:divBdr>
        <w:top w:val="none" w:sz="0" w:space="0" w:color="auto"/>
        <w:left w:val="none" w:sz="0" w:space="0" w:color="auto"/>
        <w:bottom w:val="none" w:sz="0" w:space="0" w:color="auto"/>
        <w:right w:val="none" w:sz="0" w:space="0" w:color="auto"/>
      </w:divBdr>
    </w:div>
    <w:div w:id="1205869337">
      <w:bodyDiv w:val="1"/>
      <w:marLeft w:val="0"/>
      <w:marRight w:val="0"/>
      <w:marTop w:val="0"/>
      <w:marBottom w:val="0"/>
      <w:divBdr>
        <w:top w:val="none" w:sz="0" w:space="0" w:color="auto"/>
        <w:left w:val="none" w:sz="0" w:space="0" w:color="auto"/>
        <w:bottom w:val="none" w:sz="0" w:space="0" w:color="auto"/>
        <w:right w:val="none" w:sz="0" w:space="0" w:color="auto"/>
      </w:divBdr>
      <w:divsChild>
        <w:div w:id="590701610">
          <w:marLeft w:val="0"/>
          <w:marRight w:val="0"/>
          <w:marTop w:val="0"/>
          <w:marBottom w:val="0"/>
          <w:divBdr>
            <w:top w:val="none" w:sz="0" w:space="0" w:color="auto"/>
            <w:left w:val="none" w:sz="0" w:space="0" w:color="auto"/>
            <w:bottom w:val="none" w:sz="0" w:space="0" w:color="auto"/>
            <w:right w:val="none" w:sz="0" w:space="0" w:color="auto"/>
          </w:divBdr>
          <w:divsChild>
            <w:div w:id="661658667">
              <w:marLeft w:val="0"/>
              <w:marRight w:val="0"/>
              <w:marTop w:val="225"/>
              <w:marBottom w:val="0"/>
              <w:divBdr>
                <w:top w:val="none" w:sz="0" w:space="0" w:color="auto"/>
                <w:left w:val="none" w:sz="0" w:space="0" w:color="auto"/>
                <w:bottom w:val="none" w:sz="0" w:space="0" w:color="auto"/>
                <w:right w:val="none" w:sz="0" w:space="0" w:color="auto"/>
              </w:divBdr>
              <w:divsChild>
                <w:div w:id="1055617073">
                  <w:marLeft w:val="0"/>
                  <w:marRight w:val="0"/>
                  <w:marTop w:val="0"/>
                  <w:marBottom w:val="225"/>
                  <w:divBdr>
                    <w:top w:val="none" w:sz="0" w:space="0" w:color="auto"/>
                    <w:left w:val="none" w:sz="0" w:space="0" w:color="auto"/>
                    <w:bottom w:val="none" w:sz="0" w:space="0" w:color="auto"/>
                    <w:right w:val="none" w:sz="0" w:space="0" w:color="auto"/>
                  </w:divBdr>
                  <w:divsChild>
                    <w:div w:id="2082019788">
                      <w:marLeft w:val="0"/>
                      <w:marRight w:val="0"/>
                      <w:marTop w:val="0"/>
                      <w:marBottom w:val="225"/>
                      <w:divBdr>
                        <w:top w:val="none" w:sz="0" w:space="0" w:color="auto"/>
                        <w:left w:val="none" w:sz="0" w:space="0" w:color="auto"/>
                        <w:bottom w:val="none" w:sz="0" w:space="0" w:color="auto"/>
                        <w:right w:val="none" w:sz="0" w:space="0" w:color="auto"/>
                      </w:divBdr>
                      <w:divsChild>
                        <w:div w:id="487869842">
                          <w:marLeft w:val="0"/>
                          <w:marRight w:val="0"/>
                          <w:marTop w:val="0"/>
                          <w:marBottom w:val="0"/>
                          <w:divBdr>
                            <w:top w:val="none" w:sz="0" w:space="0" w:color="auto"/>
                            <w:left w:val="none" w:sz="0" w:space="0" w:color="auto"/>
                            <w:bottom w:val="none" w:sz="0" w:space="0" w:color="auto"/>
                            <w:right w:val="none" w:sz="0" w:space="0" w:color="auto"/>
                          </w:divBdr>
                          <w:divsChild>
                            <w:div w:id="41290410">
                              <w:marLeft w:val="0"/>
                              <w:marRight w:val="0"/>
                              <w:marTop w:val="0"/>
                              <w:marBottom w:val="0"/>
                              <w:divBdr>
                                <w:top w:val="none" w:sz="0" w:space="0" w:color="auto"/>
                                <w:left w:val="none" w:sz="0" w:space="0" w:color="auto"/>
                                <w:bottom w:val="none" w:sz="0" w:space="0" w:color="auto"/>
                                <w:right w:val="none" w:sz="0" w:space="0" w:color="auto"/>
                              </w:divBdr>
                              <w:divsChild>
                                <w:div w:id="1915889079">
                                  <w:marLeft w:val="0"/>
                                  <w:marRight w:val="0"/>
                                  <w:marTop w:val="0"/>
                                  <w:marBottom w:val="0"/>
                                  <w:divBdr>
                                    <w:top w:val="none" w:sz="0" w:space="0" w:color="auto"/>
                                    <w:left w:val="none" w:sz="0" w:space="0" w:color="auto"/>
                                    <w:bottom w:val="none" w:sz="0" w:space="0" w:color="auto"/>
                                    <w:right w:val="none" w:sz="0" w:space="0" w:color="auto"/>
                                  </w:divBdr>
                                  <w:divsChild>
                                    <w:div w:id="1191839594">
                                      <w:marLeft w:val="0"/>
                                      <w:marRight w:val="0"/>
                                      <w:marTop w:val="0"/>
                                      <w:marBottom w:val="0"/>
                                      <w:divBdr>
                                        <w:top w:val="none" w:sz="0" w:space="0" w:color="auto"/>
                                        <w:left w:val="none" w:sz="0" w:space="0" w:color="auto"/>
                                        <w:bottom w:val="none" w:sz="0" w:space="0" w:color="auto"/>
                                        <w:right w:val="none" w:sz="0" w:space="0" w:color="auto"/>
                                      </w:divBdr>
                                      <w:divsChild>
                                        <w:div w:id="74995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8903406">
      <w:bodyDiv w:val="1"/>
      <w:marLeft w:val="0"/>
      <w:marRight w:val="0"/>
      <w:marTop w:val="0"/>
      <w:marBottom w:val="0"/>
      <w:divBdr>
        <w:top w:val="none" w:sz="0" w:space="0" w:color="auto"/>
        <w:left w:val="none" w:sz="0" w:space="0" w:color="auto"/>
        <w:bottom w:val="none" w:sz="0" w:space="0" w:color="auto"/>
        <w:right w:val="none" w:sz="0" w:space="0" w:color="auto"/>
      </w:divBdr>
    </w:div>
    <w:div w:id="1268656432">
      <w:bodyDiv w:val="1"/>
      <w:marLeft w:val="0"/>
      <w:marRight w:val="0"/>
      <w:marTop w:val="0"/>
      <w:marBottom w:val="0"/>
      <w:divBdr>
        <w:top w:val="none" w:sz="0" w:space="0" w:color="auto"/>
        <w:left w:val="none" w:sz="0" w:space="0" w:color="auto"/>
        <w:bottom w:val="none" w:sz="0" w:space="0" w:color="auto"/>
        <w:right w:val="none" w:sz="0" w:space="0" w:color="auto"/>
      </w:divBdr>
    </w:div>
    <w:div w:id="1412699072">
      <w:bodyDiv w:val="1"/>
      <w:marLeft w:val="0"/>
      <w:marRight w:val="0"/>
      <w:marTop w:val="0"/>
      <w:marBottom w:val="0"/>
      <w:divBdr>
        <w:top w:val="none" w:sz="0" w:space="0" w:color="auto"/>
        <w:left w:val="none" w:sz="0" w:space="0" w:color="auto"/>
        <w:bottom w:val="none" w:sz="0" w:space="0" w:color="auto"/>
        <w:right w:val="none" w:sz="0" w:space="0" w:color="auto"/>
      </w:divBdr>
    </w:div>
    <w:div w:id="1502817653">
      <w:bodyDiv w:val="1"/>
      <w:marLeft w:val="0"/>
      <w:marRight w:val="0"/>
      <w:marTop w:val="0"/>
      <w:marBottom w:val="0"/>
      <w:divBdr>
        <w:top w:val="none" w:sz="0" w:space="0" w:color="auto"/>
        <w:left w:val="none" w:sz="0" w:space="0" w:color="auto"/>
        <w:bottom w:val="none" w:sz="0" w:space="0" w:color="auto"/>
        <w:right w:val="none" w:sz="0" w:space="0" w:color="auto"/>
      </w:divBdr>
      <w:divsChild>
        <w:div w:id="2124685637">
          <w:marLeft w:val="0"/>
          <w:marRight w:val="0"/>
          <w:marTop w:val="0"/>
          <w:marBottom w:val="0"/>
          <w:divBdr>
            <w:top w:val="none" w:sz="0" w:space="0" w:color="auto"/>
            <w:left w:val="none" w:sz="0" w:space="0" w:color="auto"/>
            <w:bottom w:val="none" w:sz="0" w:space="0" w:color="auto"/>
            <w:right w:val="none" w:sz="0" w:space="0" w:color="auto"/>
          </w:divBdr>
          <w:divsChild>
            <w:div w:id="403526592">
              <w:marLeft w:val="0"/>
              <w:marRight w:val="0"/>
              <w:marTop w:val="0"/>
              <w:marBottom w:val="0"/>
              <w:divBdr>
                <w:top w:val="none" w:sz="0" w:space="0" w:color="auto"/>
                <w:left w:val="none" w:sz="0" w:space="0" w:color="auto"/>
                <w:bottom w:val="none" w:sz="0" w:space="0" w:color="auto"/>
                <w:right w:val="none" w:sz="0" w:space="0" w:color="auto"/>
              </w:divBdr>
              <w:divsChild>
                <w:div w:id="823158588">
                  <w:marLeft w:val="0"/>
                  <w:marRight w:val="0"/>
                  <w:marTop w:val="0"/>
                  <w:marBottom w:val="0"/>
                  <w:divBdr>
                    <w:top w:val="none" w:sz="0" w:space="0" w:color="auto"/>
                    <w:left w:val="none" w:sz="0" w:space="0" w:color="auto"/>
                    <w:bottom w:val="none" w:sz="0" w:space="0" w:color="auto"/>
                    <w:right w:val="none" w:sz="0" w:space="0" w:color="auto"/>
                  </w:divBdr>
                  <w:divsChild>
                    <w:div w:id="1432387190">
                      <w:marLeft w:val="0"/>
                      <w:marRight w:val="0"/>
                      <w:marTop w:val="0"/>
                      <w:marBottom w:val="0"/>
                      <w:divBdr>
                        <w:top w:val="none" w:sz="0" w:space="0" w:color="auto"/>
                        <w:left w:val="none" w:sz="0" w:space="0" w:color="auto"/>
                        <w:bottom w:val="none" w:sz="0" w:space="0" w:color="auto"/>
                        <w:right w:val="none" w:sz="0" w:space="0" w:color="auto"/>
                      </w:divBdr>
                      <w:divsChild>
                        <w:div w:id="1600525449">
                          <w:marLeft w:val="0"/>
                          <w:marRight w:val="0"/>
                          <w:marTop w:val="0"/>
                          <w:marBottom w:val="0"/>
                          <w:divBdr>
                            <w:top w:val="none" w:sz="0" w:space="0" w:color="auto"/>
                            <w:left w:val="none" w:sz="0" w:space="0" w:color="auto"/>
                            <w:bottom w:val="single" w:sz="6" w:space="0" w:color="DBDBDB"/>
                            <w:right w:val="none" w:sz="0" w:space="0" w:color="auto"/>
                          </w:divBdr>
                          <w:divsChild>
                            <w:div w:id="713233095">
                              <w:marLeft w:val="0"/>
                              <w:marRight w:val="0"/>
                              <w:marTop w:val="0"/>
                              <w:marBottom w:val="0"/>
                              <w:divBdr>
                                <w:top w:val="none" w:sz="0" w:space="0" w:color="auto"/>
                                <w:left w:val="none" w:sz="0" w:space="0" w:color="auto"/>
                                <w:bottom w:val="none" w:sz="0" w:space="0" w:color="auto"/>
                                <w:right w:val="none" w:sz="0" w:space="0" w:color="auto"/>
                              </w:divBdr>
                              <w:divsChild>
                                <w:div w:id="1633054982">
                                  <w:marLeft w:val="0"/>
                                  <w:marRight w:val="0"/>
                                  <w:marTop w:val="0"/>
                                  <w:marBottom w:val="0"/>
                                  <w:divBdr>
                                    <w:top w:val="none" w:sz="0" w:space="0" w:color="auto"/>
                                    <w:left w:val="none" w:sz="0" w:space="0" w:color="auto"/>
                                    <w:bottom w:val="none" w:sz="0" w:space="0" w:color="auto"/>
                                    <w:right w:val="none" w:sz="0" w:space="0" w:color="auto"/>
                                  </w:divBdr>
                                  <w:divsChild>
                                    <w:div w:id="1380781266">
                                      <w:marLeft w:val="0"/>
                                      <w:marRight w:val="0"/>
                                      <w:marTop w:val="0"/>
                                      <w:marBottom w:val="0"/>
                                      <w:divBdr>
                                        <w:top w:val="none" w:sz="0" w:space="0" w:color="auto"/>
                                        <w:left w:val="none" w:sz="0" w:space="0" w:color="auto"/>
                                        <w:bottom w:val="none" w:sz="0" w:space="0" w:color="auto"/>
                                        <w:right w:val="none" w:sz="0" w:space="0" w:color="auto"/>
                                      </w:divBdr>
                                    </w:div>
                                    <w:div w:id="162550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335438">
      <w:bodyDiv w:val="1"/>
      <w:marLeft w:val="0"/>
      <w:marRight w:val="0"/>
      <w:marTop w:val="0"/>
      <w:marBottom w:val="0"/>
      <w:divBdr>
        <w:top w:val="none" w:sz="0" w:space="0" w:color="auto"/>
        <w:left w:val="none" w:sz="0" w:space="0" w:color="auto"/>
        <w:bottom w:val="none" w:sz="0" w:space="0" w:color="auto"/>
        <w:right w:val="none" w:sz="0" w:space="0" w:color="auto"/>
      </w:divBdr>
    </w:div>
    <w:div w:id="1719821636">
      <w:bodyDiv w:val="1"/>
      <w:marLeft w:val="0"/>
      <w:marRight w:val="0"/>
      <w:marTop w:val="0"/>
      <w:marBottom w:val="0"/>
      <w:divBdr>
        <w:top w:val="none" w:sz="0" w:space="0" w:color="auto"/>
        <w:left w:val="none" w:sz="0" w:space="0" w:color="auto"/>
        <w:bottom w:val="none" w:sz="0" w:space="0" w:color="auto"/>
        <w:right w:val="none" w:sz="0" w:space="0" w:color="auto"/>
      </w:divBdr>
    </w:div>
    <w:div w:id="1906723392">
      <w:bodyDiv w:val="1"/>
      <w:marLeft w:val="0"/>
      <w:marRight w:val="0"/>
      <w:marTop w:val="0"/>
      <w:marBottom w:val="0"/>
      <w:divBdr>
        <w:top w:val="none" w:sz="0" w:space="0" w:color="auto"/>
        <w:left w:val="none" w:sz="0" w:space="0" w:color="auto"/>
        <w:bottom w:val="none" w:sz="0" w:space="0" w:color="auto"/>
        <w:right w:val="none" w:sz="0" w:space="0" w:color="auto"/>
      </w:divBdr>
    </w:div>
    <w:div w:id="1940136306">
      <w:bodyDiv w:val="1"/>
      <w:marLeft w:val="0"/>
      <w:marRight w:val="0"/>
      <w:marTop w:val="0"/>
      <w:marBottom w:val="0"/>
      <w:divBdr>
        <w:top w:val="none" w:sz="0" w:space="0" w:color="auto"/>
        <w:left w:val="none" w:sz="0" w:space="0" w:color="auto"/>
        <w:bottom w:val="none" w:sz="0" w:space="0" w:color="auto"/>
        <w:right w:val="none" w:sz="0" w:space="0" w:color="auto"/>
      </w:divBdr>
      <w:divsChild>
        <w:div w:id="1115711852">
          <w:marLeft w:val="0"/>
          <w:marRight w:val="0"/>
          <w:marTop w:val="0"/>
          <w:marBottom w:val="0"/>
          <w:divBdr>
            <w:top w:val="none" w:sz="0" w:space="0" w:color="auto"/>
            <w:left w:val="none" w:sz="0" w:space="0" w:color="auto"/>
            <w:bottom w:val="none" w:sz="0" w:space="0" w:color="auto"/>
            <w:right w:val="none" w:sz="0" w:space="0" w:color="auto"/>
          </w:divBdr>
          <w:divsChild>
            <w:div w:id="701520253">
              <w:marLeft w:val="0"/>
              <w:marRight w:val="0"/>
              <w:marTop w:val="0"/>
              <w:marBottom w:val="0"/>
              <w:divBdr>
                <w:top w:val="none" w:sz="0" w:space="0" w:color="auto"/>
                <w:left w:val="none" w:sz="0" w:space="0" w:color="auto"/>
                <w:bottom w:val="none" w:sz="0" w:space="0" w:color="auto"/>
                <w:right w:val="none" w:sz="0" w:space="0" w:color="auto"/>
              </w:divBdr>
              <w:divsChild>
                <w:div w:id="561986685">
                  <w:marLeft w:val="0"/>
                  <w:marRight w:val="0"/>
                  <w:marTop w:val="0"/>
                  <w:marBottom w:val="0"/>
                  <w:divBdr>
                    <w:top w:val="none" w:sz="0" w:space="0" w:color="auto"/>
                    <w:left w:val="none" w:sz="0" w:space="0" w:color="auto"/>
                    <w:bottom w:val="none" w:sz="0" w:space="0" w:color="auto"/>
                    <w:right w:val="none" w:sz="0" w:space="0" w:color="auto"/>
                  </w:divBdr>
                  <w:divsChild>
                    <w:div w:id="811100532">
                      <w:marLeft w:val="0"/>
                      <w:marRight w:val="0"/>
                      <w:marTop w:val="0"/>
                      <w:marBottom w:val="0"/>
                      <w:divBdr>
                        <w:top w:val="none" w:sz="0" w:space="0" w:color="auto"/>
                        <w:left w:val="none" w:sz="0" w:space="0" w:color="auto"/>
                        <w:bottom w:val="none" w:sz="0" w:space="0" w:color="auto"/>
                        <w:right w:val="none" w:sz="0" w:space="0" w:color="auto"/>
                      </w:divBdr>
                      <w:divsChild>
                        <w:div w:id="755395239">
                          <w:marLeft w:val="0"/>
                          <w:marRight w:val="0"/>
                          <w:marTop w:val="0"/>
                          <w:marBottom w:val="0"/>
                          <w:divBdr>
                            <w:top w:val="none" w:sz="0" w:space="0" w:color="auto"/>
                            <w:left w:val="none" w:sz="0" w:space="0" w:color="auto"/>
                            <w:bottom w:val="none" w:sz="0" w:space="0" w:color="auto"/>
                            <w:right w:val="none" w:sz="0" w:space="0" w:color="auto"/>
                          </w:divBdr>
                          <w:divsChild>
                            <w:div w:id="684598332">
                              <w:marLeft w:val="0"/>
                              <w:marRight w:val="0"/>
                              <w:marTop w:val="0"/>
                              <w:marBottom w:val="0"/>
                              <w:divBdr>
                                <w:top w:val="none" w:sz="0" w:space="0" w:color="auto"/>
                                <w:left w:val="none" w:sz="0" w:space="0" w:color="auto"/>
                                <w:bottom w:val="none" w:sz="0" w:space="0" w:color="auto"/>
                                <w:right w:val="none" w:sz="0" w:space="0" w:color="auto"/>
                              </w:divBdr>
                              <w:divsChild>
                                <w:div w:id="1276868130">
                                  <w:marLeft w:val="0"/>
                                  <w:marRight w:val="0"/>
                                  <w:marTop w:val="0"/>
                                  <w:marBottom w:val="0"/>
                                  <w:divBdr>
                                    <w:top w:val="none" w:sz="0" w:space="0" w:color="auto"/>
                                    <w:left w:val="none" w:sz="0" w:space="0" w:color="auto"/>
                                    <w:bottom w:val="none" w:sz="0" w:space="0" w:color="auto"/>
                                    <w:right w:val="none" w:sz="0" w:space="0" w:color="auto"/>
                                  </w:divBdr>
                                  <w:divsChild>
                                    <w:div w:id="1771774924">
                                      <w:marLeft w:val="0"/>
                                      <w:marRight w:val="0"/>
                                      <w:marTop w:val="0"/>
                                      <w:marBottom w:val="0"/>
                                      <w:divBdr>
                                        <w:top w:val="none" w:sz="0" w:space="0" w:color="auto"/>
                                        <w:left w:val="none" w:sz="0" w:space="0" w:color="auto"/>
                                        <w:bottom w:val="none" w:sz="0" w:space="0" w:color="auto"/>
                                        <w:right w:val="none" w:sz="0" w:space="0" w:color="auto"/>
                                      </w:divBdr>
                                      <w:divsChild>
                                        <w:div w:id="409620748">
                                          <w:marLeft w:val="0"/>
                                          <w:marRight w:val="0"/>
                                          <w:marTop w:val="0"/>
                                          <w:marBottom w:val="0"/>
                                          <w:divBdr>
                                            <w:top w:val="none" w:sz="0" w:space="0" w:color="auto"/>
                                            <w:left w:val="none" w:sz="0" w:space="0" w:color="auto"/>
                                            <w:bottom w:val="none" w:sz="0" w:space="0" w:color="auto"/>
                                            <w:right w:val="none" w:sz="0" w:space="0" w:color="auto"/>
                                          </w:divBdr>
                                          <w:divsChild>
                                            <w:div w:id="1142427963">
                                              <w:marLeft w:val="0"/>
                                              <w:marRight w:val="0"/>
                                              <w:marTop w:val="0"/>
                                              <w:marBottom w:val="0"/>
                                              <w:divBdr>
                                                <w:top w:val="none" w:sz="0" w:space="0" w:color="auto"/>
                                                <w:left w:val="none" w:sz="0" w:space="0" w:color="auto"/>
                                                <w:bottom w:val="none" w:sz="0" w:space="0" w:color="auto"/>
                                                <w:right w:val="none" w:sz="0" w:space="0" w:color="auto"/>
                                              </w:divBdr>
                                              <w:divsChild>
                                                <w:div w:id="695623158">
                                                  <w:marLeft w:val="0"/>
                                                  <w:marRight w:val="0"/>
                                                  <w:marTop w:val="0"/>
                                                  <w:marBottom w:val="0"/>
                                                  <w:divBdr>
                                                    <w:top w:val="none" w:sz="0" w:space="0" w:color="auto"/>
                                                    <w:left w:val="none" w:sz="0" w:space="0" w:color="auto"/>
                                                    <w:bottom w:val="none" w:sz="0" w:space="0" w:color="auto"/>
                                                    <w:right w:val="none" w:sz="0" w:space="0" w:color="auto"/>
                                                  </w:divBdr>
                                                  <w:divsChild>
                                                    <w:div w:id="479347367">
                                                      <w:marLeft w:val="0"/>
                                                      <w:marRight w:val="0"/>
                                                      <w:marTop w:val="240"/>
                                                      <w:marBottom w:val="60"/>
                                                      <w:divBdr>
                                                        <w:top w:val="none" w:sz="0" w:space="0" w:color="auto"/>
                                                        <w:left w:val="none" w:sz="0" w:space="0" w:color="auto"/>
                                                        <w:bottom w:val="none" w:sz="0" w:space="0" w:color="auto"/>
                                                        <w:right w:val="none" w:sz="0" w:space="0" w:color="auto"/>
                                                      </w:divBdr>
                                                      <w:divsChild>
                                                        <w:div w:id="6568291">
                                                          <w:marLeft w:val="240"/>
                                                          <w:marRight w:val="0"/>
                                                          <w:marTop w:val="60"/>
                                                          <w:marBottom w:val="60"/>
                                                          <w:divBdr>
                                                            <w:top w:val="none" w:sz="0" w:space="0" w:color="auto"/>
                                                            <w:left w:val="none" w:sz="0" w:space="0" w:color="auto"/>
                                                            <w:bottom w:val="none" w:sz="0" w:space="0" w:color="auto"/>
                                                            <w:right w:val="none" w:sz="0" w:space="0" w:color="auto"/>
                                                          </w:divBdr>
                                                          <w:divsChild>
                                                            <w:div w:id="759955719">
                                                              <w:marLeft w:val="240"/>
                                                              <w:marRight w:val="0"/>
                                                              <w:marTop w:val="60"/>
                                                              <w:marBottom w:val="60"/>
                                                              <w:divBdr>
                                                                <w:top w:val="none" w:sz="0" w:space="0" w:color="auto"/>
                                                                <w:left w:val="none" w:sz="0" w:space="0" w:color="auto"/>
                                                                <w:bottom w:val="none" w:sz="0" w:space="0" w:color="auto"/>
                                                                <w:right w:val="none" w:sz="0" w:space="0" w:color="auto"/>
                                                              </w:divBdr>
                                                              <w:divsChild>
                                                                <w:div w:id="1057706895">
                                                                  <w:marLeft w:val="240"/>
                                                                  <w:marRight w:val="0"/>
                                                                  <w:marTop w:val="60"/>
                                                                  <w:marBottom w:val="60"/>
                                                                  <w:divBdr>
                                                                    <w:top w:val="none" w:sz="0" w:space="0" w:color="auto"/>
                                                                    <w:left w:val="none" w:sz="0" w:space="0" w:color="auto"/>
                                                                    <w:bottom w:val="none" w:sz="0" w:space="0" w:color="auto"/>
                                                                    <w:right w:val="none" w:sz="0" w:space="0" w:color="auto"/>
                                                                  </w:divBdr>
                                                                  <w:divsChild>
                                                                    <w:div w:id="193162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eb2.westlaw.com/find/default.wl?tf=-1&amp;rs=WLW7.02&amp;referencepositiontype=S&amp;serialnum=2007368220&amp;fn=_top&amp;sv=Split&amp;tc=-1&amp;findtype=Y&amp;referenceposition=14991&amp;db=4493&amp;vr=2.0&amp;rp=%2ffind%2fdefault.wl&amp;mt=West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3E771-F82C-49CC-995D-0C92E14AD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3434</Words>
  <Characters>19576</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Pa Public Utility Commission</Company>
  <LinksUpToDate>false</LinksUpToDate>
  <CharactersWithSpaces>22965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Screven, David</dc:creator>
  <cp:lastModifiedBy>Screven, David</cp:lastModifiedBy>
  <cp:revision>12</cp:revision>
  <cp:lastPrinted>2018-10-17T19:15:00Z</cp:lastPrinted>
  <dcterms:created xsi:type="dcterms:W3CDTF">2018-10-17T20:40:00Z</dcterms:created>
  <dcterms:modified xsi:type="dcterms:W3CDTF">2018-10-17T21:09:00Z</dcterms:modified>
</cp:coreProperties>
</file>