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1D1" w:rsidRDefault="00CE2722">
      <w:r>
        <w:t xml:space="preserve">The E-Rate investment in Category 2 </w:t>
      </w:r>
      <w:proofErr w:type="spellStart"/>
      <w:r>
        <w:t>WiFi</w:t>
      </w:r>
      <w:proofErr w:type="spellEnd"/>
      <w:r>
        <w:t xml:space="preserve"> and internal connections funding is extremely valuable and would be extremely difficult for school districts to replace with district or state funds.  </w:t>
      </w:r>
    </w:p>
    <w:p w:rsidR="00CE2722" w:rsidRDefault="00CE2722">
      <w:r>
        <w:t>Our school district has already used a good portion of our allotment to build our wireless network and for our wireless management.   We have also been able to add network work switches with POE capability to our building to provide better segmenting of the network and better throughput.   We have also been able to add a firewall to better protect our network from cyber attacks.</w:t>
      </w:r>
      <w:bookmarkStart w:id="0" w:name="_GoBack"/>
      <w:bookmarkEnd w:id="0"/>
    </w:p>
    <w:sectPr w:rsidR="00CE27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722"/>
    <w:rsid w:val="003821D1"/>
    <w:rsid w:val="00CE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2017-10-17T13:08:00Z</dcterms:created>
  <dcterms:modified xsi:type="dcterms:W3CDTF">2017-10-17T13:19:00Z</dcterms:modified>
</cp:coreProperties>
</file>