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ABF" w:rsidRPr="00874ABF" w:rsidRDefault="00874ABF" w:rsidP="00874ABF">
      <w:pPr>
        <w:pStyle w:val="Header"/>
        <w:jc w:val="center"/>
        <w:rPr>
          <w:rFonts w:ascii="Times New Roman" w:hAnsi="Times New Roman" w:cs="Times New Roman"/>
        </w:rPr>
      </w:pPr>
      <w:r w:rsidRPr="00874ABF">
        <w:rPr>
          <w:rFonts w:ascii="Times New Roman" w:hAnsi="Times New Roman" w:cs="Times New Roman"/>
        </w:rPr>
        <w:t>Before the</w:t>
      </w:r>
    </w:p>
    <w:p w:rsidR="00874ABF" w:rsidRPr="00874ABF" w:rsidRDefault="00874ABF" w:rsidP="00874ABF">
      <w:pPr>
        <w:pStyle w:val="Header"/>
        <w:jc w:val="center"/>
        <w:rPr>
          <w:rFonts w:ascii="Times New Roman" w:hAnsi="Times New Roman" w:cs="Times New Roman"/>
          <w:smallCaps/>
        </w:rPr>
      </w:pPr>
      <w:r w:rsidRPr="00874ABF">
        <w:rPr>
          <w:rFonts w:ascii="Times New Roman" w:hAnsi="Times New Roman" w:cs="Times New Roman"/>
          <w:smallCaps/>
        </w:rPr>
        <w:t>Federal Communications Commission</w:t>
      </w:r>
    </w:p>
    <w:p w:rsidR="00874ABF" w:rsidRPr="00874ABF" w:rsidRDefault="00874ABF" w:rsidP="00874ABF">
      <w:pPr>
        <w:pStyle w:val="Header"/>
        <w:jc w:val="center"/>
        <w:rPr>
          <w:rFonts w:ascii="Times New Roman" w:hAnsi="Times New Roman" w:cs="Times New Roman"/>
        </w:rPr>
      </w:pPr>
      <w:r w:rsidRPr="00874ABF">
        <w:rPr>
          <w:rFonts w:ascii="Times New Roman" w:hAnsi="Times New Roman" w:cs="Times New Roman"/>
        </w:rPr>
        <w:t>Washington, D.C. 20554</w:t>
      </w:r>
    </w:p>
    <w:p w:rsidR="00874ABF" w:rsidRPr="00874ABF" w:rsidRDefault="00874ABF" w:rsidP="00874ABF">
      <w:pPr>
        <w:rPr>
          <w:rFonts w:ascii="Times New Roman" w:hAnsi="Times New Roman" w:cs="Times New Roman"/>
          <w:b/>
          <w:smallCaps/>
          <w:u w:val="single"/>
        </w:rPr>
      </w:pPr>
    </w:p>
    <w:p w:rsidR="00874ABF" w:rsidRPr="00874ABF" w:rsidRDefault="00874ABF" w:rsidP="00874ABF">
      <w:pPr>
        <w:rPr>
          <w:rFonts w:ascii="Times New Roman" w:hAnsi="Times New Roman" w:cs="Times New Roman"/>
          <w:b/>
          <w:smallCaps/>
          <w:u w:val="single"/>
        </w:rPr>
      </w:pPr>
      <w:r w:rsidRPr="00874ABF">
        <w:rPr>
          <w:rFonts w:ascii="Times New Roman" w:hAnsi="Times New Roman" w:cs="Times New Roman"/>
          <w:b/>
          <w:smallCaps/>
          <w:u w:val="single"/>
        </w:rPr>
        <w:t xml:space="preserve"> </w:t>
      </w:r>
    </w:p>
    <w:p w:rsidR="00874ABF" w:rsidRPr="00874ABF" w:rsidRDefault="00874ABF" w:rsidP="00874ABF">
      <w:pPr>
        <w:rPr>
          <w:rFonts w:ascii="Times New Roman" w:hAnsi="Times New Roman" w:cs="Times New Roman"/>
          <w:b/>
          <w:smallCaps/>
          <w:u w:val="single"/>
        </w:rPr>
      </w:pPr>
    </w:p>
    <w:p w:rsidR="00874ABF" w:rsidRPr="00874ABF" w:rsidRDefault="00874ABF" w:rsidP="00874ABF">
      <w:pPr>
        <w:jc w:val="center"/>
        <w:rPr>
          <w:rFonts w:ascii="Times New Roman" w:hAnsi="Times New Roman" w:cs="Times New Roman"/>
          <w:b/>
          <w:smallCaps/>
          <w:sz w:val="28"/>
          <w:szCs w:val="28"/>
          <w:u w:val="single"/>
        </w:rPr>
      </w:pPr>
    </w:p>
    <w:tbl>
      <w:tblPr>
        <w:tblpPr w:leftFromText="180" w:rightFromText="180" w:vertAnchor="page" w:horzAnchor="margin" w:tblpY="3721"/>
        <w:tblW w:w="10089" w:type="dxa"/>
        <w:tblLayout w:type="fixed"/>
        <w:tblLook w:val="0000" w:firstRow="0" w:lastRow="0" w:firstColumn="0" w:lastColumn="0" w:noHBand="0" w:noVBand="0"/>
      </w:tblPr>
      <w:tblGrid>
        <w:gridCol w:w="4812"/>
        <w:gridCol w:w="702"/>
        <w:gridCol w:w="4575"/>
      </w:tblGrid>
      <w:tr w:rsidR="00874ABF" w:rsidRPr="00874ABF" w:rsidTr="00874ABF">
        <w:trPr>
          <w:trHeight w:val="1890"/>
        </w:trPr>
        <w:tc>
          <w:tcPr>
            <w:tcW w:w="4812" w:type="dxa"/>
          </w:tcPr>
          <w:p w:rsidR="00874ABF" w:rsidRPr="00874ABF" w:rsidRDefault="00874ABF" w:rsidP="00874ABF">
            <w:pPr>
              <w:tabs>
                <w:tab w:val="left" w:pos="1080"/>
                <w:tab w:val="left" w:pos="1440"/>
              </w:tabs>
              <w:ind w:right="-18"/>
              <w:rPr>
                <w:rFonts w:ascii="Times New Roman" w:hAnsi="Times New Roman" w:cs="Times New Roman"/>
              </w:rPr>
            </w:pPr>
            <w:r w:rsidRPr="00874ABF">
              <w:rPr>
                <w:rFonts w:ascii="Times New Roman" w:hAnsi="Times New Roman" w:cs="Times New Roman"/>
              </w:rPr>
              <w:t>In the Matter of</w:t>
            </w:r>
          </w:p>
          <w:p w:rsidR="00874ABF" w:rsidRPr="00874ABF" w:rsidRDefault="00874ABF" w:rsidP="00874ABF">
            <w:pPr>
              <w:tabs>
                <w:tab w:val="left" w:pos="1080"/>
                <w:tab w:val="left" w:pos="1440"/>
              </w:tabs>
              <w:ind w:right="-18"/>
              <w:rPr>
                <w:rFonts w:ascii="Times New Roman" w:hAnsi="Times New Roman" w:cs="Times New Roman"/>
              </w:rPr>
            </w:pPr>
          </w:p>
          <w:p w:rsidR="00874ABF" w:rsidRPr="00874ABF" w:rsidRDefault="00874ABF" w:rsidP="00874ABF">
            <w:pPr>
              <w:tabs>
                <w:tab w:val="left" w:pos="1080"/>
                <w:tab w:val="left" w:pos="1440"/>
              </w:tabs>
              <w:ind w:right="-18"/>
              <w:rPr>
                <w:rFonts w:ascii="Times New Roman" w:hAnsi="Times New Roman" w:cs="Times New Roman"/>
              </w:rPr>
            </w:pPr>
            <w:r w:rsidRPr="00874ABF">
              <w:rPr>
                <w:rFonts w:ascii="Times New Roman" w:hAnsi="Times New Roman" w:cs="Times New Roman"/>
              </w:rPr>
              <w:t>Promoting Telehealth in Rural America</w:t>
            </w:r>
          </w:p>
        </w:tc>
        <w:tc>
          <w:tcPr>
            <w:tcW w:w="702" w:type="dxa"/>
          </w:tcPr>
          <w:p w:rsidR="00874ABF" w:rsidRPr="00874ABF" w:rsidRDefault="00874ABF" w:rsidP="00874ABF">
            <w:pPr>
              <w:tabs>
                <w:tab w:val="center" w:pos="4680"/>
              </w:tabs>
              <w:suppressAutoHyphens/>
              <w:ind w:left="134" w:right="-18"/>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874ABF">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874ABF">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874ABF">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874ABF">
            <w:pPr>
              <w:tabs>
                <w:tab w:val="left" w:pos="1080"/>
                <w:tab w:val="left" w:pos="1440"/>
                <w:tab w:val="center" w:pos="4680"/>
              </w:tabs>
              <w:suppressAutoHyphens/>
              <w:rPr>
                <w:rFonts w:ascii="Times New Roman" w:hAnsi="Times New Roman" w:cs="Times New Roman"/>
                <w:b/>
                <w:spacing w:val="-2"/>
              </w:rPr>
            </w:pPr>
          </w:p>
        </w:tc>
        <w:tc>
          <w:tcPr>
            <w:tcW w:w="4575" w:type="dxa"/>
          </w:tcPr>
          <w:p w:rsidR="00874ABF" w:rsidRPr="00874ABF" w:rsidRDefault="00874ABF" w:rsidP="00874ABF">
            <w:pPr>
              <w:tabs>
                <w:tab w:val="left" w:pos="1080"/>
                <w:tab w:val="left" w:pos="1440"/>
              </w:tabs>
              <w:ind w:hanging="108"/>
              <w:rPr>
                <w:rFonts w:ascii="Times New Roman" w:hAnsi="Times New Roman" w:cs="Times New Roman"/>
              </w:rPr>
            </w:pPr>
          </w:p>
          <w:p w:rsidR="00874ABF" w:rsidRPr="00874ABF" w:rsidRDefault="00874ABF" w:rsidP="00874ABF">
            <w:pPr>
              <w:tabs>
                <w:tab w:val="left" w:pos="1080"/>
                <w:tab w:val="left" w:pos="1440"/>
              </w:tabs>
              <w:ind w:hanging="108"/>
              <w:rPr>
                <w:rFonts w:ascii="Times New Roman" w:hAnsi="Times New Roman" w:cs="Times New Roman"/>
              </w:rPr>
            </w:pPr>
          </w:p>
          <w:p w:rsidR="00874ABF" w:rsidRPr="00874ABF" w:rsidRDefault="00874ABF" w:rsidP="00874ABF">
            <w:pPr>
              <w:tabs>
                <w:tab w:val="left" w:pos="1080"/>
                <w:tab w:val="left" w:pos="1440"/>
              </w:tabs>
              <w:ind w:hanging="108"/>
              <w:rPr>
                <w:rFonts w:ascii="Times New Roman" w:hAnsi="Times New Roman" w:cs="Times New Roman"/>
              </w:rPr>
            </w:pPr>
            <w:r w:rsidRPr="00874ABF">
              <w:rPr>
                <w:rFonts w:ascii="Times New Roman" w:hAnsi="Times New Roman" w:cs="Times New Roman"/>
              </w:rPr>
              <w:t xml:space="preserve">  WC Docket No. 17-310</w:t>
            </w:r>
          </w:p>
          <w:p w:rsidR="00874ABF" w:rsidRPr="00874ABF" w:rsidRDefault="00874ABF" w:rsidP="00874ABF">
            <w:pPr>
              <w:tabs>
                <w:tab w:val="left" w:pos="1080"/>
                <w:tab w:val="left" w:pos="1440"/>
              </w:tabs>
              <w:ind w:hanging="108"/>
              <w:rPr>
                <w:rFonts w:ascii="Times New Roman" w:hAnsi="Times New Roman" w:cs="Times New Roman"/>
              </w:rPr>
            </w:pPr>
          </w:p>
          <w:p w:rsidR="00874ABF" w:rsidRPr="00874ABF" w:rsidRDefault="00874ABF" w:rsidP="00874ABF">
            <w:pPr>
              <w:tabs>
                <w:tab w:val="left" w:pos="1080"/>
                <w:tab w:val="left" w:pos="1440"/>
              </w:tabs>
              <w:ind w:hanging="108"/>
              <w:rPr>
                <w:rFonts w:ascii="Times New Roman" w:hAnsi="Times New Roman" w:cs="Times New Roman"/>
              </w:rPr>
            </w:pPr>
            <w:r w:rsidRPr="00874ABF">
              <w:rPr>
                <w:rFonts w:ascii="Times New Roman" w:hAnsi="Times New Roman" w:cs="Times New Roman"/>
              </w:rPr>
              <w:t xml:space="preserve">  </w:t>
            </w:r>
          </w:p>
          <w:p w:rsidR="00874ABF" w:rsidRPr="00874ABF" w:rsidRDefault="00874ABF" w:rsidP="00874ABF">
            <w:pPr>
              <w:tabs>
                <w:tab w:val="left" w:pos="1080"/>
                <w:tab w:val="left" w:pos="1440"/>
              </w:tabs>
              <w:ind w:hanging="108"/>
              <w:rPr>
                <w:rFonts w:ascii="Times New Roman" w:hAnsi="Times New Roman" w:cs="Times New Roman"/>
              </w:rPr>
            </w:pPr>
          </w:p>
        </w:tc>
      </w:tr>
    </w:tbl>
    <w:p w:rsidR="00874ABF" w:rsidRPr="00874ABF" w:rsidRDefault="00874ABF" w:rsidP="00874ABF">
      <w:pPr>
        <w:jc w:val="center"/>
        <w:rPr>
          <w:rFonts w:ascii="Times New Roman" w:hAnsi="Times New Roman" w:cs="Times New Roman"/>
          <w:b/>
          <w:smallCaps/>
          <w:sz w:val="28"/>
          <w:szCs w:val="28"/>
          <w:u w:val="single"/>
        </w:rPr>
      </w:pPr>
      <w:r w:rsidRPr="00874ABF">
        <w:rPr>
          <w:rFonts w:ascii="Times New Roman" w:hAnsi="Times New Roman" w:cs="Times New Roman"/>
          <w:b/>
          <w:smallCaps/>
          <w:sz w:val="28"/>
          <w:szCs w:val="28"/>
          <w:u w:val="single"/>
        </w:rPr>
        <w:t xml:space="preserve">Comments of National Association of Community Health Centers </w:t>
      </w:r>
    </w:p>
    <w:p w:rsidR="00874ABF" w:rsidRPr="00874ABF" w:rsidRDefault="00874ABF" w:rsidP="00874ABF">
      <w:pPr>
        <w:rPr>
          <w:rFonts w:ascii="Times New Roman" w:hAnsi="Times New Roman" w:cs="Times New Roman"/>
          <w:b/>
          <w:smallCaps/>
          <w:sz w:val="28"/>
          <w:szCs w:val="28"/>
          <w:u w:val="single"/>
        </w:rPr>
      </w:pPr>
    </w:p>
    <w:p w:rsidR="00874ABF" w:rsidRPr="00874ABF" w:rsidRDefault="00874ABF" w:rsidP="00874ABF">
      <w:pPr>
        <w:jc w:val="center"/>
        <w:rPr>
          <w:rFonts w:ascii="Times New Roman" w:hAnsi="Times New Roman" w:cs="Times New Roman"/>
          <w:b/>
          <w:smallCaps/>
          <w:u w:val="single"/>
        </w:rPr>
      </w:pPr>
    </w:p>
    <w:p w:rsidR="00874ABF" w:rsidRPr="00874ABF" w:rsidRDefault="00874ABF" w:rsidP="00874ABF">
      <w:pPr>
        <w:jc w:val="center"/>
        <w:rPr>
          <w:rFonts w:ascii="Times New Roman" w:hAnsi="Times New Roman" w:cs="Times New Roman"/>
          <w:b/>
          <w:smallCaps/>
          <w:u w:val="single"/>
        </w:rPr>
      </w:pPr>
    </w:p>
    <w:tbl>
      <w:tblPr>
        <w:tblW w:w="11430" w:type="dxa"/>
        <w:tblInd w:w="-180" w:type="dxa"/>
        <w:tblLook w:val="01E0" w:firstRow="1" w:lastRow="1" w:firstColumn="1" w:lastColumn="1" w:noHBand="0" w:noVBand="0"/>
      </w:tblPr>
      <w:tblGrid>
        <w:gridCol w:w="7110"/>
        <w:gridCol w:w="4320"/>
      </w:tblGrid>
      <w:tr w:rsidR="00874ABF" w:rsidRPr="00874ABF" w:rsidTr="00C36E36">
        <w:trPr>
          <w:trHeight w:val="3870"/>
        </w:trPr>
        <w:tc>
          <w:tcPr>
            <w:tcW w:w="7110" w:type="dxa"/>
          </w:tcPr>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b/>
                <w:smallCaps/>
                <w:u w:val="single"/>
              </w:rPr>
              <w:br w:type="page"/>
            </w:r>
            <w:r w:rsidRPr="00874ABF">
              <w:rPr>
                <w:rFonts w:ascii="Times New Roman" w:hAnsi="Times New Roman" w:cs="Times New Roman"/>
                <w:color w:val="000000" w:themeColor="text1"/>
              </w:rPr>
              <w:t>Colleen Meiman</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Senior Policy Advisor</w:t>
            </w:r>
          </w:p>
          <w:p w:rsidR="00874ABF" w:rsidRPr="00874ABF" w:rsidRDefault="00874ABF" w:rsidP="00874ABF">
            <w:pPr>
              <w:spacing w:after="0"/>
              <w:ind w:left="72"/>
              <w:rPr>
                <w:rFonts w:ascii="Times New Roman" w:hAnsi="Times New Roman" w:cs="Times New Roman"/>
                <w:smallCaps/>
                <w:color w:val="000000" w:themeColor="text1"/>
              </w:rPr>
            </w:pPr>
            <w:r w:rsidRPr="00874ABF">
              <w:rPr>
                <w:rFonts w:ascii="Times New Roman" w:hAnsi="Times New Roman" w:cs="Times New Roman"/>
                <w:smallCaps/>
                <w:color w:val="000000" w:themeColor="text1"/>
              </w:rPr>
              <w:t>National Association of Community Health Centers</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1400 Eye Street, NW</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Suite 910</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 xml:space="preserve">Washington, DC  20005 </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202-296-0158</w:t>
            </w:r>
          </w:p>
          <w:p w:rsidR="00874ABF" w:rsidRPr="00874ABF" w:rsidRDefault="00874ABF" w:rsidP="00874ABF">
            <w:pPr>
              <w:spacing w:after="0"/>
              <w:ind w:left="72"/>
              <w:rPr>
                <w:rFonts w:ascii="Times New Roman" w:hAnsi="Times New Roman" w:cs="Times New Roman"/>
                <w:color w:val="000000" w:themeColor="text1"/>
              </w:rPr>
            </w:pPr>
            <w:r w:rsidRPr="00874ABF">
              <w:rPr>
                <w:rFonts w:ascii="Times New Roman" w:hAnsi="Times New Roman" w:cs="Times New Roman"/>
                <w:color w:val="000000" w:themeColor="text1"/>
              </w:rPr>
              <w:t>cmeiman@nachc.org</w:t>
            </w:r>
          </w:p>
          <w:p w:rsidR="00874ABF" w:rsidRPr="00874ABF" w:rsidRDefault="00874ABF" w:rsidP="00C36E36">
            <w:pPr>
              <w:ind w:left="72"/>
              <w:rPr>
                <w:rFonts w:ascii="Times New Roman" w:hAnsi="Times New Roman" w:cs="Times New Roman"/>
                <w:color w:val="000000" w:themeColor="text1"/>
              </w:rPr>
            </w:pPr>
          </w:p>
          <w:p w:rsidR="00874ABF" w:rsidRPr="00874ABF" w:rsidRDefault="00874ABF" w:rsidP="00C36E36">
            <w:pPr>
              <w:ind w:left="70"/>
              <w:rPr>
                <w:rFonts w:ascii="Times New Roman" w:hAnsi="Times New Roman" w:cs="Times New Roman"/>
                <w:color w:val="000000" w:themeColor="text1"/>
              </w:rPr>
            </w:pPr>
          </w:p>
        </w:tc>
        <w:tc>
          <w:tcPr>
            <w:tcW w:w="4320" w:type="dxa"/>
          </w:tcPr>
          <w:p w:rsidR="00874ABF" w:rsidRPr="00874ABF" w:rsidRDefault="00874ABF" w:rsidP="00C36E36">
            <w:pPr>
              <w:ind w:left="70"/>
              <w:rPr>
                <w:rFonts w:ascii="Times New Roman" w:hAnsi="Times New Roman" w:cs="Times New Roman"/>
                <w:color w:val="000000" w:themeColor="text1"/>
              </w:rPr>
            </w:pPr>
          </w:p>
        </w:tc>
      </w:tr>
      <w:tr w:rsidR="00874ABF" w:rsidRPr="00874ABF" w:rsidTr="00C36E36">
        <w:trPr>
          <w:trHeight w:val="333"/>
        </w:trPr>
        <w:tc>
          <w:tcPr>
            <w:tcW w:w="7110" w:type="dxa"/>
          </w:tcPr>
          <w:p w:rsidR="00874ABF" w:rsidRPr="00874ABF" w:rsidRDefault="00874ABF" w:rsidP="00874ABF">
            <w:pPr>
              <w:rPr>
                <w:rFonts w:ascii="Times New Roman" w:hAnsi="Times New Roman" w:cs="Times New Roman"/>
                <w:color w:val="000000" w:themeColor="text1"/>
              </w:rPr>
            </w:pPr>
            <w:r w:rsidRPr="00874ABF">
              <w:rPr>
                <w:rFonts w:ascii="Times New Roman" w:hAnsi="Times New Roman" w:cs="Times New Roman"/>
                <w:color w:val="000000" w:themeColor="text1"/>
              </w:rPr>
              <w:t>February 2, 2018</w:t>
            </w:r>
          </w:p>
        </w:tc>
        <w:tc>
          <w:tcPr>
            <w:tcW w:w="4320" w:type="dxa"/>
          </w:tcPr>
          <w:p w:rsidR="00874ABF" w:rsidRPr="00874ABF" w:rsidRDefault="00874ABF" w:rsidP="00C36E36">
            <w:pPr>
              <w:ind w:left="70"/>
              <w:rPr>
                <w:rFonts w:ascii="Times New Roman" w:hAnsi="Times New Roman" w:cs="Times New Roman"/>
                <w:i/>
                <w:color w:val="000000" w:themeColor="text1"/>
              </w:rPr>
            </w:pPr>
          </w:p>
        </w:tc>
      </w:tr>
    </w:tbl>
    <w:p w:rsidR="00DA33EE" w:rsidRPr="00874ABF" w:rsidRDefault="00DA33EE" w:rsidP="00DA33EE">
      <w:pPr>
        <w:rPr>
          <w:rFonts w:ascii="Times New Roman" w:eastAsia="Times New Roman" w:hAnsi="Times New Roman" w:cs="Times New Roman"/>
          <w:color w:val="000000"/>
          <w:sz w:val="24"/>
          <w:szCs w:val="24"/>
        </w:rPr>
      </w:pPr>
      <w:r w:rsidRPr="00874ABF">
        <w:rPr>
          <w:rFonts w:ascii="Times New Roman" w:eastAsia="Times New Roman" w:hAnsi="Times New Roman" w:cs="Times New Roman"/>
          <w:color w:val="000000"/>
          <w:sz w:val="24"/>
          <w:szCs w:val="24"/>
        </w:rPr>
        <w:br w:type="page"/>
      </w:r>
    </w:p>
    <w:p w:rsidR="0091071C" w:rsidRDefault="0091071C" w:rsidP="0091071C">
      <w:pPr>
        <w:jc w:val="center"/>
        <w:rPr>
          <w:rFonts w:ascii="Times New Roman" w:hAnsi="Times New Roman" w:cs="Times New Roman"/>
          <w:b/>
          <w:smallCaps/>
          <w:sz w:val="28"/>
          <w:szCs w:val="28"/>
          <w:u w:val="single"/>
        </w:rPr>
      </w:pPr>
      <w:r>
        <w:rPr>
          <w:rFonts w:ascii="Times New Roman" w:hAnsi="Times New Roman" w:cs="Times New Roman"/>
          <w:b/>
          <w:smallCaps/>
          <w:sz w:val="28"/>
          <w:szCs w:val="28"/>
          <w:u w:val="single"/>
        </w:rPr>
        <w:lastRenderedPageBreak/>
        <w:t>Executive Summary</w:t>
      </w:r>
    </w:p>
    <w:p w:rsidR="00780927" w:rsidRPr="00890125" w:rsidRDefault="00780927" w:rsidP="00780927">
      <w:p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 xml:space="preserve">Community Health Centers are a backbone of the rural “health care safety net”, and Congress explicitly indicated that they are intended to benefit from the Rural Health Care Program.  However, in recent years, the RHCP has become an increasingly burdensome and unpredictable program for CHCs.  For this reasons, NACHC is pleased that the FCC is reexamining the program’s structure, and offers the following comments:  </w:t>
      </w:r>
    </w:p>
    <w:p w:rsidR="00780927" w:rsidRPr="00890125" w:rsidRDefault="00780927" w:rsidP="00780927">
      <w:pPr>
        <w:spacing w:after="0" w:line="480" w:lineRule="auto"/>
        <w:rPr>
          <w:rFonts w:ascii="Times New Roman" w:hAnsi="Times New Roman" w:cs="Times New Roman"/>
          <w:sz w:val="24"/>
          <w:szCs w:val="24"/>
          <w:u w:val="single"/>
        </w:rPr>
      </w:pPr>
      <w:r w:rsidRPr="00890125">
        <w:rPr>
          <w:rFonts w:ascii="Times New Roman" w:hAnsi="Times New Roman" w:cs="Times New Roman"/>
          <w:sz w:val="24"/>
          <w:szCs w:val="24"/>
          <w:u w:val="single"/>
        </w:rPr>
        <w:t>Funding cap:</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The FCC should raise the $400 million cap for FY16-17 and FY17-18, to reflect recent expansions of the program, and to avoid penalizing providers whom Congress explicitly intended to support.</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Whenever possible, the operational aspects of the RHCP should be aligned with the E-Rate program, including by using GDP-CPI to update the funding cap annually.</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In future years, the funding cap should be to reflect inflation, eligibility expansions, and changes in costs resulting from advances in technology.</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All unused RHCP funding from previous funding years should be made available in subsequent funding years until fully disbursed.</w:t>
      </w:r>
    </w:p>
    <w:p w:rsidR="00780927" w:rsidRPr="00890125" w:rsidRDefault="00780927" w:rsidP="00780927">
      <w:pPr>
        <w:spacing w:after="0" w:line="480" w:lineRule="auto"/>
        <w:rPr>
          <w:rFonts w:ascii="Times New Roman" w:hAnsi="Times New Roman" w:cs="Times New Roman"/>
          <w:sz w:val="24"/>
          <w:szCs w:val="24"/>
          <w:u w:val="single"/>
        </w:rPr>
      </w:pPr>
      <w:r w:rsidRPr="00890125">
        <w:rPr>
          <w:rFonts w:ascii="Times New Roman" w:hAnsi="Times New Roman" w:cs="Times New Roman"/>
          <w:sz w:val="24"/>
          <w:szCs w:val="24"/>
          <w:u w:val="single"/>
        </w:rPr>
        <w:t>Prioritization of funding requests:</w:t>
      </w:r>
    </w:p>
    <w:p w:rsidR="00780927" w:rsidRDefault="00780927" w:rsidP="00E95325">
      <w:pPr>
        <w:pStyle w:val="ListParagraph"/>
        <w:numPr>
          <w:ilvl w:val="0"/>
          <w:numId w:val="32"/>
        </w:numPr>
        <w:spacing w:after="0" w:line="480" w:lineRule="auto"/>
        <w:rPr>
          <w:rFonts w:ascii="Times New Roman" w:hAnsi="Times New Roman" w:cs="Times New Roman"/>
          <w:sz w:val="24"/>
          <w:szCs w:val="24"/>
        </w:rPr>
      </w:pPr>
      <w:r w:rsidRPr="00780927">
        <w:rPr>
          <w:rFonts w:ascii="Times New Roman" w:hAnsi="Times New Roman" w:cs="Times New Roman"/>
          <w:sz w:val="24"/>
          <w:szCs w:val="24"/>
        </w:rPr>
        <w:t>The current proration approach is inappropriate as it implies that all providers and expenses are of equal merit, despite that fact that some providers are of questionable eligibility and seek a disproportionate share of total RHCP funding.</w:t>
      </w:r>
    </w:p>
    <w:p w:rsidR="00780927" w:rsidRPr="00780927" w:rsidRDefault="00780927" w:rsidP="00E95325">
      <w:pPr>
        <w:pStyle w:val="ListParagraph"/>
        <w:numPr>
          <w:ilvl w:val="0"/>
          <w:numId w:val="32"/>
        </w:numPr>
        <w:spacing w:after="0" w:line="480" w:lineRule="auto"/>
        <w:rPr>
          <w:rFonts w:ascii="Times New Roman" w:hAnsi="Times New Roman" w:cs="Times New Roman"/>
          <w:sz w:val="24"/>
          <w:szCs w:val="24"/>
        </w:rPr>
      </w:pPr>
      <w:r w:rsidRPr="00780927">
        <w:rPr>
          <w:rFonts w:ascii="Times New Roman" w:hAnsi="Times New Roman" w:cs="Times New Roman"/>
          <w:sz w:val="24"/>
          <w:szCs w:val="24"/>
        </w:rPr>
        <w:t>The most appropriate prioritization approach is to fully fund requests from individual providers who are clearly eligible under a plain reading of the statute – namely, “public or non-profit” providers who actually “serve(s) persons who reside in rural areas”.</w:t>
      </w:r>
    </w:p>
    <w:p w:rsidR="00780927" w:rsidRPr="00890125" w:rsidRDefault="00780927" w:rsidP="00780927">
      <w:pPr>
        <w:pStyle w:val="ListParagraph"/>
        <w:numPr>
          <w:ilvl w:val="0"/>
          <w:numId w:val="32"/>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lastRenderedPageBreak/>
        <w:t>If a second-tier prioritization approach is needed, the FCC should use scores for rural Health Professional Shortage Areas (HPSA), as calculated by the Federal Department of Health and Human Services.</w:t>
      </w:r>
    </w:p>
    <w:p w:rsidR="00780927" w:rsidRPr="00890125" w:rsidRDefault="00780927" w:rsidP="00780927">
      <w:pPr>
        <w:pStyle w:val="ListParagraph"/>
        <w:numPr>
          <w:ilvl w:val="0"/>
          <w:numId w:val="32"/>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The definition of “rural” currently used in E-Rate should be applied to the RHCP.</w:t>
      </w:r>
    </w:p>
    <w:p w:rsidR="00780927" w:rsidRPr="00890125" w:rsidRDefault="00780927" w:rsidP="00780927">
      <w:pPr>
        <w:pStyle w:val="ListParagraph"/>
        <w:numPr>
          <w:ilvl w:val="0"/>
          <w:numId w:val="32"/>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Medicaid eligibility is not an appropriate measure of either economic need or the need for health services.</w:t>
      </w:r>
    </w:p>
    <w:p w:rsidR="00780927" w:rsidRPr="00890125" w:rsidRDefault="00780927" w:rsidP="00780927">
      <w:pPr>
        <w:spacing w:after="0" w:line="480" w:lineRule="auto"/>
        <w:rPr>
          <w:rFonts w:ascii="Times New Roman" w:hAnsi="Times New Roman" w:cs="Times New Roman"/>
          <w:sz w:val="24"/>
          <w:szCs w:val="24"/>
        </w:rPr>
      </w:pPr>
      <w:r w:rsidRPr="00890125">
        <w:rPr>
          <w:rFonts w:ascii="Times New Roman" w:hAnsi="Times New Roman" w:cs="Times New Roman"/>
          <w:sz w:val="24"/>
          <w:szCs w:val="24"/>
          <w:u w:val="single"/>
        </w:rPr>
        <w:t>Urban-Rural Consortia:</w:t>
      </w:r>
      <w:r w:rsidRPr="00890125">
        <w:rPr>
          <w:rFonts w:ascii="Times New Roman" w:hAnsi="Times New Roman" w:cs="Times New Roman"/>
          <w:sz w:val="24"/>
          <w:szCs w:val="24"/>
        </w:rPr>
        <w:t xml:space="preserve">  </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 xml:space="preserve">Well-intentioned efforts to encourage rural-urban consortia have often not achieved the intended benefits.  </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At the same time, they have resulted in increased administrative burdens, and diverted RHCP funds from CHCs (and other eligible providers) to providers whose eligibility is inconsistent with a plain reading of the statute.</w:t>
      </w:r>
    </w:p>
    <w:p w:rsidR="00780927" w:rsidRPr="00890125" w:rsidRDefault="00780927" w:rsidP="00780927">
      <w:pPr>
        <w:pStyle w:val="ListParagraph"/>
        <w:numPr>
          <w:ilvl w:val="0"/>
          <w:numId w:val="31"/>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NACHC strongly supports efforts to ensure that the vast majority of RHCP funds are directed to provider organizations who actually treat patients who reside in rural areas.  This will require significantly tightening the rules on urban-rural consortia.</w:t>
      </w:r>
    </w:p>
    <w:p w:rsidR="00780927" w:rsidRPr="00890125" w:rsidRDefault="00780927" w:rsidP="00780927">
      <w:pPr>
        <w:spacing w:after="0" w:line="480" w:lineRule="auto"/>
        <w:rPr>
          <w:rFonts w:ascii="Times New Roman" w:hAnsi="Times New Roman" w:cs="Times New Roman"/>
          <w:sz w:val="24"/>
          <w:szCs w:val="24"/>
        </w:rPr>
      </w:pPr>
      <w:r w:rsidRPr="00890125">
        <w:rPr>
          <w:rFonts w:ascii="Times New Roman" w:hAnsi="Times New Roman" w:cs="Times New Roman"/>
          <w:sz w:val="24"/>
          <w:szCs w:val="24"/>
          <w:u w:val="single"/>
        </w:rPr>
        <w:t>Administrative Burden:</w:t>
      </w:r>
      <w:r w:rsidRPr="00890125">
        <w:rPr>
          <w:rFonts w:ascii="Times New Roman" w:hAnsi="Times New Roman" w:cs="Times New Roman"/>
          <w:sz w:val="24"/>
          <w:szCs w:val="24"/>
        </w:rPr>
        <w:t xml:space="preserve">  </w:t>
      </w:r>
    </w:p>
    <w:p w:rsidR="00780927" w:rsidRPr="00890125" w:rsidRDefault="00780927" w:rsidP="00780927">
      <w:pPr>
        <w:pStyle w:val="ListParagraph"/>
        <w:numPr>
          <w:ilvl w:val="0"/>
          <w:numId w:val="33"/>
        </w:numPr>
        <w:spacing w:after="0" w:line="480" w:lineRule="auto"/>
        <w:rPr>
          <w:rFonts w:ascii="Times New Roman" w:hAnsi="Times New Roman" w:cs="Times New Roman"/>
          <w:sz w:val="24"/>
          <w:szCs w:val="24"/>
        </w:rPr>
      </w:pPr>
      <w:r w:rsidRPr="00890125">
        <w:rPr>
          <w:rFonts w:ascii="Times New Roman" w:hAnsi="Times New Roman" w:cs="Times New Roman"/>
          <w:sz w:val="24"/>
          <w:szCs w:val="24"/>
        </w:rPr>
        <w:t>The administrative burden of applying for and participating in the RHCP is becoming unsustainable for many small, rural CHCs.</w:t>
      </w:r>
    </w:p>
    <w:p w:rsidR="0091071C" w:rsidRPr="00780927" w:rsidRDefault="00780927" w:rsidP="00780927">
      <w:pPr>
        <w:pStyle w:val="ListParagraph"/>
        <w:numPr>
          <w:ilvl w:val="0"/>
          <w:numId w:val="33"/>
        </w:numPr>
        <w:spacing w:after="0" w:line="480" w:lineRule="auto"/>
        <w:rPr>
          <w:rFonts w:ascii="Times New Roman" w:hAnsi="Times New Roman" w:cs="Times New Roman"/>
        </w:rPr>
      </w:pPr>
      <w:r w:rsidRPr="00780927">
        <w:rPr>
          <w:rFonts w:ascii="Times New Roman" w:hAnsi="Times New Roman" w:cs="Times New Roman"/>
          <w:sz w:val="24"/>
          <w:szCs w:val="24"/>
        </w:rPr>
        <w:t>NACHC strongly supports efforts to simplify the application and funding process so that it no longer disadvantages and discourages small providers from participating.</w:t>
      </w:r>
    </w:p>
    <w:p w:rsidR="00815B9A" w:rsidRDefault="00815B9A" w:rsidP="00780927">
      <w:pPr>
        <w:rPr>
          <w:rFonts w:ascii="Times New Roman" w:hAnsi="Times New Roman" w:cs="Times New Roman"/>
        </w:rPr>
      </w:pPr>
      <w:r>
        <w:rPr>
          <w:rFonts w:ascii="Times New Roman" w:hAnsi="Times New Roman" w:cs="Times New Roman"/>
        </w:rPr>
        <w:br w:type="page"/>
      </w:r>
    </w:p>
    <w:sdt>
      <w:sdtPr>
        <w:rPr>
          <w:rFonts w:asciiTheme="minorHAnsi" w:eastAsiaTheme="minorHAnsi" w:hAnsiTheme="minorHAnsi" w:cstheme="minorBidi"/>
          <w:color w:val="auto"/>
          <w:sz w:val="22"/>
          <w:szCs w:val="22"/>
        </w:rPr>
        <w:id w:val="-844319417"/>
        <w:docPartObj>
          <w:docPartGallery w:val="Table of Contents"/>
          <w:docPartUnique/>
        </w:docPartObj>
      </w:sdtPr>
      <w:sdtEndPr>
        <w:rPr>
          <w:b/>
          <w:bCs/>
          <w:noProof/>
        </w:rPr>
      </w:sdtEndPr>
      <w:sdtContent>
        <w:p w:rsidR="00815B9A" w:rsidRPr="00815B9A" w:rsidRDefault="00815B9A" w:rsidP="00815B9A">
          <w:pPr>
            <w:pStyle w:val="TOCHeading"/>
            <w:jc w:val="center"/>
            <w:rPr>
              <w:b/>
              <w:color w:val="auto"/>
            </w:rPr>
          </w:pPr>
          <w:r w:rsidRPr="00815B9A">
            <w:rPr>
              <w:b/>
              <w:color w:val="auto"/>
            </w:rPr>
            <w:t>Table of Contents</w:t>
          </w:r>
        </w:p>
        <w:p w:rsidR="004F58B8" w:rsidRPr="00780927" w:rsidRDefault="00815B9A" w:rsidP="00780927">
          <w:pPr>
            <w:pStyle w:val="TOC1"/>
            <w:tabs>
              <w:tab w:val="right" w:leader="dot" w:pos="9350"/>
            </w:tabs>
            <w:spacing w:line="360" w:lineRule="auto"/>
            <w:rPr>
              <w:rFonts w:ascii="Times New Roman" w:eastAsiaTheme="minorEastAsia" w:hAnsi="Times New Roman" w:cs="Times New Roman"/>
              <w:noProof/>
              <w:sz w:val="24"/>
              <w:szCs w:val="24"/>
            </w:rPr>
          </w:pPr>
          <w:r>
            <w:fldChar w:fldCharType="begin"/>
          </w:r>
          <w:r>
            <w:instrText xml:space="preserve"> TOC \o "1-3" \h \z \u </w:instrText>
          </w:r>
          <w:r>
            <w:fldChar w:fldCharType="separate"/>
          </w:r>
          <w:hyperlink w:anchor="_Toc505249648" w:history="1">
            <w:r w:rsidR="004F58B8" w:rsidRPr="00780927">
              <w:rPr>
                <w:rStyle w:val="Hyperlink"/>
                <w:rFonts w:ascii="Times New Roman" w:hAnsi="Times New Roman" w:cs="Times New Roman"/>
                <w:noProof/>
                <w:sz w:val="24"/>
                <w:szCs w:val="24"/>
              </w:rPr>
              <w:t>Background</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_Toc505249648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7</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49" w:history="1">
            <w:r w:rsidR="004F58B8" w:rsidRPr="00780927">
              <w:rPr>
                <w:rStyle w:val="Hyperlink"/>
                <w:rFonts w:ascii="Times New Roman" w:hAnsi="Times New Roman" w:cs="Times New Roman"/>
                <w:noProof/>
                <w:sz w:val="24"/>
                <w:szCs w:val="24"/>
              </w:rPr>
              <w:t>Community Health Centers are a backbone of the rural “health care safety net”</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_Toc505249649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7</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0" w:history="1">
            <w:r w:rsidR="004F58B8" w:rsidRPr="00780927">
              <w:rPr>
                <w:rStyle w:val="Hyperlink"/>
                <w:rFonts w:ascii="Times New Roman" w:hAnsi="Times New Roman" w:cs="Times New Roman"/>
                <w:noProof/>
                <w:sz w:val="24"/>
                <w:szCs w:val="24"/>
              </w:rPr>
              <w:t>Congress clearly intended rural CHC to benefit from the RHCP</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_Toc505249650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9</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1" w:history="1">
            <w:r w:rsidR="004F58B8" w:rsidRPr="00780927">
              <w:rPr>
                <w:rStyle w:val="Hyperlink"/>
                <w:rFonts w:ascii="Times New Roman" w:hAnsi="Times New Roman" w:cs="Times New Roman"/>
                <w:noProof/>
                <w:sz w:val="24"/>
                <w:szCs w:val="24"/>
              </w:rPr>
              <w:t xml:space="preserve">General concerns re: Urban Rural Consortia:  </w:t>
            </w:r>
            <w:r w:rsidR="004F58B8" w:rsidRPr="00780927">
              <w:rPr>
                <w:rStyle w:val="Hyperlink"/>
                <w:rFonts w:ascii="Times New Roman" w:hAnsi="Times New Roman" w:cs="Times New Roman"/>
                <w:i/>
                <w:noProof/>
                <w:sz w:val="24"/>
                <w:szCs w:val="24"/>
              </w:rPr>
              <w:t>Well-intentioned efforts to encourage rural-urban consortia have often not achieved the intended benefits.  At the same time, they have resulted in increased administrative burdens, and diverted RHCP funds from CHCs (and other eligible providers) to providers whose eligibility is inconsistent with a plain reading of the statute.</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_Toc505249651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10</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1"/>
            <w:tabs>
              <w:tab w:val="right" w:leader="dot" w:pos="9350"/>
            </w:tabs>
            <w:spacing w:line="360" w:lineRule="auto"/>
            <w:rPr>
              <w:rFonts w:ascii="Times New Roman" w:eastAsiaTheme="minorEastAsia" w:hAnsi="Times New Roman" w:cs="Times New Roman"/>
              <w:noProof/>
              <w:sz w:val="24"/>
              <w:szCs w:val="24"/>
            </w:rPr>
          </w:pPr>
          <w:hyperlink w:anchor="_Toc505249652" w:history="1">
            <w:r w:rsidR="004F58B8" w:rsidRPr="00780927">
              <w:rPr>
                <w:rStyle w:val="Hyperlink"/>
                <w:rFonts w:ascii="Times New Roman" w:hAnsi="Times New Roman" w:cs="Times New Roman"/>
                <w:noProof/>
                <w:sz w:val="24"/>
                <w:szCs w:val="24"/>
              </w:rPr>
              <w:t>Section A.</w:t>
            </w:r>
            <w:r w:rsidR="004F58B8" w:rsidRPr="00780927">
              <w:rPr>
                <w:rStyle w:val="Hyperlink"/>
                <w:rFonts w:ascii="Times New Roman" w:eastAsia="Arial" w:hAnsi="Times New Roman" w:cs="Times New Roman"/>
                <w:noProof/>
                <w:sz w:val="24"/>
                <w:szCs w:val="24"/>
              </w:rPr>
              <w:t xml:space="preserve">  </w:t>
            </w:r>
            <w:r w:rsidR="004F58B8" w:rsidRPr="00780927">
              <w:rPr>
                <w:rStyle w:val="Hyperlink"/>
                <w:rFonts w:ascii="Times New Roman" w:hAnsi="Times New Roman" w:cs="Times New Roman"/>
                <w:noProof/>
                <w:sz w:val="24"/>
                <w:szCs w:val="24"/>
              </w:rPr>
              <w:t>Addressing RHC Program Funding Levels</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_Toc505249652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12</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3" w:history="1">
            <w:r w:rsidR="004F58B8" w:rsidRPr="00780927">
              <w:rPr>
                <w:rStyle w:val="Hyperlink"/>
                <w:rFonts w:ascii="Times New Roman" w:hAnsi="Times New Roman" w:cs="Times New Roman"/>
                <w:noProof/>
                <w:sz w:val="24"/>
                <w:szCs w:val="24"/>
              </w:rPr>
              <w:t>Paragraph 15:  The FCC should raise the $400 million cap for FY16-17 and FY17-18, to reflect recent expansions of the program, and to avoid penalizing providers whom Congress explicitly intended to support.</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_Toc505249653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12</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4" w:history="1">
            <w:r w:rsidR="004F58B8" w:rsidRPr="00780927">
              <w:rPr>
                <w:rStyle w:val="Hyperlink"/>
                <w:rFonts w:ascii="Times New Roman" w:hAnsi="Times New Roman" w:cs="Times New Roman"/>
                <w:noProof/>
                <w:sz w:val="24"/>
                <w:szCs w:val="24"/>
              </w:rPr>
              <w:t>Paragraph 15:  Whenever possible, the operational aspects of the RHCP should be aligned with the E-Rate program, including by using GDP-CPI to update the funding cap annually.</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_Toc505249654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13</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5" w:history="1">
            <w:r w:rsidR="004F58B8" w:rsidRPr="00780927">
              <w:rPr>
                <w:rStyle w:val="Hyperlink"/>
                <w:rFonts w:ascii="Times New Roman" w:hAnsi="Times New Roman" w:cs="Times New Roman"/>
                <w:noProof/>
                <w:sz w:val="24"/>
                <w:szCs w:val="24"/>
              </w:rPr>
              <w:t>Paragraph 16:  In future years, the funding cap should be to reflect inflation, eligibility expansions, and changes in costs resulting from advances in technology.</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_Toc505249655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13</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6" w:history="1">
            <w:r w:rsidR="004F58B8" w:rsidRPr="00780927">
              <w:rPr>
                <w:rStyle w:val="Hyperlink"/>
                <w:rFonts w:ascii="Times New Roman" w:hAnsi="Times New Roman" w:cs="Times New Roman"/>
                <w:noProof/>
                <w:sz w:val="24"/>
                <w:szCs w:val="24"/>
              </w:rPr>
              <w:t>Paragraph 17:  All unused RHCP funding from previous funding years should be made available in subsequent funding years until fully disbursed.</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_Toc505249656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13</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7" w:history="1">
            <w:r w:rsidR="004F58B8" w:rsidRPr="00780927">
              <w:rPr>
                <w:rStyle w:val="Hyperlink"/>
                <w:rFonts w:ascii="Times New Roman" w:hAnsi="Times New Roman" w:cs="Times New Roman"/>
                <w:noProof/>
                <w:sz w:val="24"/>
                <w:szCs w:val="24"/>
              </w:rPr>
              <w:t>Paragraphs 18:  The current proration approach is inappropriate as it implies that all providers and expenses are of equal merit, despite that fact that some providers are of questionable eligibility and seek a disproportionate share of total RHCP funding.</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_Toc505249657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14</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8" w:history="1">
            <w:r w:rsidR="004F58B8" w:rsidRPr="00780927">
              <w:rPr>
                <w:rStyle w:val="Hyperlink"/>
                <w:rFonts w:ascii="Times New Roman" w:hAnsi="Times New Roman" w:cs="Times New Roman"/>
                <w:noProof/>
                <w:sz w:val="24"/>
                <w:szCs w:val="24"/>
              </w:rPr>
              <w:t>Paragraphs 19:  The most appropriate prioritization approach is to fully fund requests from individual providers who are clearly eligible under a plain reading of the statute – namely, “public or non-profit” providers who actually “serve(s) persons who reside in rural areas”.</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_Toc505249658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14</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59" w:history="1">
            <w:r w:rsidR="004F58B8" w:rsidRPr="00780927">
              <w:rPr>
                <w:rStyle w:val="Hyperlink"/>
                <w:rFonts w:ascii="Times New Roman" w:eastAsia="Times New Roman" w:hAnsi="Times New Roman" w:cs="Times New Roman"/>
                <w:noProof/>
                <w:sz w:val="24"/>
                <w:szCs w:val="24"/>
              </w:rPr>
              <w:t xml:space="preserve">Paragraph 27:   </w:t>
            </w:r>
            <w:r w:rsidR="004F58B8" w:rsidRPr="00780927">
              <w:rPr>
                <w:rStyle w:val="Hyperlink"/>
                <w:rFonts w:ascii="Times New Roman" w:hAnsi="Times New Roman" w:cs="Times New Roman"/>
                <w:noProof/>
                <w:sz w:val="24"/>
                <w:szCs w:val="24"/>
              </w:rPr>
              <w:t>The definition of “rural” currently used in E-Rate should be applied to the RHCP.</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_Toc505249659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15</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60" w:history="1">
            <w:r w:rsidR="004F58B8" w:rsidRPr="00780927">
              <w:rPr>
                <w:rStyle w:val="Hyperlink"/>
                <w:rFonts w:ascii="Times New Roman" w:hAnsi="Times New Roman" w:cs="Times New Roman"/>
                <w:noProof/>
                <w:sz w:val="24"/>
                <w:szCs w:val="24"/>
              </w:rPr>
              <w:t>Paragraph 30:   Medicaid eligibility is not an appropriate measure of either economic need or the need for health services.</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_Toc505249660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16</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61" w:history="1">
            <w:r w:rsidR="004F58B8" w:rsidRPr="00780927">
              <w:rPr>
                <w:rStyle w:val="Hyperlink"/>
                <w:rFonts w:ascii="Times New Roman" w:hAnsi="Times New Roman" w:cs="Times New Roman"/>
                <w:noProof/>
                <w:sz w:val="24"/>
                <w:szCs w:val="24"/>
              </w:rPr>
              <w:t>Paragraph 31:  If a second-tier prioritization approach is needed, the FCC should use scores for rural Health Professional Shortage Areas (HPSA), as calculated by the Federal Department of Health and Human Services.</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_Toc505249661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16</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3"/>
            <w:spacing w:line="360" w:lineRule="auto"/>
            <w:rPr>
              <w:rFonts w:ascii="Times New Roman" w:eastAsiaTheme="minorEastAsia" w:hAnsi="Times New Roman" w:cs="Times New Roman"/>
              <w:noProof/>
              <w:sz w:val="24"/>
              <w:szCs w:val="24"/>
            </w:rPr>
          </w:pPr>
          <w:hyperlink w:anchor="_Toc505249662" w:history="1">
            <w:r w:rsidR="004F58B8" w:rsidRPr="00780927">
              <w:rPr>
                <w:rStyle w:val="Hyperlink"/>
                <w:rFonts w:ascii="Times New Roman" w:hAnsi="Times New Roman" w:cs="Times New Roman"/>
                <w:noProof/>
                <w:sz w:val="24"/>
                <w:szCs w:val="24"/>
              </w:rPr>
              <w:t>Paragraphs 33-36:  NACHC strongly supports efforts to ensure that the vast majority of RHCP funds are directed to provider organizations who actually treat patients who reside in rural areas.  This will require significantly tightening the rules on urban-rural consortia, including:</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_Toc505249662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18</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3"/>
            <w:tabs>
              <w:tab w:val="left" w:pos="660"/>
            </w:tabs>
            <w:spacing w:line="360" w:lineRule="auto"/>
            <w:rPr>
              <w:rFonts w:ascii="Times New Roman" w:eastAsiaTheme="minorEastAsia" w:hAnsi="Times New Roman" w:cs="Times New Roman"/>
              <w:noProof/>
              <w:sz w:val="24"/>
              <w:szCs w:val="24"/>
            </w:rPr>
          </w:pPr>
          <w:hyperlink w:anchor="_Toc505249663" w:history="1">
            <w:r w:rsidR="004F58B8" w:rsidRPr="00780927">
              <w:rPr>
                <w:rStyle w:val="Hyperlink"/>
                <w:rFonts w:ascii="Times New Roman" w:hAnsi="Times New Roman" w:cs="Times New Roman"/>
                <w:noProof/>
                <w:sz w:val="24"/>
                <w:szCs w:val="24"/>
              </w:rPr>
              <w:t></w:t>
            </w:r>
            <w:r w:rsidR="004F58B8" w:rsidRPr="00780927">
              <w:rPr>
                <w:rFonts w:ascii="Times New Roman" w:eastAsiaTheme="minorEastAsia" w:hAnsi="Times New Roman" w:cs="Times New Roman"/>
                <w:noProof/>
                <w:sz w:val="24"/>
                <w:szCs w:val="24"/>
              </w:rPr>
              <w:tab/>
            </w:r>
            <w:r w:rsidR="004F58B8" w:rsidRPr="00780927">
              <w:rPr>
                <w:rStyle w:val="Hyperlink"/>
                <w:rFonts w:ascii="Times New Roman" w:hAnsi="Times New Roman" w:cs="Times New Roman"/>
                <w:noProof/>
                <w:sz w:val="24"/>
                <w:szCs w:val="24"/>
              </w:rPr>
              <w:t>The “majority rural” threshold should be raised to a “minimum 75% rural” threshold.</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_Toc505249663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18</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3"/>
            <w:tabs>
              <w:tab w:val="left" w:pos="660"/>
            </w:tabs>
            <w:spacing w:line="360" w:lineRule="auto"/>
            <w:rPr>
              <w:rFonts w:ascii="Times New Roman" w:eastAsiaTheme="minorEastAsia" w:hAnsi="Times New Roman" w:cs="Times New Roman"/>
              <w:noProof/>
              <w:sz w:val="24"/>
              <w:szCs w:val="24"/>
            </w:rPr>
          </w:pPr>
          <w:hyperlink w:anchor="_Toc505249664" w:history="1">
            <w:r w:rsidR="004F58B8" w:rsidRPr="00780927">
              <w:rPr>
                <w:rStyle w:val="Hyperlink"/>
                <w:rFonts w:ascii="Times New Roman" w:hAnsi="Times New Roman" w:cs="Times New Roman"/>
                <w:noProof/>
                <w:sz w:val="24"/>
                <w:szCs w:val="24"/>
              </w:rPr>
              <w:t></w:t>
            </w:r>
            <w:r w:rsidR="004F58B8" w:rsidRPr="00780927">
              <w:rPr>
                <w:rFonts w:ascii="Times New Roman" w:eastAsiaTheme="minorEastAsia" w:hAnsi="Times New Roman" w:cs="Times New Roman"/>
                <w:noProof/>
                <w:sz w:val="24"/>
                <w:szCs w:val="24"/>
              </w:rPr>
              <w:tab/>
            </w:r>
            <w:r w:rsidR="004F58B8" w:rsidRPr="00780927">
              <w:rPr>
                <w:rStyle w:val="Hyperlink"/>
                <w:rFonts w:ascii="Times New Roman" w:hAnsi="Times New Roman" w:cs="Times New Roman"/>
                <w:noProof/>
                <w:sz w:val="24"/>
                <w:szCs w:val="24"/>
              </w:rPr>
              <w:t>There should be no grace period for coming into compliance with requirements around minimum rural percentage.</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_Toc505249664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18</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3"/>
            <w:tabs>
              <w:tab w:val="left" w:pos="660"/>
            </w:tabs>
            <w:spacing w:line="360" w:lineRule="auto"/>
            <w:rPr>
              <w:rFonts w:ascii="Times New Roman" w:eastAsiaTheme="minorEastAsia" w:hAnsi="Times New Roman" w:cs="Times New Roman"/>
              <w:noProof/>
              <w:sz w:val="24"/>
              <w:szCs w:val="24"/>
            </w:rPr>
          </w:pPr>
          <w:hyperlink w:anchor="_Toc505249665" w:history="1">
            <w:r w:rsidR="004F58B8" w:rsidRPr="00780927">
              <w:rPr>
                <w:rStyle w:val="Hyperlink"/>
                <w:rFonts w:ascii="Times New Roman" w:hAnsi="Times New Roman" w:cs="Times New Roman"/>
                <w:noProof/>
                <w:sz w:val="24"/>
                <w:szCs w:val="24"/>
              </w:rPr>
              <w:t></w:t>
            </w:r>
            <w:r w:rsidR="004F58B8" w:rsidRPr="00780927">
              <w:rPr>
                <w:rFonts w:ascii="Times New Roman" w:eastAsiaTheme="minorEastAsia" w:hAnsi="Times New Roman" w:cs="Times New Roman"/>
                <w:noProof/>
                <w:sz w:val="24"/>
                <w:szCs w:val="24"/>
              </w:rPr>
              <w:tab/>
            </w:r>
            <w:r w:rsidR="004F58B8" w:rsidRPr="00780927">
              <w:rPr>
                <w:rStyle w:val="Hyperlink"/>
                <w:rFonts w:ascii="Times New Roman" w:hAnsi="Times New Roman" w:cs="Times New Roman"/>
                <w:noProof/>
                <w:sz w:val="24"/>
                <w:szCs w:val="24"/>
              </w:rPr>
              <w:t>As required under a plain reading of the statute, all consortia members must actually provide clinical services to rural residents to be eligible for RHCP funding.</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_Toc505249665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18</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1"/>
            <w:tabs>
              <w:tab w:val="right" w:leader="dot" w:pos="9350"/>
            </w:tabs>
            <w:spacing w:line="360" w:lineRule="auto"/>
            <w:rPr>
              <w:rFonts w:ascii="Times New Roman" w:eastAsiaTheme="minorEastAsia" w:hAnsi="Times New Roman" w:cs="Times New Roman"/>
              <w:noProof/>
              <w:sz w:val="24"/>
              <w:szCs w:val="24"/>
            </w:rPr>
          </w:pPr>
          <w:hyperlink w:anchor="_Toc505249666" w:history="1">
            <w:r w:rsidR="004F58B8" w:rsidRPr="00780927">
              <w:rPr>
                <w:rStyle w:val="Hyperlink"/>
                <w:rFonts w:ascii="Times New Roman" w:eastAsia="Arial" w:hAnsi="Times New Roman" w:cs="Times New Roman"/>
                <w:noProof/>
                <w:sz w:val="24"/>
                <w:szCs w:val="24"/>
              </w:rPr>
              <w:t xml:space="preserve">Section B:  </w:t>
            </w:r>
            <w:r w:rsidR="004F58B8" w:rsidRPr="00780927">
              <w:rPr>
                <w:rStyle w:val="Hyperlink"/>
                <w:rFonts w:ascii="Times New Roman" w:hAnsi="Times New Roman" w:cs="Times New Roman"/>
                <w:noProof/>
                <w:sz w:val="24"/>
                <w:szCs w:val="24"/>
              </w:rPr>
              <w:t>Promoting Efficient Operation of the RHC Program to Prevent Waste, Fraud, and Abuse</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_Toc505249666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20</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2"/>
            <w:tabs>
              <w:tab w:val="right" w:leader="dot" w:pos="9350"/>
            </w:tabs>
            <w:spacing w:line="360" w:lineRule="auto"/>
            <w:rPr>
              <w:rFonts w:ascii="Times New Roman" w:eastAsiaTheme="minorEastAsia" w:hAnsi="Times New Roman" w:cs="Times New Roman"/>
              <w:noProof/>
              <w:sz w:val="24"/>
              <w:szCs w:val="24"/>
            </w:rPr>
          </w:pPr>
          <w:hyperlink w:anchor="_Toc505249667" w:history="1">
            <w:r w:rsidR="004F58B8" w:rsidRPr="00780927">
              <w:rPr>
                <w:rStyle w:val="Hyperlink"/>
                <w:rFonts w:ascii="Times New Roman" w:hAnsi="Times New Roman" w:cs="Times New Roman"/>
                <w:noProof/>
                <w:sz w:val="24"/>
                <w:szCs w:val="24"/>
              </w:rPr>
              <w:t>NACHC strongly supports efforts to increase the integrity of the RHCP.</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_Toc505249667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20</w:t>
            </w:r>
            <w:r w:rsidR="004F58B8" w:rsidRPr="00780927">
              <w:rPr>
                <w:rFonts w:ascii="Times New Roman" w:hAnsi="Times New Roman" w:cs="Times New Roman"/>
                <w:noProof/>
                <w:webHidden/>
                <w:sz w:val="24"/>
                <w:szCs w:val="24"/>
              </w:rPr>
              <w:fldChar w:fldCharType="end"/>
            </w:r>
          </w:hyperlink>
        </w:p>
        <w:p w:rsidR="004F58B8" w:rsidRPr="00780927" w:rsidRDefault="00647BC9" w:rsidP="00780927">
          <w:pPr>
            <w:pStyle w:val="TOC1"/>
            <w:tabs>
              <w:tab w:val="right" w:leader="dot" w:pos="9350"/>
            </w:tabs>
            <w:spacing w:line="360" w:lineRule="auto"/>
            <w:rPr>
              <w:rFonts w:ascii="Times New Roman" w:eastAsiaTheme="minorEastAsia" w:hAnsi="Times New Roman" w:cs="Times New Roman"/>
              <w:noProof/>
              <w:sz w:val="24"/>
              <w:szCs w:val="24"/>
            </w:rPr>
          </w:pPr>
          <w:hyperlink w:anchor="_Toc505249668" w:history="1">
            <w:r w:rsidR="004F58B8" w:rsidRPr="00780927">
              <w:rPr>
                <w:rStyle w:val="Hyperlink"/>
                <w:rFonts w:ascii="Times New Roman" w:eastAsia="Calibri" w:hAnsi="Times New Roman" w:cs="Times New Roman"/>
                <w:noProof/>
                <w:sz w:val="24"/>
                <w:szCs w:val="24"/>
              </w:rPr>
              <w:t xml:space="preserve">Section </w:t>
            </w:r>
            <w:r w:rsidR="004F58B8" w:rsidRPr="00780927">
              <w:rPr>
                <w:rStyle w:val="Hyperlink"/>
                <w:rFonts w:ascii="Times New Roman" w:hAnsi="Times New Roman" w:cs="Times New Roman"/>
                <w:noProof/>
                <w:sz w:val="24"/>
                <w:szCs w:val="24"/>
              </w:rPr>
              <w:t>C.</w:t>
            </w:r>
            <w:r w:rsidR="004F58B8" w:rsidRPr="00780927">
              <w:rPr>
                <w:rStyle w:val="Hyperlink"/>
                <w:rFonts w:ascii="Times New Roman" w:eastAsia="Arial" w:hAnsi="Times New Roman" w:cs="Times New Roman"/>
                <w:noProof/>
                <w:sz w:val="24"/>
                <w:szCs w:val="24"/>
              </w:rPr>
              <w:t xml:space="preserve">  </w:t>
            </w:r>
            <w:r w:rsidR="004F58B8" w:rsidRPr="00780927">
              <w:rPr>
                <w:rStyle w:val="Hyperlink"/>
                <w:rFonts w:ascii="Times New Roman" w:hAnsi="Times New Roman" w:cs="Times New Roman"/>
                <w:noProof/>
                <w:sz w:val="24"/>
                <w:szCs w:val="24"/>
              </w:rPr>
              <w:t>Improving Oversight of the RHC Program</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_Toc505249668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20</w:t>
            </w:r>
            <w:r w:rsidR="004F58B8" w:rsidRPr="00780927">
              <w:rPr>
                <w:rFonts w:ascii="Times New Roman" w:hAnsi="Times New Roman" w:cs="Times New Roman"/>
                <w:noProof/>
                <w:webHidden/>
                <w:sz w:val="24"/>
                <w:szCs w:val="24"/>
              </w:rPr>
              <w:fldChar w:fldCharType="end"/>
            </w:r>
          </w:hyperlink>
        </w:p>
        <w:p w:rsidR="004F58B8" w:rsidRDefault="00647BC9" w:rsidP="00780927">
          <w:pPr>
            <w:pStyle w:val="TOC2"/>
            <w:tabs>
              <w:tab w:val="right" w:leader="dot" w:pos="9350"/>
            </w:tabs>
            <w:spacing w:line="360" w:lineRule="auto"/>
            <w:rPr>
              <w:rFonts w:eastAsiaTheme="minorEastAsia"/>
              <w:noProof/>
            </w:rPr>
          </w:pPr>
          <w:hyperlink w:anchor="_Toc505249669" w:history="1">
            <w:r w:rsidR="004F58B8" w:rsidRPr="00780927">
              <w:rPr>
                <w:rStyle w:val="Hyperlink"/>
                <w:rFonts w:ascii="Times New Roman" w:hAnsi="Times New Roman" w:cs="Times New Roman"/>
                <w:noProof/>
                <w:sz w:val="24"/>
                <w:szCs w:val="24"/>
              </w:rPr>
              <w:t>Paragraphs 92-94:  NACHC strongly supports efforts to simplify the application and funding process so that it no longer disadvantages and discourages small providers from participating.</w:t>
            </w:r>
            <w:r w:rsidR="004F58B8" w:rsidRPr="00780927">
              <w:rPr>
                <w:rFonts w:ascii="Times New Roman" w:hAnsi="Times New Roman" w:cs="Times New Roman"/>
                <w:noProof/>
                <w:webHidden/>
                <w:sz w:val="24"/>
                <w:szCs w:val="24"/>
              </w:rPr>
              <w:tab/>
            </w:r>
            <w:r w:rsidR="004F58B8" w:rsidRPr="00780927">
              <w:rPr>
                <w:rFonts w:ascii="Times New Roman" w:hAnsi="Times New Roman" w:cs="Times New Roman"/>
                <w:noProof/>
                <w:webHidden/>
                <w:sz w:val="24"/>
                <w:szCs w:val="24"/>
              </w:rPr>
              <w:fldChar w:fldCharType="begin"/>
            </w:r>
            <w:r w:rsidR="004F58B8" w:rsidRPr="00780927">
              <w:rPr>
                <w:rFonts w:ascii="Times New Roman" w:hAnsi="Times New Roman" w:cs="Times New Roman"/>
                <w:noProof/>
                <w:webHidden/>
                <w:sz w:val="24"/>
                <w:szCs w:val="24"/>
              </w:rPr>
              <w:instrText xml:space="preserve"> PAGEREF _Toc505249669 \h </w:instrText>
            </w:r>
            <w:r w:rsidR="004F58B8" w:rsidRPr="00780927">
              <w:rPr>
                <w:rFonts w:ascii="Times New Roman" w:hAnsi="Times New Roman" w:cs="Times New Roman"/>
                <w:noProof/>
                <w:webHidden/>
                <w:sz w:val="24"/>
                <w:szCs w:val="24"/>
              </w:rPr>
            </w:r>
            <w:r w:rsidR="004F58B8" w:rsidRPr="00780927">
              <w:rPr>
                <w:rFonts w:ascii="Times New Roman" w:hAnsi="Times New Roman" w:cs="Times New Roman"/>
                <w:noProof/>
                <w:webHidden/>
                <w:sz w:val="24"/>
                <w:szCs w:val="24"/>
              </w:rPr>
              <w:fldChar w:fldCharType="separate"/>
            </w:r>
            <w:r w:rsidR="004F58B8" w:rsidRPr="00780927">
              <w:rPr>
                <w:rFonts w:ascii="Times New Roman" w:hAnsi="Times New Roman" w:cs="Times New Roman"/>
                <w:noProof/>
                <w:webHidden/>
                <w:sz w:val="24"/>
                <w:szCs w:val="24"/>
              </w:rPr>
              <w:t>20</w:t>
            </w:r>
            <w:r w:rsidR="004F58B8" w:rsidRPr="00780927">
              <w:rPr>
                <w:rFonts w:ascii="Times New Roman" w:hAnsi="Times New Roman" w:cs="Times New Roman"/>
                <w:noProof/>
                <w:webHidden/>
                <w:sz w:val="24"/>
                <w:szCs w:val="24"/>
              </w:rPr>
              <w:fldChar w:fldCharType="end"/>
            </w:r>
          </w:hyperlink>
        </w:p>
        <w:p w:rsidR="00815B9A" w:rsidRDefault="00815B9A">
          <w:r>
            <w:rPr>
              <w:b/>
              <w:bCs/>
              <w:noProof/>
            </w:rPr>
            <w:fldChar w:fldCharType="end"/>
          </w:r>
        </w:p>
      </w:sdtContent>
    </w:sdt>
    <w:p w:rsidR="00815B9A" w:rsidRDefault="00815B9A">
      <w:pPr>
        <w:rPr>
          <w:rFonts w:ascii="Times New Roman" w:hAnsi="Times New Roman" w:cs="Times New Roman"/>
        </w:rPr>
      </w:pPr>
    </w:p>
    <w:p w:rsidR="00815B9A" w:rsidRDefault="00815B9A">
      <w:pPr>
        <w:rPr>
          <w:rFonts w:ascii="Times New Roman" w:hAnsi="Times New Roman" w:cs="Times New Roman"/>
        </w:rPr>
      </w:pPr>
      <w:r>
        <w:rPr>
          <w:rFonts w:ascii="Times New Roman" w:hAnsi="Times New Roman" w:cs="Times New Roman"/>
        </w:rPr>
        <w:br w:type="page"/>
      </w:r>
    </w:p>
    <w:p w:rsidR="00874ABF" w:rsidRPr="00874ABF" w:rsidRDefault="00874ABF" w:rsidP="00874ABF">
      <w:pPr>
        <w:pStyle w:val="Header"/>
        <w:jc w:val="center"/>
        <w:rPr>
          <w:rFonts w:ascii="Times New Roman" w:hAnsi="Times New Roman" w:cs="Times New Roman"/>
        </w:rPr>
      </w:pPr>
      <w:r w:rsidRPr="00874ABF">
        <w:rPr>
          <w:rFonts w:ascii="Times New Roman" w:hAnsi="Times New Roman" w:cs="Times New Roman"/>
        </w:rPr>
        <w:lastRenderedPageBreak/>
        <w:t>Before the</w:t>
      </w:r>
    </w:p>
    <w:p w:rsidR="00874ABF" w:rsidRPr="00874ABF" w:rsidRDefault="00874ABF" w:rsidP="00874ABF">
      <w:pPr>
        <w:pStyle w:val="Header"/>
        <w:jc w:val="center"/>
        <w:rPr>
          <w:rFonts w:ascii="Times New Roman" w:hAnsi="Times New Roman" w:cs="Times New Roman"/>
          <w:smallCaps/>
        </w:rPr>
      </w:pPr>
      <w:r w:rsidRPr="00874ABF">
        <w:rPr>
          <w:rFonts w:ascii="Times New Roman" w:hAnsi="Times New Roman" w:cs="Times New Roman"/>
          <w:smallCaps/>
        </w:rPr>
        <w:t>Federal Communications Commission</w:t>
      </w:r>
    </w:p>
    <w:p w:rsidR="00874ABF" w:rsidRPr="00874ABF" w:rsidRDefault="00874ABF" w:rsidP="00874ABF">
      <w:pPr>
        <w:pStyle w:val="Header"/>
        <w:jc w:val="center"/>
        <w:rPr>
          <w:rFonts w:ascii="Times New Roman" w:hAnsi="Times New Roman" w:cs="Times New Roman"/>
        </w:rPr>
      </w:pPr>
      <w:r w:rsidRPr="00874ABF">
        <w:rPr>
          <w:rFonts w:ascii="Times New Roman" w:hAnsi="Times New Roman" w:cs="Times New Roman"/>
        </w:rPr>
        <w:t>Washington, D.C. 20554</w:t>
      </w:r>
    </w:p>
    <w:p w:rsidR="00874ABF" w:rsidRPr="00874ABF" w:rsidRDefault="00874ABF" w:rsidP="00874ABF">
      <w:pPr>
        <w:pStyle w:val="Header"/>
        <w:jc w:val="center"/>
        <w:rPr>
          <w:rFonts w:ascii="Times New Roman" w:hAnsi="Times New Roman" w:cs="Times New Roman"/>
        </w:rPr>
      </w:pPr>
    </w:p>
    <w:p w:rsidR="00874ABF" w:rsidRPr="00874ABF" w:rsidRDefault="00874ABF" w:rsidP="00874ABF">
      <w:pPr>
        <w:pStyle w:val="Header"/>
        <w:jc w:val="center"/>
        <w:rPr>
          <w:rFonts w:ascii="Times New Roman" w:hAnsi="Times New Roman" w:cs="Times New Roman"/>
        </w:rPr>
      </w:pPr>
    </w:p>
    <w:tbl>
      <w:tblPr>
        <w:tblW w:w="9885" w:type="dxa"/>
        <w:tblInd w:w="-90" w:type="dxa"/>
        <w:tblLayout w:type="fixed"/>
        <w:tblLook w:val="0000" w:firstRow="0" w:lastRow="0" w:firstColumn="0" w:lastColumn="0" w:noHBand="0" w:noVBand="0"/>
      </w:tblPr>
      <w:tblGrid>
        <w:gridCol w:w="4855"/>
        <w:gridCol w:w="635"/>
        <w:gridCol w:w="4395"/>
      </w:tblGrid>
      <w:tr w:rsidR="00874ABF" w:rsidRPr="00874ABF" w:rsidTr="00C36E36">
        <w:trPr>
          <w:trHeight w:val="1214"/>
        </w:trPr>
        <w:tc>
          <w:tcPr>
            <w:tcW w:w="4855" w:type="dxa"/>
          </w:tcPr>
          <w:p w:rsidR="00874ABF" w:rsidRPr="00874ABF" w:rsidRDefault="00874ABF" w:rsidP="00C36E36">
            <w:pPr>
              <w:tabs>
                <w:tab w:val="left" w:pos="1080"/>
                <w:tab w:val="left" w:pos="1440"/>
              </w:tabs>
              <w:ind w:right="-18"/>
              <w:rPr>
                <w:rFonts w:ascii="Times New Roman" w:hAnsi="Times New Roman" w:cs="Times New Roman"/>
              </w:rPr>
            </w:pPr>
            <w:r w:rsidRPr="00874ABF">
              <w:rPr>
                <w:rFonts w:ascii="Times New Roman" w:hAnsi="Times New Roman" w:cs="Times New Roman"/>
              </w:rPr>
              <w:t>In the Matter of</w:t>
            </w:r>
          </w:p>
          <w:p w:rsidR="00874ABF" w:rsidRPr="00874ABF" w:rsidRDefault="00874ABF" w:rsidP="00C36E36">
            <w:pPr>
              <w:tabs>
                <w:tab w:val="left" w:pos="1080"/>
                <w:tab w:val="left" w:pos="1440"/>
              </w:tabs>
              <w:ind w:right="-18"/>
              <w:rPr>
                <w:rFonts w:ascii="Times New Roman" w:hAnsi="Times New Roman" w:cs="Times New Roman"/>
              </w:rPr>
            </w:pPr>
          </w:p>
          <w:p w:rsidR="00874ABF" w:rsidRPr="00874ABF" w:rsidRDefault="00874ABF" w:rsidP="00C36E36">
            <w:pPr>
              <w:tabs>
                <w:tab w:val="left" w:pos="1080"/>
                <w:tab w:val="left" w:pos="1440"/>
              </w:tabs>
              <w:ind w:right="-18"/>
              <w:rPr>
                <w:rFonts w:ascii="Times New Roman" w:hAnsi="Times New Roman" w:cs="Times New Roman"/>
              </w:rPr>
            </w:pPr>
            <w:r w:rsidRPr="00874ABF">
              <w:rPr>
                <w:rFonts w:ascii="Times New Roman" w:hAnsi="Times New Roman" w:cs="Times New Roman"/>
              </w:rPr>
              <w:t>Promoting Telehealth in Rural America</w:t>
            </w:r>
          </w:p>
        </w:tc>
        <w:tc>
          <w:tcPr>
            <w:tcW w:w="635" w:type="dxa"/>
            <w:tcBorders>
              <w:left w:val="nil"/>
            </w:tcBorders>
          </w:tcPr>
          <w:p w:rsidR="00874ABF" w:rsidRPr="00874ABF" w:rsidRDefault="00874ABF" w:rsidP="00C36E36">
            <w:pPr>
              <w:tabs>
                <w:tab w:val="center" w:pos="4680"/>
              </w:tabs>
              <w:suppressAutoHyphens/>
              <w:ind w:left="134" w:right="-18"/>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C36E36">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C36E36">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p w:rsidR="00874ABF" w:rsidRPr="00874ABF" w:rsidRDefault="00874ABF" w:rsidP="00C36E36">
            <w:pPr>
              <w:tabs>
                <w:tab w:val="left" w:pos="1080"/>
                <w:tab w:val="left" w:pos="1440"/>
                <w:tab w:val="center" w:pos="4680"/>
              </w:tabs>
              <w:suppressAutoHyphens/>
              <w:ind w:left="134"/>
              <w:rPr>
                <w:rFonts w:ascii="Times New Roman" w:hAnsi="Times New Roman" w:cs="Times New Roman"/>
                <w:b/>
                <w:spacing w:val="-2"/>
              </w:rPr>
            </w:pPr>
            <w:r w:rsidRPr="00874ABF">
              <w:rPr>
                <w:rFonts w:ascii="Times New Roman" w:hAnsi="Times New Roman" w:cs="Times New Roman"/>
                <w:b/>
                <w:spacing w:val="-2"/>
              </w:rPr>
              <w:t>)</w:t>
            </w:r>
          </w:p>
        </w:tc>
        <w:tc>
          <w:tcPr>
            <w:tcW w:w="4395" w:type="dxa"/>
          </w:tcPr>
          <w:p w:rsidR="00874ABF" w:rsidRPr="00874ABF" w:rsidRDefault="00874ABF" w:rsidP="00C36E36">
            <w:pPr>
              <w:tabs>
                <w:tab w:val="left" w:pos="1080"/>
                <w:tab w:val="left" w:pos="1440"/>
              </w:tabs>
              <w:ind w:hanging="108"/>
              <w:rPr>
                <w:rFonts w:ascii="Times New Roman" w:hAnsi="Times New Roman" w:cs="Times New Roman"/>
              </w:rPr>
            </w:pPr>
          </w:p>
          <w:p w:rsidR="00874ABF" w:rsidRPr="00874ABF" w:rsidRDefault="00874ABF" w:rsidP="00C36E36">
            <w:pPr>
              <w:tabs>
                <w:tab w:val="left" w:pos="1080"/>
                <w:tab w:val="left" w:pos="1440"/>
              </w:tabs>
              <w:ind w:hanging="108"/>
              <w:rPr>
                <w:rFonts w:ascii="Times New Roman" w:hAnsi="Times New Roman" w:cs="Times New Roman"/>
              </w:rPr>
            </w:pPr>
          </w:p>
          <w:p w:rsidR="00874ABF" w:rsidRPr="00874ABF" w:rsidRDefault="00874ABF" w:rsidP="00C36E36">
            <w:pPr>
              <w:tabs>
                <w:tab w:val="left" w:pos="1080"/>
                <w:tab w:val="left" w:pos="1440"/>
              </w:tabs>
              <w:ind w:hanging="108"/>
              <w:rPr>
                <w:rFonts w:ascii="Times New Roman" w:hAnsi="Times New Roman" w:cs="Times New Roman"/>
              </w:rPr>
            </w:pPr>
            <w:r w:rsidRPr="00874ABF">
              <w:rPr>
                <w:rFonts w:ascii="Times New Roman" w:hAnsi="Times New Roman" w:cs="Times New Roman"/>
              </w:rPr>
              <w:t xml:space="preserve">  WC Docket No. 17-310</w:t>
            </w:r>
          </w:p>
        </w:tc>
      </w:tr>
    </w:tbl>
    <w:p w:rsidR="00874ABF" w:rsidRPr="00874ABF" w:rsidRDefault="00874ABF" w:rsidP="00874ABF">
      <w:pPr>
        <w:pStyle w:val="Header"/>
        <w:jc w:val="center"/>
        <w:rPr>
          <w:rFonts w:ascii="Times New Roman" w:hAnsi="Times New Roman" w:cs="Times New Roman"/>
        </w:rPr>
      </w:pPr>
    </w:p>
    <w:p w:rsidR="00874ABF" w:rsidRPr="00874ABF" w:rsidRDefault="00874ABF" w:rsidP="00874ABF">
      <w:pPr>
        <w:pStyle w:val="Header"/>
        <w:jc w:val="center"/>
        <w:rPr>
          <w:rFonts w:ascii="Times New Roman" w:hAnsi="Times New Roman" w:cs="Times New Roman"/>
        </w:rPr>
      </w:pPr>
    </w:p>
    <w:p w:rsidR="005D2BF3" w:rsidRPr="00874ABF" w:rsidRDefault="00874ABF" w:rsidP="00874ABF">
      <w:pPr>
        <w:pStyle w:val="NormalWeb"/>
        <w:spacing w:before="0" w:beforeAutospacing="0" w:after="0" w:afterAutospacing="0"/>
        <w:jc w:val="center"/>
        <w:rPr>
          <w:color w:val="000000"/>
        </w:rPr>
      </w:pPr>
      <w:r w:rsidRPr="00874ABF">
        <w:rPr>
          <w:b/>
          <w:smallCaps/>
          <w:u w:val="single"/>
        </w:rPr>
        <w:t>Comments of the National Association of Community Health Centers</w:t>
      </w:r>
    </w:p>
    <w:p w:rsidR="005D2BF3" w:rsidRPr="00874ABF" w:rsidRDefault="005D2BF3" w:rsidP="005D2BF3">
      <w:pPr>
        <w:pStyle w:val="NormalWeb"/>
        <w:spacing w:before="0" w:beforeAutospacing="0" w:after="0" w:afterAutospacing="0"/>
        <w:rPr>
          <w:color w:val="000000"/>
        </w:rPr>
      </w:pPr>
    </w:p>
    <w:p w:rsidR="005D2BF3" w:rsidRPr="00874ABF" w:rsidRDefault="005D2BF3" w:rsidP="005D2BF3">
      <w:pPr>
        <w:pStyle w:val="NormalWeb"/>
        <w:spacing w:before="0" w:beforeAutospacing="0" w:after="0" w:afterAutospacing="0"/>
        <w:rPr>
          <w:color w:val="000000"/>
        </w:rPr>
      </w:pPr>
    </w:p>
    <w:p w:rsidR="00874ABF" w:rsidRPr="00874ABF" w:rsidRDefault="00874ABF" w:rsidP="00874ABF">
      <w:pPr>
        <w:spacing w:line="480" w:lineRule="auto"/>
        <w:ind w:firstLine="720"/>
        <w:rPr>
          <w:rFonts w:ascii="Times New Roman" w:hAnsi="Times New Roman" w:cs="Times New Roman"/>
          <w:b/>
        </w:rPr>
      </w:pPr>
      <w:r w:rsidRPr="00874ABF">
        <w:rPr>
          <w:rFonts w:ascii="Times New Roman" w:hAnsi="Times New Roman" w:cs="Times New Roman"/>
          <w:sz w:val="24"/>
          <w:szCs w:val="24"/>
        </w:rPr>
        <w:t>T</w:t>
      </w:r>
      <w:r w:rsidR="005D2BF3" w:rsidRPr="00874ABF">
        <w:rPr>
          <w:rFonts w:ascii="Times New Roman" w:hAnsi="Times New Roman" w:cs="Times New Roman"/>
          <w:sz w:val="24"/>
          <w:szCs w:val="24"/>
        </w:rPr>
        <w:t>he National Association of Community Health Centers (NACHC)</w:t>
      </w:r>
      <w:r w:rsidRPr="00874ABF">
        <w:rPr>
          <w:rFonts w:ascii="Times New Roman" w:hAnsi="Times New Roman" w:cs="Times New Roman"/>
        </w:rPr>
        <w:t xml:space="preserve"> hereby comments on the Commission’s proposals for reform of the Rural Health Care universal service Program (“RHCP”).</w:t>
      </w:r>
      <w:r w:rsidRPr="00874ABF">
        <w:rPr>
          <w:rStyle w:val="FootnoteReference"/>
          <w:rFonts w:ascii="Times New Roman" w:hAnsi="Times New Roman" w:cs="Times New Roman"/>
        </w:rPr>
        <w:footnoteReference w:id="1"/>
      </w:r>
    </w:p>
    <w:p w:rsidR="005D19B8" w:rsidRPr="00874ABF" w:rsidRDefault="005D2BF3" w:rsidP="00874ABF">
      <w:pPr>
        <w:spacing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NACHC is the national membership organization for America’s </w:t>
      </w:r>
      <w:r w:rsidR="005D19B8" w:rsidRPr="00874ABF">
        <w:rPr>
          <w:rFonts w:ascii="Times New Roman" w:hAnsi="Times New Roman" w:cs="Times New Roman"/>
          <w:sz w:val="24"/>
          <w:szCs w:val="24"/>
        </w:rPr>
        <w:t xml:space="preserve">Community Health Centers (also called </w:t>
      </w:r>
      <w:r w:rsidR="00504C99" w:rsidRPr="00874ABF">
        <w:rPr>
          <w:rFonts w:ascii="Times New Roman" w:hAnsi="Times New Roman" w:cs="Times New Roman"/>
          <w:sz w:val="24"/>
          <w:szCs w:val="24"/>
        </w:rPr>
        <w:t xml:space="preserve">CHCs or </w:t>
      </w:r>
      <w:r w:rsidR="005D19B8" w:rsidRPr="00874ABF">
        <w:rPr>
          <w:rFonts w:ascii="Times New Roman" w:hAnsi="Times New Roman" w:cs="Times New Roman"/>
          <w:sz w:val="24"/>
          <w:szCs w:val="24"/>
        </w:rPr>
        <w:t>Federally Qualified H</w:t>
      </w:r>
      <w:r w:rsidRPr="00874ABF">
        <w:rPr>
          <w:rFonts w:ascii="Times New Roman" w:hAnsi="Times New Roman" w:cs="Times New Roman"/>
          <w:sz w:val="24"/>
          <w:szCs w:val="24"/>
        </w:rPr>
        <w:t xml:space="preserve">ealth </w:t>
      </w:r>
      <w:r w:rsidR="005D19B8" w:rsidRPr="00874ABF">
        <w:rPr>
          <w:rFonts w:ascii="Times New Roman" w:hAnsi="Times New Roman" w:cs="Times New Roman"/>
          <w:sz w:val="24"/>
          <w:szCs w:val="24"/>
        </w:rPr>
        <w:t>C</w:t>
      </w:r>
      <w:r w:rsidRPr="00874ABF">
        <w:rPr>
          <w:rFonts w:ascii="Times New Roman" w:hAnsi="Times New Roman" w:cs="Times New Roman"/>
          <w:sz w:val="24"/>
          <w:szCs w:val="24"/>
        </w:rPr>
        <w:t>enters</w:t>
      </w:r>
      <w:r w:rsidR="00504C99" w:rsidRPr="00874ABF">
        <w:rPr>
          <w:rFonts w:ascii="Times New Roman" w:hAnsi="Times New Roman" w:cs="Times New Roman"/>
          <w:sz w:val="24"/>
          <w:szCs w:val="24"/>
        </w:rPr>
        <w:t>.)</w:t>
      </w:r>
      <w:r w:rsidRPr="00874ABF">
        <w:rPr>
          <w:rFonts w:ascii="Times New Roman" w:hAnsi="Times New Roman" w:cs="Times New Roman"/>
          <w:sz w:val="24"/>
          <w:szCs w:val="24"/>
        </w:rPr>
        <w:t xml:space="preserve">  </w:t>
      </w:r>
      <w:r w:rsidR="005D19B8" w:rsidRPr="00874ABF">
        <w:rPr>
          <w:rFonts w:ascii="Times New Roman" w:hAnsi="Times New Roman" w:cs="Times New Roman"/>
          <w:sz w:val="24"/>
          <w:szCs w:val="24"/>
        </w:rPr>
        <w:t>As discussed below,</w:t>
      </w:r>
      <w:r w:rsidR="00504C99" w:rsidRPr="00874ABF">
        <w:rPr>
          <w:rFonts w:ascii="Times New Roman" w:hAnsi="Times New Roman" w:cs="Times New Roman"/>
          <w:sz w:val="24"/>
          <w:szCs w:val="24"/>
        </w:rPr>
        <w:t xml:space="preserve"> CHCs are a critical part of the</w:t>
      </w:r>
      <w:r w:rsidR="00DB022E" w:rsidRPr="00874ABF">
        <w:rPr>
          <w:rFonts w:ascii="Times New Roman" w:hAnsi="Times New Roman" w:cs="Times New Roman"/>
          <w:sz w:val="24"/>
          <w:szCs w:val="24"/>
        </w:rPr>
        <w:t xml:space="preserve"> rural</w:t>
      </w:r>
      <w:r w:rsidR="00504C99" w:rsidRPr="00874ABF">
        <w:rPr>
          <w:rFonts w:ascii="Times New Roman" w:hAnsi="Times New Roman" w:cs="Times New Roman"/>
          <w:sz w:val="24"/>
          <w:szCs w:val="24"/>
        </w:rPr>
        <w:t xml:space="preserve"> “health care safety net”, assuring access to affordable primary care for over 10 million </w:t>
      </w:r>
      <w:r w:rsidR="00647BC9" w:rsidRPr="00874ABF">
        <w:rPr>
          <w:rFonts w:ascii="Times New Roman" w:hAnsi="Times New Roman" w:cs="Times New Roman"/>
          <w:sz w:val="24"/>
          <w:szCs w:val="24"/>
        </w:rPr>
        <w:t>medically underserved</w:t>
      </w:r>
      <w:r w:rsidR="00504C99" w:rsidRPr="00874ABF">
        <w:rPr>
          <w:rFonts w:ascii="Times New Roman" w:hAnsi="Times New Roman" w:cs="Times New Roman"/>
          <w:sz w:val="24"/>
          <w:szCs w:val="24"/>
        </w:rPr>
        <w:t xml:space="preserve"> rural patients, most of whom are low-income.  </w:t>
      </w:r>
      <w:r w:rsidR="005D19B8" w:rsidRPr="00874ABF">
        <w:rPr>
          <w:rFonts w:ascii="Times New Roman" w:hAnsi="Times New Roman" w:cs="Times New Roman"/>
          <w:sz w:val="24"/>
          <w:szCs w:val="24"/>
        </w:rPr>
        <w:t xml:space="preserve"> </w:t>
      </w:r>
      <w:r w:rsidR="00116D46" w:rsidRPr="00874ABF">
        <w:rPr>
          <w:rFonts w:ascii="Times New Roman" w:hAnsi="Times New Roman" w:cs="Times New Roman"/>
          <w:sz w:val="24"/>
          <w:szCs w:val="24"/>
        </w:rPr>
        <w:t xml:space="preserve">In the </w:t>
      </w:r>
      <w:r w:rsidR="00F627A3" w:rsidRPr="00874ABF">
        <w:rPr>
          <w:rFonts w:ascii="Times New Roman" w:hAnsi="Times New Roman" w:cs="Times New Roman"/>
          <w:sz w:val="24"/>
          <w:szCs w:val="24"/>
        </w:rPr>
        <w:t xml:space="preserve">1996 </w:t>
      </w:r>
      <w:r w:rsidR="005D19B8" w:rsidRPr="00874ABF">
        <w:rPr>
          <w:rFonts w:ascii="Times New Roman" w:hAnsi="Times New Roman" w:cs="Times New Roman"/>
          <w:sz w:val="24"/>
          <w:szCs w:val="24"/>
        </w:rPr>
        <w:t>Telecommunications Act</w:t>
      </w:r>
      <w:r w:rsidR="00116D46" w:rsidRPr="00874ABF">
        <w:rPr>
          <w:rFonts w:ascii="Times New Roman" w:hAnsi="Times New Roman" w:cs="Times New Roman"/>
          <w:sz w:val="24"/>
          <w:szCs w:val="24"/>
        </w:rPr>
        <w:t xml:space="preserve">, Congress explicitly named rural CHCs as one of the </w:t>
      </w:r>
      <w:r w:rsidR="00DB022E" w:rsidRPr="00874ABF">
        <w:rPr>
          <w:rFonts w:ascii="Times New Roman" w:hAnsi="Times New Roman" w:cs="Times New Roman"/>
          <w:sz w:val="24"/>
          <w:szCs w:val="24"/>
        </w:rPr>
        <w:t xml:space="preserve">seven </w:t>
      </w:r>
      <w:r w:rsidR="00116D46" w:rsidRPr="00874ABF">
        <w:rPr>
          <w:rFonts w:ascii="Times New Roman" w:hAnsi="Times New Roman" w:cs="Times New Roman"/>
          <w:sz w:val="24"/>
          <w:szCs w:val="24"/>
        </w:rPr>
        <w:t xml:space="preserve">types of health care providers whom </w:t>
      </w:r>
      <w:r w:rsidR="00F627A3" w:rsidRPr="00874ABF">
        <w:rPr>
          <w:rFonts w:ascii="Times New Roman" w:hAnsi="Times New Roman" w:cs="Times New Roman"/>
          <w:sz w:val="24"/>
          <w:szCs w:val="24"/>
        </w:rPr>
        <w:t>the USAC program</w:t>
      </w:r>
      <w:r w:rsidR="00116D46" w:rsidRPr="00874ABF">
        <w:rPr>
          <w:rFonts w:ascii="Times New Roman" w:hAnsi="Times New Roman" w:cs="Times New Roman"/>
          <w:sz w:val="24"/>
          <w:szCs w:val="24"/>
        </w:rPr>
        <w:t xml:space="preserve"> was designed to support</w:t>
      </w:r>
      <w:r w:rsidR="005D19B8" w:rsidRPr="00874ABF">
        <w:rPr>
          <w:rStyle w:val="FootnoteReference"/>
          <w:rFonts w:ascii="Times New Roman" w:hAnsi="Times New Roman" w:cs="Times New Roman"/>
          <w:sz w:val="24"/>
          <w:szCs w:val="24"/>
        </w:rPr>
        <w:footnoteReference w:id="2"/>
      </w:r>
      <w:r w:rsidR="005D19B8" w:rsidRPr="00874ABF">
        <w:rPr>
          <w:rFonts w:ascii="Times New Roman" w:hAnsi="Times New Roman" w:cs="Times New Roman"/>
          <w:sz w:val="24"/>
          <w:szCs w:val="24"/>
        </w:rPr>
        <w:t xml:space="preserve">.  </w:t>
      </w:r>
      <w:r w:rsidRPr="00874ABF">
        <w:rPr>
          <w:rFonts w:ascii="Times New Roman" w:hAnsi="Times New Roman" w:cs="Times New Roman"/>
          <w:sz w:val="24"/>
          <w:szCs w:val="24"/>
        </w:rPr>
        <w:t xml:space="preserve"> </w:t>
      </w:r>
    </w:p>
    <w:p w:rsidR="00F627A3" w:rsidRPr="00874ABF" w:rsidRDefault="005D19B8" w:rsidP="00874ABF">
      <w:pPr>
        <w:pStyle w:val="NoSpacing"/>
        <w:spacing w:line="480" w:lineRule="auto"/>
        <w:ind w:firstLine="710"/>
        <w:rPr>
          <w:rFonts w:ascii="Times New Roman" w:hAnsi="Times New Roman" w:cs="Times New Roman"/>
          <w:sz w:val="24"/>
          <w:szCs w:val="24"/>
        </w:rPr>
      </w:pPr>
      <w:r w:rsidRPr="00874ABF">
        <w:rPr>
          <w:rFonts w:ascii="Times New Roman" w:hAnsi="Times New Roman" w:cs="Times New Roman"/>
          <w:sz w:val="24"/>
          <w:szCs w:val="24"/>
        </w:rPr>
        <w:t xml:space="preserve">In recent years, </w:t>
      </w:r>
      <w:r w:rsidR="00116D46" w:rsidRPr="00874ABF">
        <w:rPr>
          <w:rFonts w:ascii="Times New Roman" w:hAnsi="Times New Roman" w:cs="Times New Roman"/>
          <w:sz w:val="24"/>
          <w:szCs w:val="24"/>
        </w:rPr>
        <w:t xml:space="preserve">CHCs </w:t>
      </w:r>
      <w:r w:rsidRPr="00874ABF">
        <w:rPr>
          <w:rFonts w:ascii="Times New Roman" w:hAnsi="Times New Roman" w:cs="Times New Roman"/>
          <w:sz w:val="24"/>
          <w:szCs w:val="24"/>
        </w:rPr>
        <w:t>have become</w:t>
      </w:r>
      <w:r w:rsidR="00F627A3" w:rsidRPr="00874ABF">
        <w:rPr>
          <w:rFonts w:ascii="Times New Roman" w:hAnsi="Times New Roman" w:cs="Times New Roman"/>
          <w:sz w:val="24"/>
          <w:szCs w:val="24"/>
        </w:rPr>
        <w:t xml:space="preserve"> increasingly concerned that the RHC</w:t>
      </w:r>
      <w:r w:rsidR="00504C99" w:rsidRPr="00874ABF">
        <w:rPr>
          <w:rFonts w:ascii="Times New Roman" w:hAnsi="Times New Roman" w:cs="Times New Roman"/>
          <w:sz w:val="24"/>
          <w:szCs w:val="24"/>
        </w:rPr>
        <w:t>P</w:t>
      </w:r>
      <w:r w:rsidR="00F627A3" w:rsidRPr="00874ABF">
        <w:rPr>
          <w:rFonts w:ascii="Times New Roman" w:hAnsi="Times New Roman" w:cs="Times New Roman"/>
          <w:sz w:val="24"/>
          <w:szCs w:val="24"/>
        </w:rPr>
        <w:t xml:space="preserve"> has </w:t>
      </w:r>
      <w:r w:rsidR="00116D46" w:rsidRPr="00874ABF">
        <w:rPr>
          <w:rFonts w:ascii="Times New Roman" w:hAnsi="Times New Roman" w:cs="Times New Roman"/>
          <w:sz w:val="24"/>
          <w:szCs w:val="24"/>
        </w:rPr>
        <w:t xml:space="preserve">expanded beyond </w:t>
      </w:r>
      <w:r w:rsidR="00F627A3" w:rsidRPr="00874ABF">
        <w:rPr>
          <w:rFonts w:ascii="Times New Roman" w:hAnsi="Times New Roman" w:cs="Times New Roman"/>
          <w:sz w:val="24"/>
          <w:szCs w:val="24"/>
        </w:rPr>
        <w:t xml:space="preserve">its original intent, </w:t>
      </w:r>
      <w:r w:rsidR="00116D46" w:rsidRPr="00874ABF">
        <w:rPr>
          <w:rFonts w:ascii="Times New Roman" w:hAnsi="Times New Roman" w:cs="Times New Roman"/>
          <w:sz w:val="24"/>
          <w:szCs w:val="24"/>
        </w:rPr>
        <w:t xml:space="preserve">to include providers who should not be eligible under a “plain </w:t>
      </w:r>
      <w:r w:rsidR="00116D46" w:rsidRPr="00874ABF">
        <w:rPr>
          <w:rFonts w:ascii="Times New Roman" w:hAnsi="Times New Roman" w:cs="Times New Roman"/>
          <w:sz w:val="24"/>
          <w:szCs w:val="24"/>
        </w:rPr>
        <w:lastRenderedPageBreak/>
        <w:t xml:space="preserve">reading” of the statute.  As a result, CHCs have been subject to across-the-board funding reductions, and significant administrative complexities that have made it difficult for them to participate in the program that was designed for them.  For this reason, we are </w:t>
      </w:r>
      <w:r w:rsidR="00F627A3" w:rsidRPr="00874ABF">
        <w:rPr>
          <w:rFonts w:ascii="Times New Roman" w:hAnsi="Times New Roman" w:cs="Times New Roman"/>
          <w:sz w:val="24"/>
          <w:szCs w:val="24"/>
        </w:rPr>
        <w:t>very pleased that the FCC staff are reexamining</w:t>
      </w:r>
      <w:r w:rsidR="00504C99" w:rsidRPr="00874ABF">
        <w:rPr>
          <w:rFonts w:ascii="Times New Roman" w:hAnsi="Times New Roman" w:cs="Times New Roman"/>
          <w:sz w:val="24"/>
          <w:szCs w:val="24"/>
        </w:rPr>
        <w:t xml:space="preserve"> the structure and functioning of the RHCP</w:t>
      </w:r>
      <w:r w:rsidR="00F627A3" w:rsidRPr="00874ABF">
        <w:rPr>
          <w:rFonts w:ascii="Times New Roman" w:hAnsi="Times New Roman" w:cs="Times New Roman"/>
          <w:sz w:val="24"/>
          <w:szCs w:val="24"/>
        </w:rPr>
        <w:t xml:space="preserve">, and </w:t>
      </w:r>
      <w:r w:rsidR="00116D46" w:rsidRPr="00874ABF">
        <w:rPr>
          <w:rFonts w:ascii="Times New Roman" w:hAnsi="Times New Roman" w:cs="Times New Roman"/>
          <w:sz w:val="24"/>
          <w:szCs w:val="24"/>
        </w:rPr>
        <w:t xml:space="preserve">welcome the opportunity to comments on how to </w:t>
      </w:r>
      <w:r w:rsidR="00504C99" w:rsidRPr="00874ABF">
        <w:rPr>
          <w:rFonts w:ascii="Times New Roman" w:hAnsi="Times New Roman" w:cs="Times New Roman"/>
          <w:sz w:val="24"/>
          <w:szCs w:val="24"/>
        </w:rPr>
        <w:t>better align the program with the needs of</w:t>
      </w:r>
      <w:r w:rsidR="00F627A3" w:rsidRPr="00874ABF">
        <w:rPr>
          <w:rFonts w:ascii="Times New Roman" w:hAnsi="Times New Roman" w:cs="Times New Roman"/>
          <w:sz w:val="24"/>
          <w:szCs w:val="24"/>
        </w:rPr>
        <w:t xml:space="preserve"> th</w:t>
      </w:r>
      <w:r w:rsidR="00504C99" w:rsidRPr="00874ABF">
        <w:rPr>
          <w:rFonts w:ascii="Times New Roman" w:hAnsi="Times New Roman" w:cs="Times New Roman"/>
          <w:sz w:val="24"/>
          <w:szCs w:val="24"/>
        </w:rPr>
        <w:t xml:space="preserve">ose </w:t>
      </w:r>
      <w:r w:rsidR="00F627A3" w:rsidRPr="00874ABF">
        <w:rPr>
          <w:rFonts w:ascii="Times New Roman" w:hAnsi="Times New Roman" w:cs="Times New Roman"/>
          <w:sz w:val="24"/>
          <w:szCs w:val="24"/>
        </w:rPr>
        <w:t>providers and patients</w:t>
      </w:r>
      <w:r w:rsidR="00504C99" w:rsidRPr="00874ABF">
        <w:rPr>
          <w:rFonts w:ascii="Times New Roman" w:hAnsi="Times New Roman" w:cs="Times New Roman"/>
          <w:sz w:val="24"/>
          <w:szCs w:val="24"/>
        </w:rPr>
        <w:t xml:space="preserve"> w</w:t>
      </w:r>
      <w:r w:rsidR="00F627A3" w:rsidRPr="00874ABF">
        <w:rPr>
          <w:rFonts w:ascii="Times New Roman" w:hAnsi="Times New Roman" w:cs="Times New Roman"/>
          <w:sz w:val="24"/>
          <w:szCs w:val="24"/>
        </w:rPr>
        <w:t xml:space="preserve">hom Congress originally intended to support.  </w:t>
      </w:r>
    </w:p>
    <w:p w:rsidR="00CB72C3" w:rsidRPr="00874ABF" w:rsidRDefault="00CB72C3" w:rsidP="00874ABF">
      <w:pPr>
        <w:pStyle w:val="NoSpacing"/>
        <w:spacing w:line="480" w:lineRule="auto"/>
        <w:ind w:firstLine="410"/>
        <w:rPr>
          <w:rFonts w:ascii="Times New Roman" w:hAnsi="Times New Roman" w:cs="Times New Roman"/>
          <w:sz w:val="24"/>
          <w:szCs w:val="24"/>
        </w:rPr>
      </w:pPr>
      <w:r w:rsidRPr="00874ABF">
        <w:rPr>
          <w:rFonts w:ascii="Times New Roman" w:hAnsi="Times New Roman" w:cs="Times New Roman"/>
          <w:sz w:val="24"/>
          <w:szCs w:val="24"/>
        </w:rPr>
        <w:t xml:space="preserve">To provide context for our </w:t>
      </w:r>
      <w:r w:rsidR="00DB022E" w:rsidRPr="00874ABF">
        <w:rPr>
          <w:rFonts w:ascii="Times New Roman" w:hAnsi="Times New Roman" w:cs="Times New Roman"/>
          <w:sz w:val="24"/>
          <w:szCs w:val="24"/>
        </w:rPr>
        <w:t xml:space="preserve">specific </w:t>
      </w:r>
      <w:r w:rsidRPr="00874ABF">
        <w:rPr>
          <w:rFonts w:ascii="Times New Roman" w:hAnsi="Times New Roman" w:cs="Times New Roman"/>
          <w:sz w:val="24"/>
          <w:szCs w:val="24"/>
        </w:rPr>
        <w:t xml:space="preserve">comments below, we </w:t>
      </w:r>
      <w:r w:rsidR="007C7397" w:rsidRPr="00874ABF">
        <w:rPr>
          <w:rFonts w:ascii="Times New Roman" w:hAnsi="Times New Roman" w:cs="Times New Roman"/>
          <w:sz w:val="24"/>
          <w:szCs w:val="24"/>
        </w:rPr>
        <w:t xml:space="preserve">begin </w:t>
      </w:r>
      <w:r w:rsidR="005601CB" w:rsidRPr="00874ABF">
        <w:rPr>
          <w:rFonts w:ascii="Times New Roman" w:hAnsi="Times New Roman" w:cs="Times New Roman"/>
          <w:sz w:val="24"/>
          <w:szCs w:val="24"/>
        </w:rPr>
        <w:t>by making three critical points.</w:t>
      </w:r>
    </w:p>
    <w:p w:rsidR="005601CB" w:rsidRPr="00874ABF" w:rsidRDefault="005601CB" w:rsidP="008F798B">
      <w:pPr>
        <w:pStyle w:val="ListParagraph"/>
        <w:numPr>
          <w:ilvl w:val="0"/>
          <w:numId w:val="16"/>
        </w:numPr>
        <w:spacing w:line="480" w:lineRule="auto"/>
        <w:rPr>
          <w:rFonts w:ascii="Times New Roman" w:hAnsi="Times New Roman" w:cs="Times New Roman"/>
          <w:sz w:val="24"/>
          <w:szCs w:val="24"/>
        </w:rPr>
      </w:pPr>
      <w:r w:rsidRPr="00874ABF">
        <w:rPr>
          <w:rFonts w:ascii="Times New Roman" w:hAnsi="Times New Roman" w:cs="Times New Roman"/>
          <w:sz w:val="24"/>
          <w:szCs w:val="24"/>
        </w:rPr>
        <w:t xml:space="preserve">Community Health Centers are </w:t>
      </w:r>
      <w:r w:rsidR="00551AD0" w:rsidRPr="00874ABF">
        <w:rPr>
          <w:rFonts w:ascii="Times New Roman" w:hAnsi="Times New Roman" w:cs="Times New Roman"/>
          <w:sz w:val="24"/>
          <w:szCs w:val="24"/>
        </w:rPr>
        <w:t>the</w:t>
      </w:r>
      <w:r w:rsidRPr="00874ABF">
        <w:rPr>
          <w:rFonts w:ascii="Times New Roman" w:hAnsi="Times New Roman" w:cs="Times New Roman"/>
          <w:sz w:val="24"/>
          <w:szCs w:val="24"/>
        </w:rPr>
        <w:t xml:space="preserve"> backbone of the “rural health care safety net”</w:t>
      </w:r>
    </w:p>
    <w:p w:rsidR="005601CB" w:rsidRPr="00874ABF" w:rsidRDefault="00CB72C3" w:rsidP="008F798B">
      <w:pPr>
        <w:pStyle w:val="ListParagraph"/>
        <w:numPr>
          <w:ilvl w:val="0"/>
          <w:numId w:val="16"/>
        </w:numPr>
        <w:spacing w:line="480" w:lineRule="auto"/>
        <w:rPr>
          <w:rFonts w:ascii="Times New Roman" w:hAnsi="Times New Roman" w:cs="Times New Roman"/>
          <w:sz w:val="24"/>
          <w:szCs w:val="24"/>
        </w:rPr>
      </w:pPr>
      <w:r w:rsidRPr="00874ABF">
        <w:rPr>
          <w:rFonts w:ascii="Times New Roman" w:hAnsi="Times New Roman" w:cs="Times New Roman"/>
          <w:sz w:val="24"/>
          <w:szCs w:val="24"/>
        </w:rPr>
        <w:t>Congress clearly intended rural CHC</w:t>
      </w:r>
      <w:r w:rsidR="00551AD0" w:rsidRPr="00874ABF">
        <w:rPr>
          <w:rFonts w:ascii="Times New Roman" w:hAnsi="Times New Roman" w:cs="Times New Roman"/>
          <w:sz w:val="24"/>
          <w:szCs w:val="24"/>
        </w:rPr>
        <w:t>s</w:t>
      </w:r>
      <w:r w:rsidRPr="00874ABF">
        <w:rPr>
          <w:rFonts w:ascii="Times New Roman" w:hAnsi="Times New Roman" w:cs="Times New Roman"/>
          <w:sz w:val="24"/>
          <w:szCs w:val="24"/>
        </w:rPr>
        <w:t xml:space="preserve"> to benefit from the RHCP</w:t>
      </w:r>
      <w:r w:rsidR="00551AD0" w:rsidRPr="00874ABF">
        <w:rPr>
          <w:rFonts w:ascii="Times New Roman" w:hAnsi="Times New Roman" w:cs="Times New Roman"/>
          <w:sz w:val="24"/>
          <w:szCs w:val="24"/>
        </w:rPr>
        <w:t>.</w:t>
      </w:r>
    </w:p>
    <w:p w:rsidR="00272FEC" w:rsidRPr="00874ABF" w:rsidRDefault="00CB72C3" w:rsidP="008F798B">
      <w:pPr>
        <w:pStyle w:val="ListParagraph"/>
        <w:numPr>
          <w:ilvl w:val="0"/>
          <w:numId w:val="16"/>
        </w:numPr>
        <w:spacing w:line="480" w:lineRule="auto"/>
        <w:rPr>
          <w:rFonts w:ascii="Times New Roman" w:hAnsi="Times New Roman" w:cs="Times New Roman"/>
          <w:sz w:val="24"/>
          <w:szCs w:val="24"/>
        </w:rPr>
      </w:pPr>
      <w:r w:rsidRPr="00874ABF">
        <w:rPr>
          <w:rFonts w:ascii="Times New Roman" w:hAnsi="Times New Roman" w:cs="Times New Roman"/>
          <w:sz w:val="24"/>
          <w:szCs w:val="24"/>
        </w:rPr>
        <w:t xml:space="preserve">Some provider types who </w:t>
      </w:r>
      <w:r w:rsidR="005601CB" w:rsidRPr="00874ABF">
        <w:rPr>
          <w:rFonts w:ascii="Times New Roman" w:hAnsi="Times New Roman" w:cs="Times New Roman"/>
          <w:sz w:val="24"/>
          <w:szCs w:val="24"/>
        </w:rPr>
        <w:t xml:space="preserve">have recently been added to the </w:t>
      </w:r>
      <w:r w:rsidRPr="00874ABF">
        <w:rPr>
          <w:rFonts w:ascii="Times New Roman" w:hAnsi="Times New Roman" w:cs="Times New Roman"/>
          <w:sz w:val="24"/>
          <w:szCs w:val="24"/>
        </w:rPr>
        <w:t>RHCP do not meet eligibility requirements under a “plain reading” of the statute</w:t>
      </w:r>
      <w:r w:rsidR="005601CB" w:rsidRPr="00874ABF">
        <w:rPr>
          <w:rFonts w:ascii="Times New Roman" w:hAnsi="Times New Roman" w:cs="Times New Roman"/>
          <w:sz w:val="24"/>
          <w:szCs w:val="24"/>
        </w:rPr>
        <w:t>, and the</w:t>
      </w:r>
      <w:r w:rsidR="00551AD0" w:rsidRPr="00874ABF">
        <w:rPr>
          <w:rFonts w:ascii="Times New Roman" w:hAnsi="Times New Roman" w:cs="Times New Roman"/>
          <w:sz w:val="24"/>
          <w:szCs w:val="24"/>
        </w:rPr>
        <w:t xml:space="preserve">ir </w:t>
      </w:r>
      <w:r w:rsidR="005601CB" w:rsidRPr="00874ABF">
        <w:rPr>
          <w:rFonts w:ascii="Times New Roman" w:hAnsi="Times New Roman" w:cs="Times New Roman"/>
          <w:sz w:val="24"/>
          <w:szCs w:val="24"/>
        </w:rPr>
        <w:t>eligibility</w:t>
      </w:r>
      <w:r w:rsidR="00551AD0" w:rsidRPr="00874ABF">
        <w:rPr>
          <w:rFonts w:ascii="Times New Roman" w:hAnsi="Times New Roman" w:cs="Times New Roman"/>
          <w:sz w:val="24"/>
          <w:szCs w:val="24"/>
        </w:rPr>
        <w:t xml:space="preserve"> is harming CHCs’ ability to benefit from the program</w:t>
      </w:r>
      <w:r w:rsidR="005601CB" w:rsidRPr="00874ABF">
        <w:rPr>
          <w:rFonts w:ascii="Times New Roman" w:hAnsi="Times New Roman" w:cs="Times New Roman"/>
          <w:sz w:val="24"/>
          <w:szCs w:val="24"/>
        </w:rPr>
        <w:t xml:space="preserve">.  </w:t>
      </w:r>
      <w:r w:rsidRPr="00874ABF">
        <w:rPr>
          <w:rFonts w:ascii="Times New Roman" w:hAnsi="Times New Roman" w:cs="Times New Roman"/>
          <w:sz w:val="24"/>
          <w:szCs w:val="24"/>
        </w:rPr>
        <w:t xml:space="preserve"> </w:t>
      </w:r>
    </w:p>
    <w:p w:rsidR="002D7FAC" w:rsidRPr="0091071C" w:rsidRDefault="0091071C" w:rsidP="0091071C">
      <w:pPr>
        <w:pStyle w:val="Heading1"/>
      </w:pPr>
      <w:bookmarkStart w:id="0" w:name="_Toc505249648"/>
      <w:r w:rsidRPr="0091071C">
        <w:t>Background</w:t>
      </w:r>
      <w:bookmarkEnd w:id="0"/>
    </w:p>
    <w:p w:rsidR="0091071C" w:rsidRDefault="0091071C" w:rsidP="002D7FAC">
      <w:pPr>
        <w:spacing w:line="480" w:lineRule="auto"/>
        <w:rPr>
          <w:rFonts w:ascii="Times New Roman" w:hAnsi="Times New Roman" w:cs="Times New Roman"/>
          <w:b/>
          <w:sz w:val="24"/>
          <w:szCs w:val="24"/>
        </w:rPr>
      </w:pPr>
    </w:p>
    <w:p w:rsidR="002D7FAC" w:rsidRPr="0091071C" w:rsidRDefault="00F627A3" w:rsidP="0091071C">
      <w:pPr>
        <w:pStyle w:val="Heading2"/>
      </w:pPr>
      <w:bookmarkStart w:id="1" w:name="_Toc505249649"/>
      <w:r w:rsidRPr="0091071C">
        <w:t>Community Health Center</w:t>
      </w:r>
      <w:r w:rsidR="008D1C05" w:rsidRPr="0091071C">
        <w:t>s are a backbone of the rural “health care safety net”</w:t>
      </w:r>
      <w:bookmarkEnd w:id="1"/>
      <w:r w:rsidRPr="0091071C">
        <w:t xml:space="preserve">  </w:t>
      </w:r>
    </w:p>
    <w:p w:rsidR="00376D9C" w:rsidRPr="00874ABF" w:rsidRDefault="00376D9C" w:rsidP="002D7FAC">
      <w:pPr>
        <w:spacing w:line="480" w:lineRule="auto"/>
        <w:rPr>
          <w:rFonts w:ascii="Times New Roman" w:hAnsi="Times New Roman" w:cs="Times New Roman"/>
          <w:sz w:val="24"/>
          <w:szCs w:val="24"/>
        </w:rPr>
      </w:pPr>
      <w:r w:rsidRPr="00874ABF">
        <w:rPr>
          <w:rFonts w:ascii="Times New Roman" w:hAnsi="Times New Roman" w:cs="Times New Roman"/>
          <w:sz w:val="24"/>
          <w:szCs w:val="24"/>
        </w:rPr>
        <w:t xml:space="preserve">A Community Health Center (CHCs) is a </w:t>
      </w:r>
      <w:r w:rsidR="002824A2" w:rsidRPr="00874ABF">
        <w:rPr>
          <w:rFonts w:ascii="Times New Roman" w:hAnsi="Times New Roman" w:cs="Times New Roman"/>
          <w:sz w:val="24"/>
          <w:szCs w:val="24"/>
        </w:rPr>
        <w:t xml:space="preserve">health care </w:t>
      </w:r>
      <w:r w:rsidRPr="00874ABF">
        <w:rPr>
          <w:rFonts w:ascii="Times New Roman" w:hAnsi="Times New Roman" w:cs="Times New Roman"/>
          <w:sz w:val="24"/>
          <w:szCs w:val="24"/>
        </w:rPr>
        <w:t>provider that is authorized under Section 330 of the Public Health Service Act</w:t>
      </w:r>
      <w:r w:rsidR="00703822" w:rsidRPr="00874ABF">
        <w:rPr>
          <w:rStyle w:val="FootnoteReference"/>
          <w:rFonts w:ascii="Times New Roman" w:hAnsi="Times New Roman" w:cs="Times New Roman"/>
          <w:sz w:val="24"/>
          <w:szCs w:val="24"/>
        </w:rPr>
        <w:footnoteReference w:id="3"/>
      </w:r>
      <w:r w:rsidRPr="00874ABF">
        <w:rPr>
          <w:rFonts w:ascii="Times New Roman" w:hAnsi="Times New Roman" w:cs="Times New Roman"/>
          <w:sz w:val="24"/>
          <w:szCs w:val="24"/>
        </w:rPr>
        <w:t xml:space="preserve">.   </w:t>
      </w:r>
      <w:r w:rsidR="00703822" w:rsidRPr="00874ABF">
        <w:rPr>
          <w:rFonts w:ascii="Times New Roman" w:hAnsi="Times New Roman" w:cs="Times New Roman"/>
          <w:sz w:val="24"/>
          <w:szCs w:val="24"/>
        </w:rPr>
        <w:t>As a backbone of the “health care safety net”, a</w:t>
      </w:r>
      <w:r w:rsidRPr="00874ABF">
        <w:rPr>
          <w:rFonts w:ascii="Times New Roman" w:hAnsi="Times New Roman" w:cs="Times New Roman"/>
          <w:sz w:val="24"/>
          <w:szCs w:val="24"/>
        </w:rPr>
        <w:t xml:space="preserve">ll CHCs are required by law to:  </w:t>
      </w:r>
    </w:p>
    <w:p w:rsidR="002824A2" w:rsidRPr="00874ABF" w:rsidRDefault="00F627A3" w:rsidP="008F798B">
      <w:pPr>
        <w:pStyle w:val="ListParagraph"/>
        <w:numPr>
          <w:ilvl w:val="0"/>
          <w:numId w:val="3"/>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lastRenderedPageBreak/>
        <w:t xml:space="preserve">provide </w:t>
      </w:r>
      <w:r w:rsidR="002824A2" w:rsidRPr="00874ABF">
        <w:rPr>
          <w:rFonts w:ascii="Times New Roman" w:hAnsi="Times New Roman" w:cs="Times New Roman"/>
          <w:sz w:val="24"/>
          <w:szCs w:val="24"/>
        </w:rPr>
        <w:t xml:space="preserve">a </w:t>
      </w:r>
      <w:r w:rsidR="00CB72C3" w:rsidRPr="00874ABF">
        <w:rPr>
          <w:rFonts w:ascii="Times New Roman" w:hAnsi="Times New Roman" w:cs="Times New Roman"/>
          <w:sz w:val="24"/>
          <w:szCs w:val="24"/>
        </w:rPr>
        <w:t xml:space="preserve">wide </w:t>
      </w:r>
      <w:r w:rsidR="002824A2" w:rsidRPr="00874ABF">
        <w:rPr>
          <w:rFonts w:ascii="Times New Roman" w:hAnsi="Times New Roman" w:cs="Times New Roman"/>
          <w:sz w:val="24"/>
          <w:szCs w:val="24"/>
        </w:rPr>
        <w:t>range of</w:t>
      </w:r>
      <w:r w:rsidR="00CB72C3" w:rsidRPr="00874ABF">
        <w:rPr>
          <w:rFonts w:ascii="Times New Roman" w:hAnsi="Times New Roman" w:cs="Times New Roman"/>
          <w:sz w:val="24"/>
          <w:szCs w:val="24"/>
        </w:rPr>
        <w:t xml:space="preserve"> medical services.  These always include primary and preventive care, and generally include pharmacy, dental, </w:t>
      </w:r>
      <w:r w:rsidR="0070149F" w:rsidRPr="00874ABF">
        <w:rPr>
          <w:rFonts w:ascii="Times New Roman" w:hAnsi="Times New Roman" w:cs="Times New Roman"/>
          <w:sz w:val="24"/>
          <w:szCs w:val="24"/>
        </w:rPr>
        <w:t>mental health, and addiction treatment.</w:t>
      </w:r>
    </w:p>
    <w:p w:rsidR="00376D9C" w:rsidRPr="00874ABF" w:rsidRDefault="002824A2" w:rsidP="008F798B">
      <w:pPr>
        <w:pStyle w:val="ListParagraph"/>
        <w:numPr>
          <w:ilvl w:val="0"/>
          <w:numId w:val="3"/>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care </w:t>
      </w:r>
      <w:r w:rsidR="00CB72C3" w:rsidRPr="00874ABF">
        <w:rPr>
          <w:rFonts w:ascii="Times New Roman" w:hAnsi="Times New Roman" w:cs="Times New Roman"/>
          <w:sz w:val="24"/>
          <w:szCs w:val="24"/>
        </w:rPr>
        <w:t xml:space="preserve">for </w:t>
      </w:r>
      <w:r w:rsidR="00F627A3" w:rsidRPr="00874ABF">
        <w:rPr>
          <w:rFonts w:ascii="Times New Roman" w:hAnsi="Times New Roman" w:cs="Times New Roman"/>
          <w:sz w:val="24"/>
          <w:szCs w:val="24"/>
        </w:rPr>
        <w:t>all individuals</w:t>
      </w:r>
      <w:r w:rsidR="00376D9C" w:rsidRPr="00874ABF">
        <w:rPr>
          <w:rFonts w:ascii="Times New Roman" w:hAnsi="Times New Roman" w:cs="Times New Roman"/>
          <w:sz w:val="24"/>
          <w:szCs w:val="24"/>
        </w:rPr>
        <w:t xml:space="preserve"> who present for treatment</w:t>
      </w:r>
      <w:r w:rsidR="00F627A3" w:rsidRPr="00874ABF">
        <w:rPr>
          <w:rFonts w:ascii="Times New Roman" w:hAnsi="Times New Roman" w:cs="Times New Roman"/>
          <w:sz w:val="24"/>
          <w:szCs w:val="24"/>
        </w:rPr>
        <w:t xml:space="preserve">, regardless of </w:t>
      </w:r>
      <w:r w:rsidRPr="00874ABF">
        <w:rPr>
          <w:rFonts w:ascii="Times New Roman" w:hAnsi="Times New Roman" w:cs="Times New Roman"/>
          <w:sz w:val="24"/>
          <w:szCs w:val="24"/>
        </w:rPr>
        <w:t>whether they have insurance or are able to pay</w:t>
      </w:r>
      <w:r w:rsidR="0070149F" w:rsidRPr="00874ABF">
        <w:rPr>
          <w:rFonts w:ascii="Times New Roman" w:hAnsi="Times New Roman" w:cs="Times New Roman"/>
          <w:sz w:val="24"/>
          <w:szCs w:val="24"/>
        </w:rPr>
        <w:t>.</w:t>
      </w:r>
    </w:p>
    <w:p w:rsidR="00376D9C" w:rsidRPr="00874ABF" w:rsidRDefault="00F627A3" w:rsidP="008F798B">
      <w:pPr>
        <w:pStyle w:val="ListParagraph"/>
        <w:numPr>
          <w:ilvl w:val="0"/>
          <w:numId w:val="3"/>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specifically target geographic areas and populations that the Federal government has determined to be “medically underserved.”  </w:t>
      </w:r>
    </w:p>
    <w:p w:rsidR="00376D9C" w:rsidRPr="00874ABF" w:rsidRDefault="0070149F" w:rsidP="008F798B">
      <w:pPr>
        <w:pStyle w:val="ListParagraph"/>
        <w:numPr>
          <w:ilvl w:val="0"/>
          <w:numId w:val="3"/>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b</w:t>
      </w:r>
      <w:r w:rsidR="00376D9C" w:rsidRPr="00874ABF">
        <w:rPr>
          <w:rFonts w:ascii="Times New Roman" w:hAnsi="Times New Roman" w:cs="Times New Roman"/>
          <w:sz w:val="24"/>
          <w:szCs w:val="24"/>
        </w:rPr>
        <w:t>e non-profit or public, and be governed by a Board, a</w:t>
      </w:r>
      <w:r w:rsidRPr="00874ABF">
        <w:rPr>
          <w:rFonts w:ascii="Times New Roman" w:hAnsi="Times New Roman" w:cs="Times New Roman"/>
          <w:sz w:val="24"/>
          <w:szCs w:val="24"/>
        </w:rPr>
        <w:t xml:space="preserve"> majority of whose </w:t>
      </w:r>
      <w:r w:rsidR="00376D9C" w:rsidRPr="00874ABF">
        <w:rPr>
          <w:rFonts w:ascii="Times New Roman" w:hAnsi="Times New Roman" w:cs="Times New Roman"/>
          <w:sz w:val="24"/>
          <w:szCs w:val="24"/>
        </w:rPr>
        <w:t xml:space="preserve">members </w:t>
      </w:r>
      <w:r w:rsidRPr="00874ABF">
        <w:rPr>
          <w:rFonts w:ascii="Times New Roman" w:hAnsi="Times New Roman" w:cs="Times New Roman"/>
          <w:sz w:val="24"/>
          <w:szCs w:val="24"/>
        </w:rPr>
        <w:t xml:space="preserve">are </w:t>
      </w:r>
      <w:r w:rsidR="00376D9C" w:rsidRPr="00874ABF">
        <w:rPr>
          <w:rFonts w:ascii="Times New Roman" w:hAnsi="Times New Roman" w:cs="Times New Roman"/>
          <w:sz w:val="24"/>
          <w:szCs w:val="24"/>
        </w:rPr>
        <w:t>CHC patients</w:t>
      </w:r>
      <w:r w:rsidR="00551AD0" w:rsidRPr="00874ABF">
        <w:rPr>
          <w:rFonts w:ascii="Times New Roman" w:hAnsi="Times New Roman" w:cs="Times New Roman"/>
          <w:sz w:val="24"/>
          <w:szCs w:val="24"/>
        </w:rPr>
        <w:t>.</w:t>
      </w:r>
      <w:r w:rsidR="00376D9C" w:rsidRPr="00874ABF">
        <w:rPr>
          <w:rFonts w:ascii="Times New Roman" w:hAnsi="Times New Roman" w:cs="Times New Roman"/>
          <w:sz w:val="24"/>
          <w:szCs w:val="24"/>
        </w:rPr>
        <w:t xml:space="preserve"> </w:t>
      </w:r>
    </w:p>
    <w:p w:rsidR="00CB72C3" w:rsidRPr="00874ABF" w:rsidRDefault="00703822" w:rsidP="00815B9A">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Th</w:t>
      </w:r>
      <w:r w:rsidR="00CB72C3" w:rsidRPr="00874ABF">
        <w:rPr>
          <w:rFonts w:ascii="Times New Roman" w:hAnsi="Times New Roman" w:cs="Times New Roman"/>
          <w:sz w:val="24"/>
          <w:szCs w:val="24"/>
        </w:rPr>
        <w:t xml:space="preserve">us, CHCs are a reliable, affordable source of </w:t>
      </w:r>
      <w:r w:rsidR="00551AD0" w:rsidRPr="00874ABF">
        <w:rPr>
          <w:rFonts w:ascii="Times New Roman" w:hAnsi="Times New Roman" w:cs="Times New Roman"/>
          <w:sz w:val="24"/>
          <w:szCs w:val="24"/>
        </w:rPr>
        <w:t xml:space="preserve">health </w:t>
      </w:r>
      <w:r w:rsidR="00CB72C3" w:rsidRPr="00874ABF">
        <w:rPr>
          <w:rFonts w:ascii="Times New Roman" w:hAnsi="Times New Roman" w:cs="Times New Roman"/>
          <w:sz w:val="24"/>
          <w:szCs w:val="24"/>
        </w:rPr>
        <w:t xml:space="preserve">care for people who: </w:t>
      </w:r>
    </w:p>
    <w:p w:rsidR="00CB72C3" w:rsidRPr="00874ABF" w:rsidRDefault="00CB72C3" w:rsidP="008F798B">
      <w:pPr>
        <w:pStyle w:val="ListParagraph"/>
        <w:numPr>
          <w:ilvl w:val="0"/>
          <w:numId w:val="17"/>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have no health insurance; </w:t>
      </w:r>
    </w:p>
    <w:p w:rsidR="00CB72C3" w:rsidRPr="00874ABF" w:rsidRDefault="00CB72C3" w:rsidP="008F798B">
      <w:pPr>
        <w:pStyle w:val="ListParagraph"/>
        <w:numPr>
          <w:ilvl w:val="0"/>
          <w:numId w:val="17"/>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have health insurance but can’t afford the deductibles or copays (called “underinsured”</w:t>
      </w:r>
      <w:r w:rsidR="00623220" w:rsidRPr="00874ABF">
        <w:rPr>
          <w:rFonts w:ascii="Times New Roman" w:hAnsi="Times New Roman" w:cs="Times New Roman"/>
          <w:sz w:val="24"/>
          <w:szCs w:val="24"/>
        </w:rPr>
        <w:t xml:space="preserve"> persons</w:t>
      </w:r>
      <w:r w:rsidRPr="00874ABF">
        <w:rPr>
          <w:rFonts w:ascii="Times New Roman" w:hAnsi="Times New Roman" w:cs="Times New Roman"/>
          <w:sz w:val="24"/>
          <w:szCs w:val="24"/>
        </w:rPr>
        <w:t>);</w:t>
      </w:r>
    </w:p>
    <w:p w:rsidR="00CB72C3" w:rsidRPr="00874ABF" w:rsidRDefault="00CB72C3" w:rsidP="008F798B">
      <w:pPr>
        <w:pStyle w:val="ListParagraph"/>
        <w:numPr>
          <w:ilvl w:val="0"/>
          <w:numId w:val="17"/>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have health insurance that few providers will accept (e.g., Medicaid); and/or </w:t>
      </w:r>
    </w:p>
    <w:p w:rsidR="00CB72C3" w:rsidRPr="00874ABF" w:rsidRDefault="00CB72C3" w:rsidP="008F798B">
      <w:pPr>
        <w:pStyle w:val="ListParagraph"/>
        <w:numPr>
          <w:ilvl w:val="0"/>
          <w:numId w:val="17"/>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live in areas with few or no medical providers (e.g., rural</w:t>
      </w:r>
      <w:r w:rsidR="00623220" w:rsidRPr="00874ABF">
        <w:rPr>
          <w:rFonts w:ascii="Times New Roman" w:hAnsi="Times New Roman" w:cs="Times New Roman"/>
          <w:sz w:val="24"/>
          <w:szCs w:val="24"/>
        </w:rPr>
        <w:t>, highly rural,</w:t>
      </w:r>
      <w:r w:rsidRPr="00874ABF">
        <w:rPr>
          <w:rFonts w:ascii="Times New Roman" w:hAnsi="Times New Roman" w:cs="Times New Roman"/>
          <w:sz w:val="24"/>
          <w:szCs w:val="24"/>
        </w:rPr>
        <w:t xml:space="preserve"> and frontier areas.)  </w:t>
      </w:r>
    </w:p>
    <w:p w:rsidR="00226B32" w:rsidRPr="00874ABF" w:rsidRDefault="0070149F"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Nationally, t</w:t>
      </w:r>
      <w:r w:rsidR="00CB72C3" w:rsidRPr="00874ABF">
        <w:rPr>
          <w:rFonts w:ascii="Times New Roman" w:hAnsi="Times New Roman" w:cs="Times New Roman"/>
          <w:sz w:val="24"/>
          <w:szCs w:val="24"/>
        </w:rPr>
        <w:t>h</w:t>
      </w:r>
      <w:r w:rsidR="00703822" w:rsidRPr="00874ABF">
        <w:rPr>
          <w:rFonts w:ascii="Times New Roman" w:hAnsi="Times New Roman" w:cs="Times New Roman"/>
          <w:sz w:val="24"/>
          <w:szCs w:val="24"/>
        </w:rPr>
        <w:t xml:space="preserve">ere are over </w:t>
      </w:r>
      <w:r w:rsidR="00F627A3" w:rsidRPr="00874ABF">
        <w:rPr>
          <w:rFonts w:ascii="Times New Roman" w:hAnsi="Times New Roman" w:cs="Times New Roman"/>
          <w:sz w:val="24"/>
          <w:szCs w:val="24"/>
        </w:rPr>
        <w:t xml:space="preserve">9,800 </w:t>
      </w:r>
      <w:r w:rsidR="00703822" w:rsidRPr="00874ABF">
        <w:rPr>
          <w:rFonts w:ascii="Times New Roman" w:hAnsi="Times New Roman" w:cs="Times New Roman"/>
          <w:sz w:val="24"/>
          <w:szCs w:val="24"/>
        </w:rPr>
        <w:t xml:space="preserve">CHC </w:t>
      </w:r>
      <w:r w:rsidR="00F627A3" w:rsidRPr="00874ABF">
        <w:rPr>
          <w:rFonts w:ascii="Times New Roman" w:hAnsi="Times New Roman" w:cs="Times New Roman"/>
          <w:sz w:val="24"/>
          <w:szCs w:val="24"/>
        </w:rPr>
        <w:t xml:space="preserve">sites </w:t>
      </w:r>
      <w:r w:rsidR="002824A2" w:rsidRPr="00874ABF">
        <w:rPr>
          <w:rFonts w:ascii="Times New Roman" w:hAnsi="Times New Roman" w:cs="Times New Roman"/>
          <w:sz w:val="24"/>
          <w:szCs w:val="24"/>
        </w:rPr>
        <w:t xml:space="preserve">providing </w:t>
      </w:r>
      <w:r w:rsidR="00F627A3" w:rsidRPr="00874ABF">
        <w:rPr>
          <w:rFonts w:ascii="Times New Roman" w:hAnsi="Times New Roman" w:cs="Times New Roman"/>
          <w:sz w:val="24"/>
          <w:szCs w:val="24"/>
        </w:rPr>
        <w:t>care to over 25 million medically‐underserved individuals</w:t>
      </w:r>
      <w:r w:rsidR="00226B32" w:rsidRPr="00874ABF">
        <w:rPr>
          <w:rFonts w:ascii="Times New Roman" w:hAnsi="Times New Roman" w:cs="Times New Roman"/>
          <w:sz w:val="24"/>
          <w:szCs w:val="24"/>
        </w:rPr>
        <w:t xml:space="preserve"> – including at least</w:t>
      </w:r>
      <w:r w:rsidR="00F627A3" w:rsidRPr="00874ABF">
        <w:rPr>
          <w:rFonts w:ascii="Times New Roman" w:hAnsi="Times New Roman" w:cs="Times New Roman"/>
          <w:sz w:val="24"/>
          <w:szCs w:val="24"/>
        </w:rPr>
        <w:t xml:space="preserve"> 10 million </w:t>
      </w:r>
      <w:r w:rsidR="002824A2" w:rsidRPr="00874ABF">
        <w:rPr>
          <w:rFonts w:ascii="Times New Roman" w:hAnsi="Times New Roman" w:cs="Times New Roman"/>
          <w:sz w:val="24"/>
          <w:szCs w:val="24"/>
        </w:rPr>
        <w:t xml:space="preserve">patients </w:t>
      </w:r>
      <w:r w:rsidR="00226B32" w:rsidRPr="00874ABF">
        <w:rPr>
          <w:rFonts w:ascii="Times New Roman" w:hAnsi="Times New Roman" w:cs="Times New Roman"/>
          <w:sz w:val="24"/>
          <w:szCs w:val="24"/>
        </w:rPr>
        <w:t xml:space="preserve">who </w:t>
      </w:r>
      <w:r w:rsidR="00F627A3" w:rsidRPr="00874ABF">
        <w:rPr>
          <w:rFonts w:ascii="Times New Roman" w:hAnsi="Times New Roman" w:cs="Times New Roman"/>
          <w:sz w:val="24"/>
          <w:szCs w:val="24"/>
        </w:rPr>
        <w:t xml:space="preserve">reside in rural or frontier areas.  </w:t>
      </w:r>
      <w:r w:rsidR="00226B32" w:rsidRPr="00874ABF">
        <w:rPr>
          <w:rFonts w:ascii="Times New Roman" w:hAnsi="Times New Roman" w:cs="Times New Roman"/>
          <w:sz w:val="24"/>
          <w:szCs w:val="24"/>
        </w:rPr>
        <w:t>Over 70% of CHC patients have incomes below the Federal Poverty Level (FPL); if uninsured</w:t>
      </w:r>
      <w:r w:rsidRPr="00874ABF">
        <w:rPr>
          <w:rFonts w:ascii="Times New Roman" w:hAnsi="Times New Roman" w:cs="Times New Roman"/>
          <w:sz w:val="24"/>
          <w:szCs w:val="24"/>
        </w:rPr>
        <w:t xml:space="preserve"> or underinsured</w:t>
      </w:r>
      <w:r w:rsidR="00226B32" w:rsidRPr="00874ABF">
        <w:rPr>
          <w:rFonts w:ascii="Times New Roman" w:hAnsi="Times New Roman" w:cs="Times New Roman"/>
          <w:sz w:val="24"/>
          <w:szCs w:val="24"/>
        </w:rPr>
        <w:t>, these individuals pay no more than a nominal fee for their care.  Another 20% of CHC patients have incomes between 101% and 200% FPL; if uninsured</w:t>
      </w:r>
      <w:r w:rsidRPr="00874ABF">
        <w:rPr>
          <w:rFonts w:ascii="Times New Roman" w:hAnsi="Times New Roman" w:cs="Times New Roman"/>
          <w:sz w:val="24"/>
          <w:szCs w:val="24"/>
        </w:rPr>
        <w:t xml:space="preserve"> or </w:t>
      </w:r>
      <w:r w:rsidRPr="00874ABF">
        <w:rPr>
          <w:rFonts w:ascii="Times New Roman" w:hAnsi="Times New Roman" w:cs="Times New Roman"/>
          <w:sz w:val="24"/>
          <w:szCs w:val="24"/>
        </w:rPr>
        <w:lastRenderedPageBreak/>
        <w:t>underinsured</w:t>
      </w:r>
      <w:r w:rsidR="00226B32" w:rsidRPr="00874ABF">
        <w:rPr>
          <w:rFonts w:ascii="Times New Roman" w:hAnsi="Times New Roman" w:cs="Times New Roman"/>
          <w:sz w:val="24"/>
          <w:szCs w:val="24"/>
        </w:rPr>
        <w:t xml:space="preserve">, they are charged based on a sliding fee scale.  </w:t>
      </w:r>
      <w:r w:rsidR="00B64013" w:rsidRPr="00874ABF">
        <w:rPr>
          <w:rFonts w:ascii="Times New Roman" w:hAnsi="Times New Roman" w:cs="Times New Roman"/>
          <w:sz w:val="24"/>
          <w:szCs w:val="24"/>
        </w:rPr>
        <w:t xml:space="preserve">Because of their focus on ensuring health care access for </w:t>
      </w:r>
      <w:r w:rsidR="0055622E" w:rsidRPr="00874ABF">
        <w:rPr>
          <w:rFonts w:ascii="Times New Roman" w:hAnsi="Times New Roman" w:cs="Times New Roman"/>
          <w:sz w:val="24"/>
          <w:szCs w:val="24"/>
        </w:rPr>
        <w:t>at-risk populations, CHCs generally run on</w:t>
      </w:r>
      <w:r w:rsidR="00B64013" w:rsidRPr="00874ABF">
        <w:rPr>
          <w:rFonts w:ascii="Times New Roman" w:hAnsi="Times New Roman" w:cs="Times New Roman"/>
          <w:sz w:val="24"/>
          <w:szCs w:val="24"/>
        </w:rPr>
        <w:t xml:space="preserve"> margins of less than 1%.  </w:t>
      </w:r>
    </w:p>
    <w:p w:rsidR="00226B32" w:rsidRPr="00874ABF" w:rsidRDefault="00226B32"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Thus, CHCs are a critical part of the “</w:t>
      </w:r>
      <w:r w:rsidR="008D1C05" w:rsidRPr="00874ABF">
        <w:rPr>
          <w:rFonts w:ascii="Times New Roman" w:hAnsi="Times New Roman" w:cs="Times New Roman"/>
          <w:sz w:val="24"/>
          <w:szCs w:val="24"/>
        </w:rPr>
        <w:t xml:space="preserve">rural </w:t>
      </w:r>
      <w:r w:rsidRPr="00874ABF">
        <w:rPr>
          <w:rFonts w:ascii="Times New Roman" w:hAnsi="Times New Roman" w:cs="Times New Roman"/>
          <w:sz w:val="24"/>
          <w:szCs w:val="24"/>
        </w:rPr>
        <w:t xml:space="preserve">health care safety net”, assuring access to affordable </w:t>
      </w:r>
      <w:r w:rsidR="0070149F" w:rsidRPr="00874ABF">
        <w:rPr>
          <w:rFonts w:ascii="Times New Roman" w:hAnsi="Times New Roman" w:cs="Times New Roman"/>
          <w:sz w:val="24"/>
          <w:szCs w:val="24"/>
        </w:rPr>
        <w:t xml:space="preserve">medical </w:t>
      </w:r>
      <w:r w:rsidRPr="00874ABF">
        <w:rPr>
          <w:rFonts w:ascii="Times New Roman" w:hAnsi="Times New Roman" w:cs="Times New Roman"/>
          <w:sz w:val="24"/>
          <w:szCs w:val="24"/>
        </w:rPr>
        <w:t xml:space="preserve">care for over 10 million </w:t>
      </w:r>
      <w:r w:rsidR="00647BC9" w:rsidRPr="00874ABF">
        <w:rPr>
          <w:rFonts w:ascii="Times New Roman" w:hAnsi="Times New Roman" w:cs="Times New Roman"/>
          <w:sz w:val="24"/>
          <w:szCs w:val="24"/>
        </w:rPr>
        <w:t>medically underserved</w:t>
      </w:r>
      <w:r w:rsidRPr="00874ABF">
        <w:rPr>
          <w:rFonts w:ascii="Times New Roman" w:hAnsi="Times New Roman" w:cs="Times New Roman"/>
          <w:sz w:val="24"/>
          <w:szCs w:val="24"/>
        </w:rPr>
        <w:t xml:space="preserve"> rural patients, most of whom are low-income.  For this reason, it is not surprising that </w:t>
      </w:r>
      <w:r w:rsidR="00551AD0" w:rsidRPr="00874ABF">
        <w:rPr>
          <w:rFonts w:ascii="Times New Roman" w:hAnsi="Times New Roman" w:cs="Times New Roman"/>
          <w:sz w:val="24"/>
          <w:szCs w:val="24"/>
        </w:rPr>
        <w:t xml:space="preserve">when </w:t>
      </w:r>
      <w:r w:rsidR="008D1C05" w:rsidRPr="00874ABF">
        <w:rPr>
          <w:rFonts w:ascii="Times New Roman" w:hAnsi="Times New Roman" w:cs="Times New Roman"/>
          <w:sz w:val="24"/>
          <w:szCs w:val="24"/>
        </w:rPr>
        <w:t xml:space="preserve">Congress wrote the 1996 Telecommunication Act, it </w:t>
      </w:r>
      <w:r w:rsidRPr="00874ABF">
        <w:rPr>
          <w:rFonts w:ascii="Times New Roman" w:hAnsi="Times New Roman" w:cs="Times New Roman"/>
          <w:sz w:val="24"/>
          <w:szCs w:val="24"/>
        </w:rPr>
        <w:t xml:space="preserve">explicitly </w:t>
      </w:r>
      <w:r w:rsidR="008D1C05" w:rsidRPr="00874ABF">
        <w:rPr>
          <w:rFonts w:ascii="Times New Roman" w:hAnsi="Times New Roman" w:cs="Times New Roman"/>
          <w:sz w:val="24"/>
          <w:szCs w:val="24"/>
        </w:rPr>
        <w:t>identified CHCs as</w:t>
      </w:r>
      <w:r w:rsidRPr="00874ABF">
        <w:rPr>
          <w:rFonts w:ascii="Times New Roman" w:hAnsi="Times New Roman" w:cs="Times New Roman"/>
          <w:sz w:val="24"/>
          <w:szCs w:val="24"/>
        </w:rPr>
        <w:t xml:space="preserve"> </w:t>
      </w:r>
      <w:r w:rsidR="00551AD0" w:rsidRPr="00874ABF">
        <w:rPr>
          <w:rFonts w:ascii="Times New Roman" w:hAnsi="Times New Roman" w:cs="Times New Roman"/>
          <w:sz w:val="24"/>
          <w:szCs w:val="24"/>
        </w:rPr>
        <w:t>eligible for the RHCP.</w:t>
      </w:r>
    </w:p>
    <w:p w:rsidR="00623220" w:rsidRPr="00874ABF" w:rsidRDefault="00623220" w:rsidP="008F798B">
      <w:pPr>
        <w:spacing w:after="0" w:line="480" w:lineRule="auto"/>
        <w:rPr>
          <w:rFonts w:ascii="Times New Roman" w:hAnsi="Times New Roman" w:cs="Times New Roman"/>
          <w:sz w:val="24"/>
          <w:szCs w:val="24"/>
        </w:rPr>
      </w:pPr>
    </w:p>
    <w:p w:rsidR="00623220" w:rsidRPr="00874ABF" w:rsidRDefault="00623220" w:rsidP="0091071C">
      <w:pPr>
        <w:pStyle w:val="Heading2"/>
      </w:pPr>
      <w:bookmarkStart w:id="2" w:name="_Toc505249650"/>
      <w:r w:rsidRPr="00874ABF">
        <w:t>Congress clearly intended rural CHC</w:t>
      </w:r>
      <w:r w:rsidR="004419B5">
        <w:t>s</w:t>
      </w:r>
      <w:r w:rsidRPr="00874ABF">
        <w:t xml:space="preserve"> to benefit from the RHCP</w:t>
      </w:r>
      <w:bookmarkEnd w:id="2"/>
    </w:p>
    <w:p w:rsidR="00865E85" w:rsidRPr="00874ABF" w:rsidRDefault="00623220" w:rsidP="002625A1">
      <w:pPr>
        <w:spacing w:after="0" w:line="480" w:lineRule="auto"/>
        <w:ind w:firstLine="360"/>
        <w:rPr>
          <w:rFonts w:ascii="Times New Roman" w:eastAsia="Times New Roman" w:hAnsi="Times New Roman" w:cs="Times New Roman"/>
          <w:sz w:val="24"/>
          <w:szCs w:val="24"/>
        </w:rPr>
      </w:pPr>
      <w:r w:rsidRPr="00874ABF">
        <w:rPr>
          <w:rFonts w:ascii="Times New Roman" w:hAnsi="Times New Roman" w:cs="Times New Roman"/>
          <w:sz w:val="24"/>
          <w:szCs w:val="24"/>
        </w:rPr>
        <w:t xml:space="preserve">In </w:t>
      </w:r>
      <w:r w:rsidR="00C530B3" w:rsidRPr="00874ABF">
        <w:rPr>
          <w:rFonts w:ascii="Times New Roman" w:hAnsi="Times New Roman" w:cs="Times New Roman"/>
          <w:sz w:val="24"/>
          <w:szCs w:val="24"/>
        </w:rPr>
        <w:t xml:space="preserve">drafting </w:t>
      </w:r>
      <w:r w:rsidRPr="00874ABF">
        <w:rPr>
          <w:rFonts w:ascii="Times New Roman" w:hAnsi="Times New Roman" w:cs="Times New Roman"/>
          <w:sz w:val="24"/>
          <w:szCs w:val="24"/>
        </w:rPr>
        <w:t>Section 254(h</w:t>
      </w:r>
      <w:r w:rsidR="00865E85" w:rsidRPr="00874ABF">
        <w:rPr>
          <w:rFonts w:ascii="Times New Roman" w:hAnsi="Times New Roman" w:cs="Times New Roman"/>
          <w:sz w:val="24"/>
          <w:szCs w:val="24"/>
        </w:rPr>
        <w:t>)</w:t>
      </w:r>
      <w:r w:rsidR="00C530B3" w:rsidRPr="00874ABF">
        <w:rPr>
          <w:rFonts w:ascii="Times New Roman" w:hAnsi="Times New Roman" w:cs="Times New Roman"/>
          <w:sz w:val="24"/>
          <w:szCs w:val="24"/>
        </w:rPr>
        <w:t xml:space="preserve"> of the Telecommunications Act</w:t>
      </w:r>
      <w:r w:rsidR="00865E85" w:rsidRPr="00874ABF">
        <w:rPr>
          <w:rFonts w:ascii="Times New Roman" w:hAnsi="Times New Roman" w:cs="Times New Roman"/>
          <w:sz w:val="24"/>
          <w:szCs w:val="24"/>
        </w:rPr>
        <w:t xml:space="preserve">, Congress </w:t>
      </w:r>
      <w:r w:rsidR="00C530B3" w:rsidRPr="00874ABF">
        <w:rPr>
          <w:rFonts w:ascii="Times New Roman" w:hAnsi="Times New Roman" w:cs="Times New Roman"/>
          <w:sz w:val="24"/>
          <w:szCs w:val="24"/>
        </w:rPr>
        <w:t>wa</w:t>
      </w:r>
      <w:r w:rsidR="00551AD0" w:rsidRPr="00874ABF">
        <w:rPr>
          <w:rFonts w:ascii="Times New Roman" w:hAnsi="Times New Roman" w:cs="Times New Roman"/>
          <w:sz w:val="24"/>
          <w:szCs w:val="24"/>
        </w:rPr>
        <w:t xml:space="preserve">s very specific about what providers are eligible for RHCP funding.  First, </w:t>
      </w:r>
      <w:r w:rsidR="00865E85" w:rsidRPr="00874ABF">
        <w:rPr>
          <w:rFonts w:ascii="Times New Roman" w:hAnsi="Times New Roman" w:cs="Times New Roman"/>
          <w:sz w:val="24"/>
          <w:szCs w:val="24"/>
        </w:rPr>
        <w:t xml:space="preserve">subsection (1)(A) </w:t>
      </w:r>
      <w:r w:rsidR="00551AD0" w:rsidRPr="00874ABF">
        <w:rPr>
          <w:rFonts w:ascii="Times New Roman" w:hAnsi="Times New Roman" w:cs="Times New Roman"/>
          <w:sz w:val="24"/>
          <w:szCs w:val="24"/>
        </w:rPr>
        <w:t>states that in order to be eligible, a health care provider</w:t>
      </w:r>
      <w:r w:rsidR="001C343B" w:rsidRPr="00874ABF">
        <w:rPr>
          <w:rFonts w:ascii="Times New Roman" w:eastAsia="Times New Roman" w:hAnsi="Times New Roman" w:cs="Times New Roman"/>
          <w:sz w:val="24"/>
          <w:szCs w:val="24"/>
        </w:rPr>
        <w:t xml:space="preserve"> must be</w:t>
      </w:r>
      <w:r w:rsidR="00865E85" w:rsidRPr="00874ABF">
        <w:rPr>
          <w:rFonts w:ascii="Times New Roman" w:eastAsia="Times New Roman" w:hAnsi="Times New Roman" w:cs="Times New Roman"/>
          <w:sz w:val="24"/>
          <w:szCs w:val="24"/>
        </w:rPr>
        <w:t>:</w:t>
      </w:r>
    </w:p>
    <w:p w:rsidR="00865E85" w:rsidRPr="00874ABF" w:rsidRDefault="00551AD0" w:rsidP="008F798B">
      <w:pPr>
        <w:pStyle w:val="ListParagraph"/>
        <w:numPr>
          <w:ilvl w:val="0"/>
          <w:numId w:val="18"/>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 xml:space="preserve">either </w:t>
      </w:r>
      <w:r w:rsidR="00865E85" w:rsidRPr="00874ABF">
        <w:rPr>
          <w:rFonts w:ascii="Times New Roman" w:eastAsia="Times New Roman" w:hAnsi="Times New Roman" w:cs="Times New Roman"/>
          <w:sz w:val="24"/>
          <w:szCs w:val="24"/>
        </w:rPr>
        <w:t>public or nonprofit, AND</w:t>
      </w:r>
    </w:p>
    <w:p w:rsidR="00865E85" w:rsidRPr="00874ABF" w:rsidRDefault="00865E85" w:rsidP="008F798B">
      <w:pPr>
        <w:pStyle w:val="ListParagraph"/>
        <w:numPr>
          <w:ilvl w:val="0"/>
          <w:numId w:val="18"/>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b/>
          <w:i/>
          <w:sz w:val="24"/>
          <w:szCs w:val="24"/>
        </w:rPr>
        <w:t>serve</w:t>
      </w:r>
      <w:r w:rsidRPr="00874ABF">
        <w:rPr>
          <w:rFonts w:ascii="Times New Roman" w:eastAsia="Times New Roman" w:hAnsi="Times New Roman" w:cs="Times New Roman"/>
          <w:sz w:val="24"/>
          <w:szCs w:val="24"/>
        </w:rPr>
        <w:t xml:space="preserve"> persons who reside in rural area.  </w:t>
      </w:r>
      <w:r w:rsidR="00623220" w:rsidRPr="00874ABF">
        <w:rPr>
          <w:rFonts w:ascii="Times New Roman" w:eastAsia="Times New Roman" w:hAnsi="Times New Roman" w:cs="Times New Roman"/>
          <w:sz w:val="24"/>
          <w:szCs w:val="24"/>
        </w:rPr>
        <w:t>(</w:t>
      </w:r>
      <w:r w:rsidR="00623220" w:rsidRPr="00874ABF">
        <w:rPr>
          <w:rFonts w:ascii="Times New Roman" w:hAnsi="Times New Roman" w:cs="Times New Roman"/>
          <w:sz w:val="24"/>
          <w:szCs w:val="24"/>
        </w:rPr>
        <w:t>In contrast, eligible “</w:t>
      </w:r>
      <w:r w:rsidRPr="00874ABF">
        <w:rPr>
          <w:rFonts w:ascii="Times New Roman" w:hAnsi="Times New Roman" w:cs="Times New Roman"/>
          <w:sz w:val="24"/>
          <w:szCs w:val="24"/>
        </w:rPr>
        <w:t>e</w:t>
      </w:r>
      <w:r w:rsidR="00623220" w:rsidRPr="00874ABF">
        <w:rPr>
          <w:rFonts w:ascii="Times New Roman" w:hAnsi="Times New Roman" w:cs="Times New Roman"/>
          <w:sz w:val="24"/>
          <w:szCs w:val="24"/>
        </w:rPr>
        <w:t xml:space="preserve">ducational providers and libraries” are </w:t>
      </w:r>
      <w:r w:rsidR="00623220" w:rsidRPr="00874ABF">
        <w:rPr>
          <w:rFonts w:ascii="Times New Roman" w:hAnsi="Times New Roman" w:cs="Times New Roman"/>
          <w:i/>
          <w:sz w:val="24"/>
          <w:szCs w:val="24"/>
        </w:rPr>
        <w:t>not</w:t>
      </w:r>
      <w:r w:rsidR="00623220" w:rsidRPr="00874ABF">
        <w:rPr>
          <w:rFonts w:ascii="Times New Roman" w:hAnsi="Times New Roman" w:cs="Times New Roman"/>
          <w:sz w:val="24"/>
          <w:szCs w:val="24"/>
        </w:rPr>
        <w:t xml:space="preserve"> limited to those located in, or serving, specific geographic areas.)  </w:t>
      </w:r>
    </w:p>
    <w:p w:rsidR="00623220" w:rsidRPr="00874ABF" w:rsidRDefault="00865E85" w:rsidP="002625A1">
      <w:pPr>
        <w:spacing w:after="0" w:line="480" w:lineRule="auto"/>
        <w:ind w:firstLine="360"/>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 xml:space="preserve">Congress further restricts eligibility by </w:t>
      </w:r>
      <w:r w:rsidR="00C530B3" w:rsidRPr="00874ABF">
        <w:rPr>
          <w:rFonts w:ascii="Times New Roman" w:eastAsia="Times New Roman" w:hAnsi="Times New Roman" w:cs="Times New Roman"/>
          <w:sz w:val="24"/>
          <w:szCs w:val="24"/>
        </w:rPr>
        <w:t xml:space="preserve">limiting eligible </w:t>
      </w:r>
      <w:r w:rsidR="00623220" w:rsidRPr="00874ABF">
        <w:rPr>
          <w:rFonts w:ascii="Times New Roman" w:eastAsia="Times New Roman" w:hAnsi="Times New Roman" w:cs="Times New Roman"/>
          <w:sz w:val="24"/>
          <w:szCs w:val="24"/>
        </w:rPr>
        <w:t>“health care provider</w:t>
      </w:r>
      <w:r w:rsidR="00C530B3" w:rsidRPr="00874ABF">
        <w:rPr>
          <w:rFonts w:ascii="Times New Roman" w:eastAsia="Times New Roman" w:hAnsi="Times New Roman" w:cs="Times New Roman"/>
          <w:sz w:val="24"/>
          <w:szCs w:val="24"/>
        </w:rPr>
        <w:t>(s)</w:t>
      </w:r>
      <w:r w:rsidR="00623220" w:rsidRPr="00874ABF">
        <w:rPr>
          <w:rFonts w:ascii="Times New Roman" w:eastAsia="Times New Roman" w:hAnsi="Times New Roman" w:cs="Times New Roman"/>
          <w:sz w:val="24"/>
          <w:szCs w:val="24"/>
        </w:rPr>
        <w:t>”</w:t>
      </w:r>
      <w:r w:rsidRPr="00874ABF">
        <w:rPr>
          <w:rFonts w:ascii="Times New Roman" w:eastAsia="Times New Roman" w:hAnsi="Times New Roman" w:cs="Times New Roman"/>
          <w:sz w:val="24"/>
          <w:szCs w:val="24"/>
        </w:rPr>
        <w:t xml:space="preserve"> </w:t>
      </w:r>
      <w:r w:rsidR="00C530B3" w:rsidRPr="00874ABF">
        <w:rPr>
          <w:rFonts w:ascii="Times New Roman" w:eastAsia="Times New Roman" w:hAnsi="Times New Roman" w:cs="Times New Roman"/>
          <w:sz w:val="24"/>
          <w:szCs w:val="24"/>
        </w:rPr>
        <w:t xml:space="preserve">to eight </w:t>
      </w:r>
      <w:r w:rsidRPr="00874ABF">
        <w:rPr>
          <w:rFonts w:ascii="Times New Roman" w:eastAsia="Times New Roman" w:hAnsi="Times New Roman" w:cs="Times New Roman"/>
          <w:sz w:val="24"/>
          <w:szCs w:val="24"/>
        </w:rPr>
        <w:t>types of providers (at least one of which – skilled nursing facilities --- was added in recent years.)  This list includes</w:t>
      </w:r>
      <w:r w:rsidR="00623220" w:rsidRPr="00874ABF">
        <w:rPr>
          <w:rFonts w:ascii="Times New Roman" w:eastAsia="Times New Roman" w:hAnsi="Times New Roman" w:cs="Times New Roman"/>
          <w:sz w:val="24"/>
          <w:szCs w:val="24"/>
        </w:rPr>
        <w:t>:</w:t>
      </w:r>
    </w:p>
    <w:p w:rsidR="00623220" w:rsidRPr="00874ABF" w:rsidRDefault="00623220" w:rsidP="008F798B">
      <w:pPr>
        <w:pStyle w:val="ListParagraph"/>
        <w:numPr>
          <w:ilvl w:val="0"/>
          <w:numId w:val="12"/>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 xml:space="preserve">community and migrant health centers </w:t>
      </w:r>
    </w:p>
    <w:p w:rsidR="00623220" w:rsidRPr="00874ABF" w:rsidRDefault="00623220" w:rsidP="008F798B">
      <w:pPr>
        <w:pStyle w:val="ListParagraph"/>
        <w:numPr>
          <w:ilvl w:val="0"/>
          <w:numId w:val="12"/>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not-for-profit hospitals</w:t>
      </w:r>
    </w:p>
    <w:p w:rsidR="00623220" w:rsidRPr="00874ABF" w:rsidRDefault="00623220" w:rsidP="008F798B">
      <w:pPr>
        <w:pStyle w:val="ListParagraph"/>
        <w:numPr>
          <w:ilvl w:val="0"/>
          <w:numId w:val="12"/>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 xml:space="preserve">rural health clinics </w:t>
      </w:r>
    </w:p>
    <w:p w:rsidR="00623220" w:rsidRPr="00874ABF" w:rsidRDefault="00623220" w:rsidP="008F798B">
      <w:pPr>
        <w:pStyle w:val="ListParagraph"/>
        <w:numPr>
          <w:ilvl w:val="0"/>
          <w:numId w:val="12"/>
        </w:numPr>
        <w:spacing w:after="0" w:line="480" w:lineRule="auto"/>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consortia of providers consisting of one or more entities listed earlier in the statute.</w:t>
      </w:r>
    </w:p>
    <w:p w:rsidR="00623220" w:rsidRDefault="001C343B" w:rsidP="002625A1">
      <w:pPr>
        <w:spacing w:after="0" w:line="480" w:lineRule="auto"/>
        <w:ind w:firstLine="420"/>
        <w:rPr>
          <w:rFonts w:ascii="Times New Roman" w:hAnsi="Times New Roman" w:cs="Times New Roman"/>
          <w:sz w:val="24"/>
          <w:szCs w:val="24"/>
        </w:rPr>
      </w:pPr>
      <w:r w:rsidRPr="00874ABF">
        <w:rPr>
          <w:rFonts w:ascii="Times New Roman" w:hAnsi="Times New Roman" w:cs="Times New Roman"/>
          <w:sz w:val="24"/>
          <w:szCs w:val="24"/>
        </w:rPr>
        <w:t xml:space="preserve">Thus, </w:t>
      </w:r>
      <w:r w:rsidR="004419B5">
        <w:rPr>
          <w:rFonts w:ascii="Times New Roman" w:hAnsi="Times New Roman" w:cs="Times New Roman"/>
          <w:sz w:val="24"/>
          <w:szCs w:val="24"/>
        </w:rPr>
        <w:t>when</w:t>
      </w:r>
      <w:r w:rsidRPr="00874ABF">
        <w:rPr>
          <w:rFonts w:ascii="Times New Roman" w:hAnsi="Times New Roman" w:cs="Times New Roman"/>
          <w:sz w:val="24"/>
          <w:szCs w:val="24"/>
        </w:rPr>
        <w:t xml:space="preserve"> </w:t>
      </w:r>
      <w:r w:rsidR="00551AD0" w:rsidRPr="00874ABF">
        <w:rPr>
          <w:rFonts w:ascii="Times New Roman" w:hAnsi="Times New Roman" w:cs="Times New Roman"/>
          <w:sz w:val="24"/>
          <w:szCs w:val="24"/>
        </w:rPr>
        <w:t xml:space="preserve">it wrote the </w:t>
      </w:r>
      <w:r w:rsidRPr="00874ABF">
        <w:rPr>
          <w:rFonts w:ascii="Times New Roman" w:hAnsi="Times New Roman" w:cs="Times New Roman"/>
          <w:sz w:val="24"/>
          <w:szCs w:val="24"/>
        </w:rPr>
        <w:t xml:space="preserve">1996 Telecommunications Act, Congress </w:t>
      </w:r>
      <w:r w:rsidR="004419B5">
        <w:rPr>
          <w:rFonts w:ascii="Times New Roman" w:hAnsi="Times New Roman" w:cs="Times New Roman"/>
          <w:sz w:val="24"/>
          <w:szCs w:val="24"/>
        </w:rPr>
        <w:t>was</w:t>
      </w:r>
      <w:r w:rsidRPr="00874ABF">
        <w:rPr>
          <w:rFonts w:ascii="Times New Roman" w:hAnsi="Times New Roman" w:cs="Times New Roman"/>
          <w:sz w:val="24"/>
          <w:szCs w:val="24"/>
        </w:rPr>
        <w:t xml:space="preserve"> clear that CHCs that serve rural patients are intended to benefit from the </w:t>
      </w:r>
      <w:r w:rsidR="00551AD0" w:rsidRPr="00874ABF">
        <w:rPr>
          <w:rFonts w:ascii="Times New Roman" w:hAnsi="Times New Roman" w:cs="Times New Roman"/>
          <w:sz w:val="24"/>
          <w:szCs w:val="24"/>
        </w:rPr>
        <w:t>RHCP</w:t>
      </w:r>
      <w:r w:rsidRPr="00874ABF">
        <w:rPr>
          <w:rFonts w:ascii="Times New Roman" w:hAnsi="Times New Roman" w:cs="Times New Roman"/>
          <w:sz w:val="24"/>
          <w:szCs w:val="24"/>
        </w:rPr>
        <w:t xml:space="preserve">.  </w:t>
      </w:r>
    </w:p>
    <w:p w:rsidR="004F58B8" w:rsidRPr="00874ABF" w:rsidRDefault="004F58B8" w:rsidP="004F58B8">
      <w:pPr>
        <w:pStyle w:val="Heading2"/>
      </w:pPr>
    </w:p>
    <w:p w:rsidR="00ED61F7" w:rsidRPr="004E28A6" w:rsidRDefault="004F58B8" w:rsidP="004E28A6">
      <w:pPr>
        <w:pStyle w:val="Heading2"/>
      </w:pPr>
      <w:bookmarkStart w:id="3" w:name="_Toc505249651"/>
      <w:r>
        <w:t xml:space="preserve">General concerns re: Urban Rural Consortia:  </w:t>
      </w:r>
      <w:r w:rsidR="00ED61F7" w:rsidRPr="004E28A6">
        <w:t>Well-intentioned efforts to encourage rural-urban consortia have often not achieved the intended benefits.  At the same time, they have resulted in increased administrative burdens, and diverted RHCP funds from CHCs (and other eligible providers) to providers whose eligibility is inconsistent with a plain reading of the statute.</w:t>
      </w:r>
      <w:bookmarkEnd w:id="3"/>
      <w:r w:rsidR="00ED61F7" w:rsidRPr="004E28A6">
        <w:t xml:space="preserve"> </w:t>
      </w:r>
    </w:p>
    <w:p w:rsidR="004C6F4C" w:rsidRPr="00874ABF" w:rsidRDefault="004C6F4C" w:rsidP="004F58B8">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NACHC recognizes that the RHCP’s recent efforts to encourage urban-rural consortia were well-intentioned, as they were expected to “confer benefits upon affiliated rural healthcare providers, including lower broadband costs, access to medical specialists, administrative support, and technical expertise.”</w:t>
      </w:r>
    </w:p>
    <w:p w:rsidR="004C6F4C" w:rsidRPr="00874ABF" w:rsidRDefault="004C6F4C" w:rsidP="002625A1">
      <w:pPr>
        <w:pStyle w:val="NoSpacing"/>
        <w:spacing w:line="480" w:lineRule="auto"/>
        <w:ind w:firstLine="710"/>
        <w:rPr>
          <w:rFonts w:ascii="Times New Roman" w:hAnsi="Times New Roman" w:cs="Times New Roman"/>
          <w:sz w:val="24"/>
          <w:szCs w:val="24"/>
        </w:rPr>
      </w:pPr>
      <w:r w:rsidRPr="00874ABF">
        <w:rPr>
          <w:rFonts w:ascii="Times New Roman" w:hAnsi="Times New Roman" w:cs="Times New Roman"/>
          <w:sz w:val="24"/>
          <w:szCs w:val="24"/>
        </w:rPr>
        <w:t>In reality, however, many consortia have often failed to produce the intended benefits.  In</w:t>
      </w:r>
      <w:r w:rsidR="00C530B3" w:rsidRPr="00874ABF">
        <w:rPr>
          <w:rFonts w:ascii="Times New Roman" w:hAnsi="Times New Roman" w:cs="Times New Roman"/>
          <w:sz w:val="24"/>
          <w:szCs w:val="24"/>
        </w:rPr>
        <w:t>stead</w:t>
      </w:r>
      <w:r w:rsidRPr="00874ABF">
        <w:rPr>
          <w:rFonts w:ascii="Times New Roman" w:hAnsi="Times New Roman" w:cs="Times New Roman"/>
          <w:sz w:val="24"/>
          <w:szCs w:val="24"/>
        </w:rPr>
        <w:t xml:space="preserve">, their impact has often been the opposite of what was intended – namely, increased administrative hassles and reduced financial support for CHCs and other </w:t>
      </w:r>
      <w:r w:rsidR="00C530B3" w:rsidRPr="00874ABF">
        <w:rPr>
          <w:rFonts w:ascii="Times New Roman" w:hAnsi="Times New Roman" w:cs="Times New Roman"/>
          <w:sz w:val="24"/>
          <w:szCs w:val="24"/>
        </w:rPr>
        <w:t xml:space="preserve">nonprofit </w:t>
      </w:r>
      <w:r w:rsidRPr="00874ABF">
        <w:rPr>
          <w:rFonts w:ascii="Times New Roman" w:hAnsi="Times New Roman" w:cs="Times New Roman"/>
          <w:sz w:val="24"/>
          <w:szCs w:val="24"/>
        </w:rPr>
        <w:t>providers who</w:t>
      </w:r>
      <w:r w:rsidR="00C530B3" w:rsidRPr="00874ABF">
        <w:rPr>
          <w:rFonts w:ascii="Times New Roman" w:hAnsi="Times New Roman" w:cs="Times New Roman"/>
          <w:sz w:val="24"/>
          <w:szCs w:val="24"/>
        </w:rPr>
        <w:t xml:space="preserve"> actually serve rural residents.  </w:t>
      </w:r>
      <w:r w:rsidRPr="00874ABF">
        <w:rPr>
          <w:rFonts w:ascii="Times New Roman" w:hAnsi="Times New Roman" w:cs="Times New Roman"/>
          <w:sz w:val="24"/>
          <w:szCs w:val="24"/>
        </w:rPr>
        <w:t xml:space="preserve">  </w:t>
      </w:r>
    </w:p>
    <w:p w:rsidR="00B64013" w:rsidRPr="00874ABF" w:rsidRDefault="004C6F4C" w:rsidP="002625A1">
      <w:pPr>
        <w:pStyle w:val="NoSpacing"/>
        <w:spacing w:line="480" w:lineRule="auto"/>
        <w:ind w:firstLine="350"/>
        <w:rPr>
          <w:rFonts w:ascii="Times New Roman" w:hAnsi="Times New Roman" w:cs="Times New Roman"/>
          <w:sz w:val="24"/>
          <w:szCs w:val="24"/>
        </w:rPr>
      </w:pPr>
      <w:r w:rsidRPr="00874ABF">
        <w:rPr>
          <w:rFonts w:ascii="Times New Roman" w:hAnsi="Times New Roman" w:cs="Times New Roman"/>
          <w:sz w:val="24"/>
          <w:szCs w:val="24"/>
        </w:rPr>
        <w:t xml:space="preserve">Specifically, NACHC is concerned about recent decisions to expand RHCP eligibility to the following types of providers, via the “consortia” approach:  </w:t>
      </w:r>
    </w:p>
    <w:p w:rsidR="00B64013" w:rsidRPr="00874ABF" w:rsidRDefault="00B64013" w:rsidP="008F798B">
      <w:pPr>
        <w:pStyle w:val="NoSpacing"/>
        <w:numPr>
          <w:ilvl w:val="0"/>
          <w:numId w:val="8"/>
        </w:numPr>
        <w:spacing w:line="480" w:lineRule="auto"/>
        <w:rPr>
          <w:rFonts w:ascii="Times New Roman" w:hAnsi="Times New Roman" w:cs="Times New Roman"/>
          <w:sz w:val="24"/>
          <w:szCs w:val="24"/>
        </w:rPr>
      </w:pPr>
      <w:r w:rsidRPr="00874ABF">
        <w:rPr>
          <w:rFonts w:ascii="Times New Roman" w:hAnsi="Times New Roman" w:cs="Times New Roman"/>
          <w:b/>
          <w:i/>
          <w:sz w:val="24"/>
          <w:szCs w:val="24"/>
        </w:rPr>
        <w:t>Providers who exclusively serve patients living in urban area</w:t>
      </w:r>
      <w:r w:rsidR="00CC39F8" w:rsidRPr="00874ABF">
        <w:rPr>
          <w:rFonts w:ascii="Times New Roman" w:hAnsi="Times New Roman" w:cs="Times New Roman"/>
          <w:b/>
          <w:i/>
          <w:sz w:val="24"/>
          <w:szCs w:val="24"/>
        </w:rPr>
        <w:t>s</w:t>
      </w:r>
      <w:r w:rsidRPr="00874ABF">
        <w:rPr>
          <w:rFonts w:ascii="Times New Roman" w:hAnsi="Times New Roman" w:cs="Times New Roman"/>
          <w:b/>
          <w:i/>
          <w:sz w:val="24"/>
          <w:szCs w:val="24"/>
        </w:rPr>
        <w:t xml:space="preserve">:  </w:t>
      </w:r>
      <w:r w:rsidRPr="00874ABF">
        <w:rPr>
          <w:rFonts w:ascii="Times New Roman" w:hAnsi="Times New Roman" w:cs="Times New Roman"/>
          <w:sz w:val="24"/>
          <w:szCs w:val="24"/>
        </w:rPr>
        <w:t xml:space="preserve">While the statute explicitly restricts eligibility to providers who “serve persons in rural areas”, the FCC has allowed urban providers to receive RHCP funding as long as they are in a consortia with rural providers – even if those urban providers serve </w:t>
      </w:r>
      <w:r w:rsidRPr="00874ABF">
        <w:rPr>
          <w:rFonts w:ascii="Times New Roman" w:hAnsi="Times New Roman" w:cs="Times New Roman"/>
          <w:sz w:val="24"/>
          <w:szCs w:val="24"/>
          <w:u w:val="single"/>
        </w:rPr>
        <w:t>only</w:t>
      </w:r>
      <w:r w:rsidRPr="00874ABF">
        <w:rPr>
          <w:rFonts w:ascii="Times New Roman" w:hAnsi="Times New Roman" w:cs="Times New Roman"/>
          <w:sz w:val="24"/>
          <w:szCs w:val="24"/>
        </w:rPr>
        <w:t xml:space="preserve"> urban patients.  Not only is th</w:t>
      </w:r>
      <w:r w:rsidR="00942BF7">
        <w:rPr>
          <w:rFonts w:ascii="Times New Roman" w:hAnsi="Times New Roman" w:cs="Times New Roman"/>
          <w:sz w:val="24"/>
          <w:szCs w:val="24"/>
        </w:rPr>
        <w:t>is inconsistent with the statutory intent</w:t>
      </w:r>
      <w:r w:rsidRPr="00874ABF">
        <w:rPr>
          <w:rFonts w:ascii="Times New Roman" w:hAnsi="Times New Roman" w:cs="Times New Roman"/>
          <w:sz w:val="24"/>
          <w:szCs w:val="24"/>
        </w:rPr>
        <w:t xml:space="preserve">, but also:   </w:t>
      </w:r>
    </w:p>
    <w:p w:rsidR="00B64013" w:rsidRPr="00874ABF" w:rsidRDefault="00B64013" w:rsidP="008F798B">
      <w:pPr>
        <w:pStyle w:val="NoSpacing"/>
        <w:numPr>
          <w:ilvl w:val="1"/>
          <w:numId w:val="8"/>
        </w:numPr>
        <w:spacing w:line="480" w:lineRule="auto"/>
        <w:rPr>
          <w:rFonts w:ascii="Times New Roman" w:hAnsi="Times New Roman" w:cs="Times New Roman"/>
          <w:sz w:val="24"/>
          <w:szCs w:val="24"/>
        </w:rPr>
      </w:pPr>
      <w:r w:rsidRPr="00874ABF">
        <w:rPr>
          <w:rFonts w:ascii="Times New Roman" w:hAnsi="Times New Roman" w:cs="Times New Roman"/>
          <w:sz w:val="24"/>
          <w:szCs w:val="24"/>
        </w:rPr>
        <w:lastRenderedPageBreak/>
        <w:t xml:space="preserve">depending on the relative size and of the various consortia members, exclusively-urban members of a consortia can funding that is far larger than the amounts received by their rural partners.  </w:t>
      </w:r>
    </w:p>
    <w:p w:rsidR="00B64013" w:rsidRPr="00874ABF" w:rsidRDefault="00B64013" w:rsidP="008F798B">
      <w:pPr>
        <w:pStyle w:val="NoSpacing"/>
        <w:numPr>
          <w:ilvl w:val="1"/>
          <w:numId w:val="8"/>
        </w:numPr>
        <w:spacing w:line="480" w:lineRule="auto"/>
        <w:rPr>
          <w:rFonts w:ascii="Times New Roman" w:hAnsi="Times New Roman" w:cs="Times New Roman"/>
          <w:sz w:val="24"/>
          <w:szCs w:val="24"/>
        </w:rPr>
      </w:pPr>
      <w:r w:rsidRPr="00874ABF">
        <w:rPr>
          <w:rFonts w:ascii="Times New Roman" w:hAnsi="Times New Roman" w:cs="Times New Roman"/>
          <w:sz w:val="24"/>
          <w:szCs w:val="24"/>
        </w:rPr>
        <w:t xml:space="preserve">there is no limit on the amount of funding that urban hospitals (in eligible consortia) with fewer than 400 beds can receive from the program.  </w:t>
      </w:r>
    </w:p>
    <w:p w:rsidR="00D21207" w:rsidRPr="00874ABF" w:rsidRDefault="00B64013" w:rsidP="008F798B">
      <w:pPr>
        <w:pStyle w:val="NoSpacing"/>
        <w:numPr>
          <w:ilvl w:val="0"/>
          <w:numId w:val="8"/>
        </w:numPr>
        <w:spacing w:line="480" w:lineRule="auto"/>
        <w:rPr>
          <w:rFonts w:ascii="Times New Roman" w:hAnsi="Times New Roman" w:cs="Times New Roman"/>
          <w:sz w:val="24"/>
          <w:szCs w:val="24"/>
        </w:rPr>
      </w:pPr>
      <w:r w:rsidRPr="00874ABF">
        <w:rPr>
          <w:rFonts w:ascii="Times New Roman" w:hAnsi="Times New Roman" w:cs="Times New Roman"/>
          <w:b/>
          <w:i/>
          <w:sz w:val="24"/>
          <w:szCs w:val="24"/>
        </w:rPr>
        <w:t xml:space="preserve">For-profit providers: </w:t>
      </w:r>
      <w:r w:rsidRPr="00874ABF">
        <w:rPr>
          <w:rFonts w:ascii="Times New Roman" w:hAnsi="Times New Roman" w:cs="Times New Roman"/>
          <w:sz w:val="24"/>
          <w:szCs w:val="24"/>
        </w:rPr>
        <w:t xml:space="preserve"> The FCC has permitted emergency departments of for-profit hospitals to be eligible for </w:t>
      </w:r>
      <w:r w:rsidR="00942BF7">
        <w:rPr>
          <w:rFonts w:ascii="Times New Roman" w:hAnsi="Times New Roman" w:cs="Times New Roman"/>
          <w:sz w:val="24"/>
          <w:szCs w:val="24"/>
        </w:rPr>
        <w:t>R</w:t>
      </w:r>
      <w:r w:rsidRPr="00874ABF">
        <w:rPr>
          <w:rFonts w:ascii="Times New Roman" w:hAnsi="Times New Roman" w:cs="Times New Roman"/>
          <w:sz w:val="24"/>
          <w:szCs w:val="24"/>
        </w:rPr>
        <w:t>HCP funding</w:t>
      </w:r>
      <w:r w:rsidR="00F83DC5" w:rsidRPr="00874ABF">
        <w:rPr>
          <w:rFonts w:ascii="Times New Roman" w:hAnsi="Times New Roman" w:cs="Times New Roman"/>
          <w:sz w:val="24"/>
          <w:szCs w:val="24"/>
        </w:rPr>
        <w:t xml:space="preserve"> -- </w:t>
      </w:r>
      <w:r w:rsidRPr="00874ABF">
        <w:rPr>
          <w:rFonts w:ascii="Times New Roman" w:hAnsi="Times New Roman" w:cs="Times New Roman"/>
          <w:sz w:val="24"/>
          <w:szCs w:val="24"/>
        </w:rPr>
        <w:t xml:space="preserve">despite statutory language restricting eligibility to “public and non-profit” </w:t>
      </w:r>
      <w:r w:rsidR="00942BF7">
        <w:rPr>
          <w:rFonts w:ascii="Times New Roman" w:hAnsi="Times New Roman" w:cs="Times New Roman"/>
          <w:sz w:val="24"/>
          <w:szCs w:val="24"/>
        </w:rPr>
        <w:t>health care providers</w:t>
      </w:r>
      <w:r w:rsidRPr="00874ABF">
        <w:rPr>
          <w:rFonts w:ascii="Times New Roman" w:hAnsi="Times New Roman" w:cs="Times New Roman"/>
          <w:sz w:val="24"/>
          <w:szCs w:val="24"/>
        </w:rPr>
        <w:t>.</w:t>
      </w:r>
    </w:p>
    <w:p w:rsidR="007C7397" w:rsidRPr="00874ABF" w:rsidRDefault="007C7397" w:rsidP="002625A1">
      <w:pPr>
        <w:spacing w:after="0" w:line="480" w:lineRule="auto"/>
        <w:ind w:firstLine="360"/>
        <w:rPr>
          <w:rFonts w:ascii="Times New Roman" w:hAnsi="Times New Roman" w:cs="Times New Roman"/>
          <w:b/>
          <w:i/>
          <w:sz w:val="24"/>
          <w:szCs w:val="24"/>
        </w:rPr>
      </w:pPr>
      <w:r w:rsidRPr="00874ABF">
        <w:rPr>
          <w:rFonts w:ascii="Times New Roman" w:hAnsi="Times New Roman" w:cs="Times New Roman"/>
          <w:sz w:val="24"/>
          <w:szCs w:val="24"/>
        </w:rPr>
        <w:t>Clearly, t</w:t>
      </w:r>
      <w:r w:rsidR="00B64013" w:rsidRPr="00874ABF">
        <w:rPr>
          <w:rFonts w:ascii="Times New Roman" w:hAnsi="Times New Roman" w:cs="Times New Roman"/>
          <w:sz w:val="24"/>
          <w:szCs w:val="24"/>
        </w:rPr>
        <w:t xml:space="preserve">hese expansions </w:t>
      </w:r>
      <w:r w:rsidRPr="00874ABF">
        <w:rPr>
          <w:rFonts w:ascii="Times New Roman" w:hAnsi="Times New Roman" w:cs="Times New Roman"/>
          <w:sz w:val="24"/>
          <w:szCs w:val="24"/>
        </w:rPr>
        <w:t xml:space="preserve">are one of the reasons that the $400 million funding cap was exceeded starting in FY16-17.  </w:t>
      </w:r>
      <w:bookmarkStart w:id="4" w:name="_GoBack"/>
      <w:r w:rsidRPr="00874ABF">
        <w:rPr>
          <w:rFonts w:ascii="Times New Roman" w:hAnsi="Times New Roman" w:cs="Times New Roman"/>
          <w:sz w:val="24"/>
          <w:szCs w:val="24"/>
        </w:rPr>
        <w:t xml:space="preserve">As you know, the FCC’s response to exceeding the cap was to treat all applications received after a certain date the same way – by  imposing an across-the-board reduction.  </w:t>
      </w:r>
      <w:bookmarkEnd w:id="4"/>
      <w:r w:rsidRPr="00874ABF">
        <w:rPr>
          <w:rFonts w:ascii="Times New Roman" w:hAnsi="Times New Roman" w:cs="Times New Roman"/>
          <w:b/>
          <w:i/>
          <w:sz w:val="24"/>
          <w:szCs w:val="24"/>
        </w:rPr>
        <w:t xml:space="preserve">This </w:t>
      </w:r>
      <w:r w:rsidR="004C6F4C" w:rsidRPr="00874ABF">
        <w:rPr>
          <w:rFonts w:ascii="Times New Roman" w:hAnsi="Times New Roman" w:cs="Times New Roman"/>
          <w:b/>
          <w:i/>
          <w:sz w:val="24"/>
          <w:szCs w:val="24"/>
        </w:rPr>
        <w:t xml:space="preserve">across-the-board </w:t>
      </w:r>
      <w:r w:rsidRPr="00874ABF">
        <w:rPr>
          <w:rFonts w:ascii="Times New Roman" w:hAnsi="Times New Roman" w:cs="Times New Roman"/>
          <w:b/>
          <w:i/>
          <w:sz w:val="24"/>
          <w:szCs w:val="24"/>
        </w:rPr>
        <w:t xml:space="preserve">proration policy is unfair to CHCs and other health care providers who are eligible for RHCP based on a plain reading of the statute, as it implies that their requests are of equal merit to those received from providers whose eligibility is questionable </w:t>
      </w:r>
      <w:r w:rsidR="00C530B3" w:rsidRPr="00874ABF">
        <w:rPr>
          <w:rFonts w:ascii="Times New Roman" w:hAnsi="Times New Roman" w:cs="Times New Roman"/>
          <w:b/>
          <w:i/>
          <w:sz w:val="24"/>
          <w:szCs w:val="24"/>
        </w:rPr>
        <w:t>and who seek a disproportionate share of total RHCP funding</w:t>
      </w:r>
      <w:r w:rsidRPr="00874ABF">
        <w:rPr>
          <w:rFonts w:ascii="Times New Roman" w:hAnsi="Times New Roman" w:cs="Times New Roman"/>
          <w:b/>
          <w:i/>
          <w:sz w:val="24"/>
          <w:szCs w:val="24"/>
        </w:rPr>
        <w:t xml:space="preserve">.  </w:t>
      </w:r>
    </w:p>
    <w:p w:rsidR="002625A1" w:rsidRDefault="008A5ECA"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 xml:space="preserve">Also, the addition of these new providers has significantly complicated the application and other administrative aspects of participating in the RHCP – again, discouraging the small safety-net providers whom Congress clearly intended the program to benefit.  </w:t>
      </w:r>
    </w:p>
    <w:p w:rsidR="00694D87" w:rsidRPr="00874ABF" w:rsidRDefault="00636CC8"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 xml:space="preserve">With this background, </w:t>
      </w:r>
      <w:r w:rsidR="007C7397" w:rsidRPr="00874ABF">
        <w:rPr>
          <w:rFonts w:ascii="Times New Roman" w:hAnsi="Times New Roman" w:cs="Times New Roman"/>
          <w:sz w:val="24"/>
          <w:szCs w:val="24"/>
        </w:rPr>
        <w:t xml:space="preserve">NACHC </w:t>
      </w:r>
      <w:r w:rsidRPr="00874ABF">
        <w:rPr>
          <w:rFonts w:ascii="Times New Roman" w:hAnsi="Times New Roman" w:cs="Times New Roman"/>
          <w:sz w:val="24"/>
          <w:szCs w:val="24"/>
        </w:rPr>
        <w:t>offer</w:t>
      </w:r>
      <w:r w:rsidR="007C7397" w:rsidRPr="00874ABF">
        <w:rPr>
          <w:rFonts w:ascii="Times New Roman" w:hAnsi="Times New Roman" w:cs="Times New Roman"/>
          <w:sz w:val="24"/>
          <w:szCs w:val="24"/>
        </w:rPr>
        <w:t>s</w:t>
      </w:r>
      <w:r w:rsidRPr="00874ABF">
        <w:rPr>
          <w:rFonts w:ascii="Times New Roman" w:hAnsi="Times New Roman" w:cs="Times New Roman"/>
          <w:sz w:val="24"/>
          <w:szCs w:val="24"/>
        </w:rPr>
        <w:t xml:space="preserve"> the following comments on specific paragraphs in the NPRM.  </w:t>
      </w:r>
    </w:p>
    <w:p w:rsidR="004B3C82" w:rsidRPr="00874ABF" w:rsidRDefault="004B3C82" w:rsidP="008F798B">
      <w:pPr>
        <w:spacing w:after="0" w:line="480" w:lineRule="auto"/>
        <w:rPr>
          <w:rFonts w:ascii="Times New Roman" w:hAnsi="Times New Roman" w:cs="Times New Roman"/>
          <w:b/>
          <w:sz w:val="24"/>
          <w:szCs w:val="24"/>
          <w:u w:val="single"/>
        </w:rPr>
      </w:pPr>
    </w:p>
    <w:p w:rsidR="00D6267F" w:rsidRPr="002625A1" w:rsidRDefault="00D6267F" w:rsidP="0091071C">
      <w:pPr>
        <w:pStyle w:val="Heading1"/>
      </w:pPr>
      <w:bookmarkStart w:id="5" w:name="_Toc505249652"/>
      <w:r w:rsidRPr="002625A1">
        <w:lastRenderedPageBreak/>
        <w:t>Section A.</w:t>
      </w:r>
      <w:r w:rsidRPr="002625A1">
        <w:rPr>
          <w:rFonts w:eastAsia="Arial"/>
        </w:rPr>
        <w:t xml:space="preserve">  </w:t>
      </w:r>
      <w:r w:rsidRPr="002625A1">
        <w:t>Addressing RHC Program Funding Levels</w:t>
      </w:r>
      <w:bookmarkEnd w:id="5"/>
    </w:p>
    <w:p w:rsidR="004B3C82" w:rsidRPr="004E28A6" w:rsidRDefault="000D4593" w:rsidP="0091071C">
      <w:pPr>
        <w:pStyle w:val="Heading2"/>
        <w:rPr>
          <w:rStyle w:val="Heading3Char"/>
          <w:b/>
        </w:rPr>
      </w:pPr>
      <w:bookmarkStart w:id="6" w:name="_Toc505249653"/>
      <w:r w:rsidRPr="00874ABF">
        <w:rPr>
          <w:u w:val="single"/>
        </w:rPr>
        <w:t>Paragraph 15:</w:t>
      </w:r>
      <w:r w:rsidRPr="00874ABF">
        <w:t xml:space="preserve">  </w:t>
      </w:r>
      <w:r w:rsidR="00904BC9" w:rsidRPr="004E28A6">
        <w:rPr>
          <w:rStyle w:val="Heading3Char"/>
          <w:b/>
        </w:rPr>
        <w:t>T</w:t>
      </w:r>
      <w:r w:rsidR="006E77ED" w:rsidRPr="004E28A6">
        <w:rPr>
          <w:rStyle w:val="Heading3Char"/>
          <w:b/>
        </w:rPr>
        <w:t xml:space="preserve">he </w:t>
      </w:r>
      <w:r w:rsidR="005971F2" w:rsidRPr="004E28A6">
        <w:rPr>
          <w:rStyle w:val="Heading3Char"/>
          <w:b/>
        </w:rPr>
        <w:t xml:space="preserve">FCC </w:t>
      </w:r>
      <w:r w:rsidR="00904BC9" w:rsidRPr="004E28A6">
        <w:rPr>
          <w:rStyle w:val="Heading3Char"/>
          <w:b/>
        </w:rPr>
        <w:t xml:space="preserve">should </w:t>
      </w:r>
      <w:r w:rsidR="005971F2" w:rsidRPr="004E28A6">
        <w:rPr>
          <w:rStyle w:val="Heading3Char"/>
          <w:b/>
        </w:rPr>
        <w:t>raise the $400 million cap for FY</w:t>
      </w:r>
      <w:r w:rsidR="00CF70E8" w:rsidRPr="004E28A6">
        <w:rPr>
          <w:rStyle w:val="Heading3Char"/>
          <w:b/>
        </w:rPr>
        <w:t>16-</w:t>
      </w:r>
      <w:r w:rsidR="005971F2" w:rsidRPr="004E28A6">
        <w:rPr>
          <w:rStyle w:val="Heading3Char"/>
          <w:b/>
        </w:rPr>
        <w:t>17 and FY</w:t>
      </w:r>
      <w:r w:rsidR="00CF70E8" w:rsidRPr="004E28A6">
        <w:rPr>
          <w:rStyle w:val="Heading3Char"/>
          <w:b/>
        </w:rPr>
        <w:t>17-</w:t>
      </w:r>
      <w:r w:rsidR="00904BC9" w:rsidRPr="004E28A6">
        <w:rPr>
          <w:rStyle w:val="Heading3Char"/>
          <w:b/>
        </w:rPr>
        <w:t>18</w:t>
      </w:r>
      <w:r w:rsidR="00906647" w:rsidRPr="004E28A6">
        <w:rPr>
          <w:rStyle w:val="Heading3Char"/>
          <w:b/>
        </w:rPr>
        <w:t xml:space="preserve">, to reflect </w:t>
      </w:r>
      <w:r w:rsidR="00C530B3" w:rsidRPr="004E28A6">
        <w:rPr>
          <w:rStyle w:val="Heading3Char"/>
          <w:b/>
        </w:rPr>
        <w:t xml:space="preserve">recent </w:t>
      </w:r>
      <w:r w:rsidR="00906647" w:rsidRPr="004E28A6">
        <w:rPr>
          <w:rStyle w:val="Heading3Char"/>
          <w:b/>
        </w:rPr>
        <w:t>expansions of the program, and to avoid penalizing providers whom Congress explicitly intended to support.</w:t>
      </w:r>
      <w:bookmarkEnd w:id="6"/>
      <w:r w:rsidR="00906647" w:rsidRPr="004E28A6">
        <w:rPr>
          <w:rStyle w:val="Heading3Char"/>
          <w:b/>
        </w:rPr>
        <w:t xml:space="preserve"> </w:t>
      </w:r>
      <w:r w:rsidR="00904BC9" w:rsidRPr="004E28A6">
        <w:rPr>
          <w:rStyle w:val="Heading3Char"/>
          <w:b/>
        </w:rPr>
        <w:t xml:space="preserve">  </w:t>
      </w:r>
    </w:p>
    <w:p w:rsidR="002E3F70" w:rsidRPr="00874ABF" w:rsidRDefault="000D4593"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NACHC strongly encourages the FCC to raise the funding cap for both FY</w:t>
      </w:r>
      <w:r w:rsidR="002E3F70" w:rsidRPr="00874ABF">
        <w:rPr>
          <w:rFonts w:ascii="Times New Roman" w:hAnsi="Times New Roman" w:cs="Times New Roman"/>
          <w:sz w:val="24"/>
          <w:szCs w:val="24"/>
        </w:rPr>
        <w:t>16-</w:t>
      </w:r>
      <w:r w:rsidRPr="00874ABF">
        <w:rPr>
          <w:rFonts w:ascii="Times New Roman" w:hAnsi="Times New Roman" w:cs="Times New Roman"/>
          <w:sz w:val="24"/>
          <w:szCs w:val="24"/>
        </w:rPr>
        <w:t>17 and FY</w:t>
      </w:r>
      <w:r w:rsidR="002E3F70" w:rsidRPr="00874ABF">
        <w:rPr>
          <w:rFonts w:ascii="Times New Roman" w:hAnsi="Times New Roman" w:cs="Times New Roman"/>
          <w:sz w:val="24"/>
          <w:szCs w:val="24"/>
        </w:rPr>
        <w:t>17-</w:t>
      </w:r>
      <w:r w:rsidRPr="00874ABF">
        <w:rPr>
          <w:rFonts w:ascii="Times New Roman" w:hAnsi="Times New Roman" w:cs="Times New Roman"/>
          <w:sz w:val="24"/>
          <w:szCs w:val="24"/>
        </w:rPr>
        <w:t xml:space="preserve">18.  As you are well aware, </w:t>
      </w:r>
      <w:r w:rsidR="002E3F70" w:rsidRPr="00874ABF">
        <w:rPr>
          <w:rFonts w:ascii="Times New Roman" w:hAnsi="Times New Roman" w:cs="Times New Roman"/>
          <w:sz w:val="24"/>
          <w:szCs w:val="24"/>
        </w:rPr>
        <w:t xml:space="preserve">the statute requires the FCC to enhance access to the degree to which it is “economically reasonable.”  In the two decades since the statute was passed, FCC has </w:t>
      </w:r>
      <w:r w:rsidR="00BF2657" w:rsidRPr="00874ABF">
        <w:rPr>
          <w:rFonts w:ascii="Times New Roman" w:hAnsi="Times New Roman" w:cs="Times New Roman"/>
          <w:sz w:val="24"/>
          <w:szCs w:val="24"/>
        </w:rPr>
        <w:t xml:space="preserve">yet to </w:t>
      </w:r>
      <w:r w:rsidR="002E3F70" w:rsidRPr="00874ABF">
        <w:rPr>
          <w:rFonts w:ascii="Times New Roman" w:hAnsi="Times New Roman" w:cs="Times New Roman"/>
          <w:sz w:val="24"/>
          <w:szCs w:val="24"/>
        </w:rPr>
        <w:t xml:space="preserve">raise the </w:t>
      </w:r>
      <w:r w:rsidR="00BF2657" w:rsidRPr="00874ABF">
        <w:rPr>
          <w:rFonts w:ascii="Times New Roman" w:hAnsi="Times New Roman" w:cs="Times New Roman"/>
          <w:sz w:val="24"/>
          <w:szCs w:val="24"/>
        </w:rPr>
        <w:t xml:space="preserve">RHCP </w:t>
      </w:r>
      <w:r w:rsidR="002E3F70" w:rsidRPr="00874ABF">
        <w:rPr>
          <w:rFonts w:ascii="Times New Roman" w:hAnsi="Times New Roman" w:cs="Times New Roman"/>
          <w:sz w:val="24"/>
          <w:szCs w:val="24"/>
        </w:rPr>
        <w:t xml:space="preserve">funding cap, despite the fact that </w:t>
      </w:r>
      <w:r w:rsidR="00D74858" w:rsidRPr="00874ABF">
        <w:rPr>
          <w:rFonts w:ascii="Times New Roman" w:hAnsi="Times New Roman" w:cs="Times New Roman"/>
          <w:sz w:val="24"/>
          <w:szCs w:val="24"/>
        </w:rPr>
        <w:t xml:space="preserve">appropriate </w:t>
      </w:r>
      <w:r w:rsidR="002E3F70" w:rsidRPr="00874ABF">
        <w:rPr>
          <w:rFonts w:ascii="Times New Roman" w:hAnsi="Times New Roman" w:cs="Times New Roman"/>
          <w:sz w:val="24"/>
          <w:szCs w:val="24"/>
        </w:rPr>
        <w:t>demands for the funding have increased due to the following factors:</w:t>
      </w:r>
    </w:p>
    <w:p w:rsidR="002E3F70" w:rsidRPr="00874ABF" w:rsidRDefault="00906647" w:rsidP="008F798B">
      <w:pPr>
        <w:pStyle w:val="NoSpacing"/>
        <w:numPr>
          <w:ilvl w:val="0"/>
          <w:numId w:val="10"/>
        </w:numPr>
        <w:spacing w:line="480" w:lineRule="auto"/>
        <w:rPr>
          <w:rFonts w:ascii="Times New Roman" w:hAnsi="Times New Roman" w:cs="Times New Roman"/>
          <w:sz w:val="24"/>
          <w:szCs w:val="24"/>
        </w:rPr>
      </w:pPr>
      <w:r w:rsidRPr="00874ABF">
        <w:rPr>
          <w:rFonts w:ascii="Times New Roman" w:hAnsi="Times New Roman" w:cs="Times New Roman"/>
          <w:sz w:val="24"/>
          <w:szCs w:val="24"/>
        </w:rPr>
        <w:t>Congress</w:t>
      </w:r>
      <w:r w:rsidR="00D6267F" w:rsidRPr="00874ABF">
        <w:rPr>
          <w:rFonts w:ascii="Times New Roman" w:hAnsi="Times New Roman" w:cs="Times New Roman"/>
          <w:sz w:val="24"/>
          <w:szCs w:val="24"/>
        </w:rPr>
        <w:t>’</w:t>
      </w:r>
      <w:r w:rsidRPr="00874ABF">
        <w:rPr>
          <w:rFonts w:ascii="Times New Roman" w:hAnsi="Times New Roman" w:cs="Times New Roman"/>
          <w:sz w:val="24"/>
          <w:szCs w:val="24"/>
        </w:rPr>
        <w:t xml:space="preserve"> add</w:t>
      </w:r>
      <w:r w:rsidR="00D6267F" w:rsidRPr="00874ABF">
        <w:rPr>
          <w:rFonts w:ascii="Times New Roman" w:hAnsi="Times New Roman" w:cs="Times New Roman"/>
          <w:sz w:val="24"/>
          <w:szCs w:val="24"/>
        </w:rPr>
        <w:t xml:space="preserve">ition of </w:t>
      </w:r>
      <w:r w:rsidR="002E3F70" w:rsidRPr="00874ABF">
        <w:rPr>
          <w:rFonts w:ascii="Times New Roman" w:hAnsi="Times New Roman" w:cs="Times New Roman"/>
          <w:sz w:val="24"/>
          <w:szCs w:val="24"/>
        </w:rPr>
        <w:t>Skilled Nursing Facilities to the list of eligible providers starting in 2017</w:t>
      </w:r>
    </w:p>
    <w:p w:rsidR="002E3F70" w:rsidRPr="00874ABF" w:rsidRDefault="002E3F70" w:rsidP="008F798B">
      <w:pPr>
        <w:pStyle w:val="NoSpacing"/>
        <w:numPr>
          <w:ilvl w:val="0"/>
          <w:numId w:val="10"/>
        </w:numPr>
        <w:spacing w:line="480" w:lineRule="auto"/>
        <w:rPr>
          <w:rFonts w:ascii="Times New Roman" w:hAnsi="Times New Roman" w:cs="Times New Roman"/>
          <w:sz w:val="24"/>
          <w:szCs w:val="24"/>
        </w:rPr>
      </w:pPr>
      <w:r w:rsidRPr="00874ABF">
        <w:rPr>
          <w:rFonts w:ascii="Times New Roman" w:hAnsi="Times New Roman" w:cs="Times New Roman"/>
          <w:sz w:val="24"/>
          <w:szCs w:val="24"/>
        </w:rPr>
        <w:t>The FCC</w:t>
      </w:r>
      <w:r w:rsidR="00D74858" w:rsidRPr="00874ABF">
        <w:rPr>
          <w:rFonts w:ascii="Times New Roman" w:hAnsi="Times New Roman" w:cs="Times New Roman"/>
          <w:sz w:val="24"/>
          <w:szCs w:val="24"/>
        </w:rPr>
        <w:t>’s decision to</w:t>
      </w:r>
      <w:r w:rsidRPr="00874ABF">
        <w:rPr>
          <w:rFonts w:ascii="Times New Roman" w:hAnsi="Times New Roman" w:cs="Times New Roman"/>
          <w:sz w:val="24"/>
          <w:szCs w:val="24"/>
        </w:rPr>
        <w:t xml:space="preserve"> add construction and capital expenses to the types of services that are eligible for reimbursement </w:t>
      </w:r>
    </w:p>
    <w:p w:rsidR="002E3F70" w:rsidRPr="00874ABF" w:rsidRDefault="00BF2657" w:rsidP="008F798B">
      <w:pPr>
        <w:pStyle w:val="NoSpacing"/>
        <w:numPr>
          <w:ilvl w:val="0"/>
          <w:numId w:val="10"/>
        </w:numPr>
        <w:spacing w:line="480" w:lineRule="auto"/>
        <w:rPr>
          <w:rFonts w:ascii="Times New Roman" w:hAnsi="Times New Roman" w:cs="Times New Roman"/>
          <w:sz w:val="24"/>
          <w:szCs w:val="24"/>
        </w:rPr>
      </w:pPr>
      <w:r w:rsidRPr="00874ABF">
        <w:rPr>
          <w:rFonts w:ascii="Times New Roman" w:hAnsi="Times New Roman" w:cs="Times New Roman"/>
          <w:sz w:val="24"/>
          <w:szCs w:val="24"/>
        </w:rPr>
        <w:t>I</w:t>
      </w:r>
      <w:r w:rsidR="002E3F70" w:rsidRPr="00874ABF">
        <w:rPr>
          <w:rFonts w:ascii="Times New Roman" w:hAnsi="Times New Roman" w:cs="Times New Roman"/>
          <w:sz w:val="24"/>
          <w:szCs w:val="24"/>
        </w:rPr>
        <w:t xml:space="preserve">ncreases in the number eligible HCPs (within existing categories of eligible provider types) </w:t>
      </w:r>
    </w:p>
    <w:p w:rsidR="002E3F70" w:rsidRPr="00874ABF" w:rsidRDefault="00BF2657" w:rsidP="008F798B">
      <w:pPr>
        <w:pStyle w:val="NoSpacing"/>
        <w:numPr>
          <w:ilvl w:val="0"/>
          <w:numId w:val="10"/>
        </w:numPr>
        <w:spacing w:line="480" w:lineRule="auto"/>
        <w:rPr>
          <w:rFonts w:ascii="Times New Roman" w:hAnsi="Times New Roman" w:cs="Times New Roman"/>
          <w:sz w:val="24"/>
          <w:szCs w:val="24"/>
        </w:rPr>
      </w:pPr>
      <w:r w:rsidRPr="00874ABF">
        <w:rPr>
          <w:rFonts w:ascii="Times New Roman" w:hAnsi="Times New Roman" w:cs="Times New Roman"/>
          <w:sz w:val="24"/>
          <w:szCs w:val="24"/>
        </w:rPr>
        <w:t>I</w:t>
      </w:r>
      <w:r w:rsidR="002E3F70" w:rsidRPr="00874ABF">
        <w:rPr>
          <w:rFonts w:ascii="Times New Roman" w:hAnsi="Times New Roman" w:cs="Times New Roman"/>
          <w:sz w:val="24"/>
          <w:szCs w:val="24"/>
        </w:rPr>
        <w:t xml:space="preserve">ncreased costs per eligible HCPs (e.g., to support the adoption of EHRs.)  </w:t>
      </w:r>
    </w:p>
    <w:p w:rsidR="002625A1" w:rsidRDefault="00D74858"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 xml:space="preserve">In addition, as discussed above, the RHCP has been expanded to include health care providers whose eligibility is questionable under a plain reading of the statute.  </w:t>
      </w:r>
    </w:p>
    <w:p w:rsidR="00BF2657" w:rsidRPr="00874ABF" w:rsidRDefault="00BF2657"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It is not “economically reasonable” </w:t>
      </w:r>
      <w:r w:rsidR="00906647" w:rsidRPr="00874ABF">
        <w:rPr>
          <w:rFonts w:ascii="Times New Roman" w:hAnsi="Times New Roman" w:cs="Times New Roman"/>
          <w:sz w:val="24"/>
          <w:szCs w:val="24"/>
        </w:rPr>
        <w:t xml:space="preserve">to </w:t>
      </w:r>
      <w:r w:rsidRPr="00874ABF">
        <w:rPr>
          <w:rFonts w:ascii="Times New Roman" w:hAnsi="Times New Roman" w:cs="Times New Roman"/>
          <w:sz w:val="24"/>
          <w:szCs w:val="24"/>
        </w:rPr>
        <w:t xml:space="preserve">expand a program over two decades while </w:t>
      </w:r>
      <w:r w:rsidR="00F83DC5" w:rsidRPr="00874ABF">
        <w:rPr>
          <w:rFonts w:ascii="Times New Roman" w:hAnsi="Times New Roman" w:cs="Times New Roman"/>
          <w:sz w:val="24"/>
          <w:szCs w:val="24"/>
        </w:rPr>
        <w:t>s</w:t>
      </w:r>
      <w:r w:rsidRPr="00874ABF">
        <w:rPr>
          <w:rFonts w:ascii="Times New Roman" w:hAnsi="Times New Roman" w:cs="Times New Roman"/>
          <w:sz w:val="24"/>
          <w:szCs w:val="24"/>
        </w:rPr>
        <w:t xml:space="preserve">imultaneously failing to increase funding for it.  </w:t>
      </w:r>
      <w:r w:rsidR="002E3F70" w:rsidRPr="00874ABF">
        <w:rPr>
          <w:rFonts w:ascii="Times New Roman" w:hAnsi="Times New Roman" w:cs="Times New Roman"/>
          <w:sz w:val="24"/>
          <w:szCs w:val="24"/>
        </w:rPr>
        <w:t>Th</w:t>
      </w:r>
      <w:r w:rsidR="00906647" w:rsidRPr="00874ABF">
        <w:rPr>
          <w:rFonts w:ascii="Times New Roman" w:hAnsi="Times New Roman" w:cs="Times New Roman"/>
          <w:sz w:val="24"/>
          <w:szCs w:val="24"/>
        </w:rPr>
        <w:t xml:space="preserve">is failure </w:t>
      </w:r>
      <w:r w:rsidR="002E3F70" w:rsidRPr="00874ABF">
        <w:rPr>
          <w:rFonts w:ascii="Times New Roman" w:hAnsi="Times New Roman" w:cs="Times New Roman"/>
          <w:sz w:val="24"/>
          <w:szCs w:val="24"/>
        </w:rPr>
        <w:t>led to prorated payments in FY</w:t>
      </w:r>
      <w:r w:rsidRPr="00874ABF">
        <w:rPr>
          <w:rFonts w:ascii="Times New Roman" w:hAnsi="Times New Roman" w:cs="Times New Roman"/>
          <w:sz w:val="24"/>
          <w:szCs w:val="24"/>
        </w:rPr>
        <w:t>16-</w:t>
      </w:r>
      <w:r w:rsidR="002E3F70" w:rsidRPr="00874ABF">
        <w:rPr>
          <w:rFonts w:ascii="Times New Roman" w:hAnsi="Times New Roman" w:cs="Times New Roman"/>
          <w:sz w:val="24"/>
          <w:szCs w:val="24"/>
        </w:rPr>
        <w:t>17, and a continued uncertainty about the level of payments for FY</w:t>
      </w:r>
      <w:r w:rsidRPr="00874ABF">
        <w:rPr>
          <w:rFonts w:ascii="Times New Roman" w:hAnsi="Times New Roman" w:cs="Times New Roman"/>
          <w:sz w:val="24"/>
          <w:szCs w:val="24"/>
        </w:rPr>
        <w:t>17-18</w:t>
      </w:r>
      <w:r w:rsidR="002E3F70" w:rsidRPr="00874ABF">
        <w:rPr>
          <w:rFonts w:ascii="Times New Roman" w:hAnsi="Times New Roman" w:cs="Times New Roman"/>
          <w:sz w:val="24"/>
          <w:szCs w:val="24"/>
        </w:rPr>
        <w:t>.  For CHCs</w:t>
      </w:r>
      <w:r w:rsidR="00906647" w:rsidRPr="00874ABF">
        <w:rPr>
          <w:rFonts w:ascii="Times New Roman" w:hAnsi="Times New Roman" w:cs="Times New Roman"/>
          <w:sz w:val="24"/>
          <w:szCs w:val="24"/>
        </w:rPr>
        <w:t xml:space="preserve"> -- </w:t>
      </w:r>
      <w:r w:rsidR="002E3F70" w:rsidRPr="00874ABF">
        <w:rPr>
          <w:rFonts w:ascii="Times New Roman" w:hAnsi="Times New Roman" w:cs="Times New Roman"/>
          <w:sz w:val="24"/>
          <w:szCs w:val="24"/>
        </w:rPr>
        <w:t>who</w:t>
      </w:r>
      <w:r w:rsidR="00906647" w:rsidRPr="00874ABF">
        <w:rPr>
          <w:rFonts w:ascii="Times New Roman" w:hAnsi="Times New Roman" w:cs="Times New Roman"/>
          <w:sz w:val="24"/>
          <w:szCs w:val="24"/>
        </w:rPr>
        <w:t xml:space="preserve">m Congress explicitly identified as RHCP beneficiaries, and who </w:t>
      </w:r>
      <w:r w:rsidR="002E3F70" w:rsidRPr="00874ABF">
        <w:rPr>
          <w:rFonts w:ascii="Times New Roman" w:hAnsi="Times New Roman" w:cs="Times New Roman"/>
          <w:sz w:val="24"/>
          <w:szCs w:val="24"/>
        </w:rPr>
        <w:t xml:space="preserve">typically run </w:t>
      </w:r>
      <w:r w:rsidR="00906647" w:rsidRPr="00874ABF">
        <w:rPr>
          <w:rFonts w:ascii="Times New Roman" w:hAnsi="Times New Roman" w:cs="Times New Roman"/>
          <w:sz w:val="24"/>
          <w:szCs w:val="24"/>
        </w:rPr>
        <w:t>on</w:t>
      </w:r>
      <w:r w:rsidRPr="00874ABF">
        <w:rPr>
          <w:rFonts w:ascii="Times New Roman" w:hAnsi="Times New Roman" w:cs="Times New Roman"/>
          <w:sz w:val="24"/>
          <w:szCs w:val="24"/>
        </w:rPr>
        <w:t xml:space="preserve"> margins </w:t>
      </w:r>
      <w:r w:rsidR="00906647" w:rsidRPr="00874ABF">
        <w:rPr>
          <w:rFonts w:ascii="Times New Roman" w:hAnsi="Times New Roman" w:cs="Times New Roman"/>
          <w:sz w:val="24"/>
          <w:szCs w:val="24"/>
        </w:rPr>
        <w:t xml:space="preserve">below 1% -- </w:t>
      </w:r>
      <w:r w:rsidRPr="00874ABF">
        <w:rPr>
          <w:rFonts w:ascii="Times New Roman" w:hAnsi="Times New Roman" w:cs="Times New Roman"/>
          <w:sz w:val="24"/>
          <w:szCs w:val="24"/>
        </w:rPr>
        <w:t xml:space="preserve">these reductions and </w:t>
      </w:r>
      <w:r w:rsidR="002E3F70" w:rsidRPr="00874ABF">
        <w:rPr>
          <w:rFonts w:ascii="Times New Roman" w:hAnsi="Times New Roman" w:cs="Times New Roman"/>
          <w:sz w:val="24"/>
          <w:szCs w:val="24"/>
        </w:rPr>
        <w:t>uncertainty ha</w:t>
      </w:r>
      <w:r w:rsidRPr="00874ABF">
        <w:rPr>
          <w:rFonts w:ascii="Times New Roman" w:hAnsi="Times New Roman" w:cs="Times New Roman"/>
          <w:sz w:val="24"/>
          <w:szCs w:val="24"/>
        </w:rPr>
        <w:t xml:space="preserve">ve </w:t>
      </w:r>
      <w:r w:rsidR="002E3F70" w:rsidRPr="00874ABF">
        <w:rPr>
          <w:rFonts w:ascii="Times New Roman" w:hAnsi="Times New Roman" w:cs="Times New Roman"/>
          <w:sz w:val="24"/>
          <w:szCs w:val="24"/>
        </w:rPr>
        <w:t>created significant challenges</w:t>
      </w:r>
      <w:r w:rsidRPr="00874ABF">
        <w:rPr>
          <w:rFonts w:ascii="Times New Roman" w:hAnsi="Times New Roman" w:cs="Times New Roman"/>
          <w:sz w:val="24"/>
          <w:szCs w:val="24"/>
        </w:rPr>
        <w:t xml:space="preserve">.  </w:t>
      </w:r>
    </w:p>
    <w:p w:rsidR="00906647" w:rsidRPr="00874ABF" w:rsidRDefault="00906647" w:rsidP="008F798B">
      <w:pPr>
        <w:spacing w:after="0" w:line="480" w:lineRule="auto"/>
        <w:rPr>
          <w:rFonts w:ascii="Times New Roman" w:hAnsi="Times New Roman" w:cs="Times New Roman"/>
          <w:sz w:val="24"/>
          <w:szCs w:val="24"/>
        </w:rPr>
      </w:pPr>
    </w:p>
    <w:p w:rsidR="00904BC9" w:rsidRPr="004F58B8" w:rsidRDefault="0091071C" w:rsidP="0091071C">
      <w:pPr>
        <w:pStyle w:val="Heading2"/>
        <w:rPr>
          <w:rStyle w:val="Heading3Char"/>
          <w:b/>
        </w:rPr>
      </w:pPr>
      <w:bookmarkStart w:id="7" w:name="_Toc505249654"/>
      <w:r w:rsidRPr="00874ABF">
        <w:rPr>
          <w:u w:val="single"/>
        </w:rPr>
        <w:t>Paragraph 15:</w:t>
      </w:r>
      <w:r w:rsidRPr="00874ABF">
        <w:t xml:space="preserve">  </w:t>
      </w:r>
      <w:r w:rsidR="00904BC9" w:rsidRPr="004F58B8">
        <w:rPr>
          <w:rStyle w:val="Heading3Char"/>
          <w:b/>
        </w:rPr>
        <w:t>Whenever possible, the operational aspects of the RHCP should be aligned with the E-Rate program, including by using GDP-CPI to update the funding cap annually.</w:t>
      </w:r>
      <w:bookmarkEnd w:id="7"/>
      <w:r w:rsidR="00904BC9" w:rsidRPr="004F58B8">
        <w:rPr>
          <w:rStyle w:val="Heading3Char"/>
          <w:b/>
        </w:rPr>
        <w:t xml:space="preserve">  </w:t>
      </w:r>
    </w:p>
    <w:p w:rsidR="005971F2" w:rsidRPr="00874ABF" w:rsidRDefault="005971F2"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NACHC recommends aligning the RHCP with the E-Rate program </w:t>
      </w:r>
      <w:r w:rsidR="00C919FA" w:rsidRPr="00874ABF">
        <w:rPr>
          <w:rFonts w:ascii="Times New Roman" w:hAnsi="Times New Roman" w:cs="Times New Roman"/>
          <w:sz w:val="24"/>
          <w:szCs w:val="24"/>
        </w:rPr>
        <w:t>whenever</w:t>
      </w:r>
      <w:r w:rsidRPr="00874ABF">
        <w:rPr>
          <w:rFonts w:ascii="Times New Roman" w:hAnsi="Times New Roman" w:cs="Times New Roman"/>
          <w:sz w:val="24"/>
          <w:szCs w:val="24"/>
        </w:rPr>
        <w:t xml:space="preserve"> possible</w:t>
      </w:r>
      <w:r w:rsidR="00C919FA" w:rsidRPr="00874ABF">
        <w:rPr>
          <w:rFonts w:ascii="Times New Roman" w:hAnsi="Times New Roman" w:cs="Times New Roman"/>
          <w:sz w:val="24"/>
          <w:szCs w:val="24"/>
        </w:rPr>
        <w:t>,</w:t>
      </w:r>
      <w:r w:rsidRPr="00874ABF">
        <w:rPr>
          <w:rFonts w:ascii="Times New Roman" w:hAnsi="Times New Roman" w:cs="Times New Roman"/>
          <w:sz w:val="24"/>
          <w:szCs w:val="24"/>
        </w:rPr>
        <w:t xml:space="preserve"> in order to create consistency and predictability across the sister programs. </w:t>
      </w:r>
      <w:r w:rsidR="006F273D" w:rsidRPr="00874ABF">
        <w:rPr>
          <w:rFonts w:ascii="Times New Roman" w:hAnsi="Times New Roman" w:cs="Times New Roman"/>
          <w:sz w:val="24"/>
          <w:szCs w:val="24"/>
        </w:rPr>
        <w:t xml:space="preserve"> We therefore recommend that the </w:t>
      </w:r>
      <w:r w:rsidR="00C919FA" w:rsidRPr="00874ABF">
        <w:rPr>
          <w:rFonts w:ascii="Times New Roman" w:hAnsi="Times New Roman" w:cs="Times New Roman"/>
          <w:sz w:val="24"/>
          <w:szCs w:val="24"/>
        </w:rPr>
        <w:t>cap amount be increased by the GDP-CPI</w:t>
      </w:r>
      <w:r w:rsidRPr="00874ABF">
        <w:rPr>
          <w:rFonts w:ascii="Times New Roman" w:hAnsi="Times New Roman" w:cs="Times New Roman"/>
          <w:sz w:val="24"/>
          <w:szCs w:val="24"/>
        </w:rPr>
        <w:t xml:space="preserve"> </w:t>
      </w:r>
      <w:r w:rsidR="00C919FA" w:rsidRPr="00874ABF">
        <w:rPr>
          <w:rFonts w:ascii="Times New Roman" w:hAnsi="Times New Roman" w:cs="Times New Roman"/>
          <w:sz w:val="24"/>
          <w:szCs w:val="24"/>
        </w:rPr>
        <w:t>for the years 1997-2018.</w:t>
      </w:r>
    </w:p>
    <w:p w:rsidR="006E77ED" w:rsidRPr="00874ABF" w:rsidRDefault="006E77ED" w:rsidP="008F798B">
      <w:pPr>
        <w:spacing w:after="0" w:line="480" w:lineRule="auto"/>
        <w:rPr>
          <w:rFonts w:ascii="Times New Roman" w:hAnsi="Times New Roman" w:cs="Times New Roman"/>
          <w:sz w:val="24"/>
          <w:szCs w:val="24"/>
        </w:rPr>
      </w:pPr>
    </w:p>
    <w:p w:rsidR="00C919FA" w:rsidRPr="004F58B8" w:rsidRDefault="00C919FA" w:rsidP="0091071C">
      <w:pPr>
        <w:pStyle w:val="Heading2"/>
        <w:rPr>
          <w:rStyle w:val="Heading3Char"/>
          <w:b/>
        </w:rPr>
      </w:pPr>
      <w:bookmarkStart w:id="8" w:name="_Toc505249655"/>
      <w:r w:rsidRPr="0091071C">
        <w:rPr>
          <w:u w:val="single"/>
        </w:rPr>
        <w:t>Paragraph 16:</w:t>
      </w:r>
      <w:r w:rsidRPr="0091071C">
        <w:t xml:space="preserve">  </w:t>
      </w:r>
      <w:r w:rsidRPr="004F58B8">
        <w:rPr>
          <w:rStyle w:val="Heading3Char"/>
          <w:b/>
        </w:rPr>
        <w:t xml:space="preserve">In future years, the </w:t>
      </w:r>
      <w:r w:rsidR="00904BC9" w:rsidRPr="004F58B8">
        <w:rPr>
          <w:rStyle w:val="Heading3Char"/>
          <w:b/>
        </w:rPr>
        <w:t xml:space="preserve">funding </w:t>
      </w:r>
      <w:r w:rsidRPr="004F58B8">
        <w:rPr>
          <w:rStyle w:val="Heading3Char"/>
          <w:b/>
        </w:rPr>
        <w:t xml:space="preserve">cap should be to reflect inflation, eligibility expansions, and </w:t>
      </w:r>
      <w:r w:rsidR="00061649" w:rsidRPr="004F58B8">
        <w:rPr>
          <w:rStyle w:val="Heading3Char"/>
          <w:b/>
        </w:rPr>
        <w:t xml:space="preserve">changes </w:t>
      </w:r>
      <w:r w:rsidRPr="004F58B8">
        <w:rPr>
          <w:rStyle w:val="Heading3Char"/>
          <w:b/>
        </w:rPr>
        <w:t>in costs resulting from advances in technology.</w:t>
      </w:r>
      <w:bookmarkEnd w:id="8"/>
      <w:r w:rsidRPr="004F58B8">
        <w:rPr>
          <w:rStyle w:val="Heading3Char"/>
          <w:b/>
        </w:rPr>
        <w:t xml:space="preserve">  </w:t>
      </w:r>
    </w:p>
    <w:p w:rsidR="00061649" w:rsidRPr="00874ABF" w:rsidRDefault="00061649" w:rsidP="008F798B">
      <w:p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As in E-Rate (and most other Federal programs), in future years the cap should be increased to reflect inflation.  In addition, it should be adjusted to reflect:</w:t>
      </w:r>
    </w:p>
    <w:p w:rsidR="00061649" w:rsidRPr="00874ABF" w:rsidRDefault="00061649" w:rsidP="008F798B">
      <w:pPr>
        <w:pStyle w:val="ListParagraph"/>
        <w:numPr>
          <w:ilvl w:val="0"/>
          <w:numId w:val="4"/>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Expansions in eligibility</w:t>
      </w:r>
      <w:r w:rsidR="00904BC9" w:rsidRPr="00874ABF">
        <w:rPr>
          <w:rFonts w:ascii="Times New Roman" w:hAnsi="Times New Roman" w:cs="Times New Roman"/>
          <w:sz w:val="24"/>
          <w:szCs w:val="24"/>
        </w:rPr>
        <w:t xml:space="preserve"> that are consistent with the statute</w:t>
      </w:r>
      <w:r w:rsidRPr="00874ABF">
        <w:rPr>
          <w:rFonts w:ascii="Times New Roman" w:hAnsi="Times New Roman" w:cs="Times New Roman"/>
          <w:sz w:val="24"/>
          <w:szCs w:val="24"/>
        </w:rPr>
        <w:t>, such as the recent expansion to include Skilled Nursing Facilities</w:t>
      </w:r>
    </w:p>
    <w:p w:rsidR="00061649" w:rsidRPr="00874ABF" w:rsidRDefault="00061649" w:rsidP="008F798B">
      <w:pPr>
        <w:pStyle w:val="ListParagraph"/>
        <w:numPr>
          <w:ilvl w:val="0"/>
          <w:numId w:val="4"/>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Changes in costs due to changes in services covered, technological advancements, and the resulting need for bandwidth.  </w:t>
      </w:r>
    </w:p>
    <w:p w:rsidR="00BB1567" w:rsidRPr="00874ABF" w:rsidRDefault="00BB1567" w:rsidP="008F798B">
      <w:p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Without such adjustments, the actual benefit that the RHCP will provide to its intended beneficiaries will erode over time.  </w:t>
      </w:r>
    </w:p>
    <w:p w:rsidR="00BB1567" w:rsidRPr="00874ABF" w:rsidRDefault="00BB1567" w:rsidP="008F798B">
      <w:pPr>
        <w:spacing w:after="0" w:line="480" w:lineRule="auto"/>
        <w:rPr>
          <w:rFonts w:ascii="Times New Roman" w:hAnsi="Times New Roman" w:cs="Times New Roman"/>
          <w:sz w:val="24"/>
          <w:szCs w:val="24"/>
        </w:rPr>
      </w:pPr>
    </w:p>
    <w:p w:rsidR="00BB1567" w:rsidRPr="004F58B8" w:rsidRDefault="006E77ED" w:rsidP="0091071C">
      <w:pPr>
        <w:pStyle w:val="Heading2"/>
        <w:rPr>
          <w:rStyle w:val="Heading3Char"/>
          <w:b/>
        </w:rPr>
      </w:pPr>
      <w:bookmarkStart w:id="9" w:name="_Toc505249656"/>
      <w:r w:rsidRPr="00874ABF">
        <w:rPr>
          <w:u w:val="single"/>
        </w:rPr>
        <w:t>Paragraph</w:t>
      </w:r>
      <w:r w:rsidR="00BB1567" w:rsidRPr="00874ABF">
        <w:rPr>
          <w:u w:val="single"/>
        </w:rPr>
        <w:t xml:space="preserve"> 17:</w:t>
      </w:r>
      <w:r w:rsidR="00B83D16" w:rsidRPr="00874ABF">
        <w:t xml:space="preserve">  </w:t>
      </w:r>
      <w:r w:rsidR="00B83D16" w:rsidRPr="004F58B8">
        <w:rPr>
          <w:rStyle w:val="Heading3Char"/>
          <w:b/>
        </w:rPr>
        <w:t>All unused RHCP funding from previous funding years should be made available in subsequent funding years until fully disbursed.</w:t>
      </w:r>
      <w:bookmarkEnd w:id="9"/>
      <w:r w:rsidR="00B83D16" w:rsidRPr="004F58B8">
        <w:rPr>
          <w:rStyle w:val="Heading3Char"/>
          <w:b/>
        </w:rPr>
        <w:t xml:space="preserve">  </w:t>
      </w:r>
    </w:p>
    <w:p w:rsidR="00B83D16" w:rsidRPr="00874ABF" w:rsidRDefault="00B83D16"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As is done in E-Rate, unused RHCP funds committed in one funding year should be rolled over to subsequent funding years until they are fully disbursed.  This should include both </w:t>
      </w:r>
      <w:r w:rsidRPr="00874ABF">
        <w:rPr>
          <w:rFonts w:ascii="Times New Roman" w:hAnsi="Times New Roman" w:cs="Times New Roman"/>
          <w:sz w:val="24"/>
          <w:szCs w:val="24"/>
        </w:rPr>
        <w:lastRenderedPageBreak/>
        <w:t xml:space="preserve">funds held in reserve for appeals and funds committed to a specific healthcare provider who did not use them.  </w:t>
      </w:r>
      <w:r w:rsidR="00A73810" w:rsidRPr="00874ABF">
        <w:rPr>
          <w:rFonts w:ascii="Times New Roman" w:hAnsi="Times New Roman" w:cs="Times New Roman"/>
          <w:sz w:val="24"/>
          <w:szCs w:val="24"/>
        </w:rPr>
        <w:t xml:space="preserve">This approach will be consistent with E-Rate, and ensure that funds allocated for RHCP are used for that purpose.  </w:t>
      </w:r>
    </w:p>
    <w:p w:rsidR="00A73810" w:rsidRPr="00874ABF" w:rsidRDefault="00A73810" w:rsidP="0091071C">
      <w:pPr>
        <w:pStyle w:val="Heading2"/>
      </w:pPr>
    </w:p>
    <w:p w:rsidR="00ED61F7" w:rsidRPr="004F58B8" w:rsidRDefault="00CF70E8" w:rsidP="0091071C">
      <w:pPr>
        <w:pStyle w:val="Heading2"/>
        <w:rPr>
          <w:rStyle w:val="Heading3Char"/>
          <w:b/>
        </w:rPr>
      </w:pPr>
      <w:bookmarkStart w:id="10" w:name="_Toc505249657"/>
      <w:r w:rsidRPr="00874ABF">
        <w:rPr>
          <w:u w:val="single"/>
        </w:rPr>
        <w:t>Paragraphs 18:</w:t>
      </w:r>
      <w:r w:rsidRPr="00874ABF">
        <w:t xml:space="preserve">  </w:t>
      </w:r>
      <w:r w:rsidR="005F1BA4" w:rsidRPr="004F58B8">
        <w:rPr>
          <w:rStyle w:val="Heading3Char"/>
          <w:b/>
        </w:rPr>
        <w:t>The current p</w:t>
      </w:r>
      <w:r w:rsidRPr="004F58B8">
        <w:rPr>
          <w:rStyle w:val="Heading3Char"/>
          <w:b/>
        </w:rPr>
        <w:t xml:space="preserve">roration </w:t>
      </w:r>
      <w:r w:rsidR="005F1BA4" w:rsidRPr="004F58B8">
        <w:rPr>
          <w:rStyle w:val="Heading3Char"/>
          <w:b/>
        </w:rPr>
        <w:t>approach is inappropriate as it implies that all providers and expenses are of equal merit</w:t>
      </w:r>
      <w:r w:rsidR="00ED61F7" w:rsidRPr="004F58B8">
        <w:rPr>
          <w:rStyle w:val="Heading3Char"/>
          <w:b/>
        </w:rPr>
        <w:t>, despite that fact that some providers are of questionable eligibility and seek a disproportionate share of total RHCP funding.</w:t>
      </w:r>
      <w:bookmarkEnd w:id="10"/>
      <w:r w:rsidR="00ED61F7" w:rsidRPr="004F58B8">
        <w:rPr>
          <w:rStyle w:val="Heading3Char"/>
          <w:b/>
        </w:rPr>
        <w:t xml:space="preserve">  </w:t>
      </w:r>
    </w:p>
    <w:p w:rsidR="00CF70E8" w:rsidRPr="00874ABF" w:rsidRDefault="00CF70E8"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Under the proration system applied in FY16-17, all </w:t>
      </w:r>
      <w:r w:rsidR="005F1BA4" w:rsidRPr="00874ABF">
        <w:rPr>
          <w:rFonts w:ascii="Times New Roman" w:hAnsi="Times New Roman" w:cs="Times New Roman"/>
          <w:sz w:val="24"/>
          <w:szCs w:val="24"/>
        </w:rPr>
        <w:t xml:space="preserve">funding requests received </w:t>
      </w:r>
      <w:r w:rsidRPr="00874ABF">
        <w:rPr>
          <w:rFonts w:ascii="Times New Roman" w:hAnsi="Times New Roman" w:cs="Times New Roman"/>
          <w:sz w:val="24"/>
          <w:szCs w:val="24"/>
        </w:rPr>
        <w:t>after a certain date were subject to the identical percentage reduction</w:t>
      </w:r>
      <w:r w:rsidR="005F1BA4" w:rsidRPr="00874ABF">
        <w:rPr>
          <w:rFonts w:ascii="Times New Roman" w:hAnsi="Times New Roman" w:cs="Times New Roman"/>
          <w:sz w:val="24"/>
          <w:szCs w:val="24"/>
        </w:rPr>
        <w:t xml:space="preserve">.  </w:t>
      </w:r>
      <w:r w:rsidRPr="00874ABF">
        <w:rPr>
          <w:rFonts w:ascii="Times New Roman" w:hAnsi="Times New Roman" w:cs="Times New Roman"/>
          <w:sz w:val="24"/>
          <w:szCs w:val="24"/>
        </w:rPr>
        <w:t xml:space="preserve">This approach </w:t>
      </w:r>
      <w:r w:rsidR="005F1BA4" w:rsidRPr="00874ABF">
        <w:rPr>
          <w:rFonts w:ascii="Times New Roman" w:hAnsi="Times New Roman" w:cs="Times New Roman"/>
          <w:sz w:val="24"/>
          <w:szCs w:val="24"/>
        </w:rPr>
        <w:t xml:space="preserve">implies </w:t>
      </w:r>
      <w:r w:rsidRPr="00874ABF">
        <w:rPr>
          <w:rFonts w:ascii="Times New Roman" w:hAnsi="Times New Roman" w:cs="Times New Roman"/>
          <w:sz w:val="24"/>
          <w:szCs w:val="24"/>
        </w:rPr>
        <w:t xml:space="preserve">that all </w:t>
      </w:r>
      <w:r w:rsidR="005F1BA4" w:rsidRPr="00874ABF">
        <w:rPr>
          <w:rFonts w:ascii="Times New Roman" w:hAnsi="Times New Roman" w:cs="Times New Roman"/>
          <w:sz w:val="24"/>
          <w:szCs w:val="24"/>
        </w:rPr>
        <w:t xml:space="preserve">requests </w:t>
      </w:r>
      <w:r w:rsidRPr="00874ABF">
        <w:rPr>
          <w:rFonts w:ascii="Times New Roman" w:hAnsi="Times New Roman" w:cs="Times New Roman"/>
          <w:sz w:val="24"/>
          <w:szCs w:val="24"/>
        </w:rPr>
        <w:t xml:space="preserve">were of equal merit, in terms of both eligibility and the appropriateness of how much funding </w:t>
      </w:r>
      <w:r w:rsidR="005F1BA4" w:rsidRPr="00874ABF">
        <w:rPr>
          <w:rFonts w:ascii="Times New Roman" w:hAnsi="Times New Roman" w:cs="Times New Roman"/>
          <w:sz w:val="24"/>
          <w:szCs w:val="24"/>
        </w:rPr>
        <w:t>was</w:t>
      </w:r>
      <w:r w:rsidRPr="00874ABF">
        <w:rPr>
          <w:rFonts w:ascii="Times New Roman" w:hAnsi="Times New Roman" w:cs="Times New Roman"/>
          <w:sz w:val="24"/>
          <w:szCs w:val="24"/>
        </w:rPr>
        <w:t xml:space="preserve"> requested.  </w:t>
      </w:r>
    </w:p>
    <w:p w:rsidR="00694D87" w:rsidRPr="00874ABF" w:rsidRDefault="00D74858"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As discussed above, </w:t>
      </w:r>
      <w:r w:rsidR="00CF70E8" w:rsidRPr="00874ABF">
        <w:rPr>
          <w:rFonts w:ascii="Times New Roman" w:hAnsi="Times New Roman" w:cs="Times New Roman"/>
          <w:sz w:val="24"/>
          <w:szCs w:val="24"/>
        </w:rPr>
        <w:t xml:space="preserve">NACHC strongly disagrees that all </w:t>
      </w:r>
      <w:r w:rsidR="005F1BA4" w:rsidRPr="00874ABF">
        <w:rPr>
          <w:rFonts w:ascii="Times New Roman" w:hAnsi="Times New Roman" w:cs="Times New Roman"/>
          <w:sz w:val="24"/>
          <w:szCs w:val="24"/>
        </w:rPr>
        <w:t xml:space="preserve">FY16-17 funding requests </w:t>
      </w:r>
      <w:r w:rsidR="0003440A" w:rsidRPr="00874ABF">
        <w:rPr>
          <w:rFonts w:ascii="Times New Roman" w:hAnsi="Times New Roman" w:cs="Times New Roman"/>
          <w:sz w:val="24"/>
          <w:szCs w:val="24"/>
        </w:rPr>
        <w:t>a</w:t>
      </w:r>
      <w:r w:rsidR="00CF70E8" w:rsidRPr="00874ABF">
        <w:rPr>
          <w:rFonts w:ascii="Times New Roman" w:hAnsi="Times New Roman" w:cs="Times New Roman"/>
          <w:sz w:val="24"/>
          <w:szCs w:val="24"/>
        </w:rPr>
        <w:t>re of equal merit</w:t>
      </w:r>
      <w:r w:rsidR="0003440A" w:rsidRPr="00874ABF">
        <w:rPr>
          <w:rFonts w:ascii="Times New Roman" w:hAnsi="Times New Roman" w:cs="Times New Roman"/>
          <w:sz w:val="24"/>
          <w:szCs w:val="24"/>
        </w:rPr>
        <w:t>, and deserved to be prorated equally</w:t>
      </w:r>
      <w:r w:rsidR="00CF70E8" w:rsidRPr="00874ABF">
        <w:rPr>
          <w:rFonts w:ascii="Times New Roman" w:hAnsi="Times New Roman" w:cs="Times New Roman"/>
          <w:sz w:val="24"/>
          <w:szCs w:val="24"/>
        </w:rPr>
        <w:t xml:space="preserve">.  </w:t>
      </w:r>
      <w:r w:rsidR="00694D87" w:rsidRPr="00874ABF">
        <w:rPr>
          <w:rFonts w:ascii="Times New Roman" w:hAnsi="Times New Roman" w:cs="Times New Roman"/>
          <w:sz w:val="24"/>
          <w:szCs w:val="24"/>
        </w:rPr>
        <w:t xml:space="preserve">Rather, those providers who clearly meet the statutory eligibility criteria </w:t>
      </w:r>
      <w:r w:rsidRPr="00874ABF">
        <w:rPr>
          <w:rFonts w:ascii="Times New Roman" w:hAnsi="Times New Roman" w:cs="Times New Roman"/>
          <w:sz w:val="24"/>
          <w:szCs w:val="24"/>
        </w:rPr>
        <w:t xml:space="preserve">(e.g., CHCs) </w:t>
      </w:r>
      <w:r w:rsidR="00694D87" w:rsidRPr="00874ABF">
        <w:rPr>
          <w:rFonts w:ascii="Times New Roman" w:hAnsi="Times New Roman" w:cs="Times New Roman"/>
          <w:sz w:val="24"/>
          <w:szCs w:val="24"/>
        </w:rPr>
        <w:t xml:space="preserve">should </w:t>
      </w:r>
      <w:r w:rsidRPr="00874ABF">
        <w:rPr>
          <w:rFonts w:ascii="Times New Roman" w:hAnsi="Times New Roman" w:cs="Times New Roman"/>
          <w:sz w:val="24"/>
          <w:szCs w:val="24"/>
        </w:rPr>
        <w:t>receive</w:t>
      </w:r>
      <w:r w:rsidR="00694D87" w:rsidRPr="00874ABF">
        <w:rPr>
          <w:rFonts w:ascii="Times New Roman" w:hAnsi="Times New Roman" w:cs="Times New Roman"/>
          <w:sz w:val="24"/>
          <w:szCs w:val="24"/>
        </w:rPr>
        <w:t xml:space="preserve"> full funding before any other providers receive </w:t>
      </w:r>
      <w:r w:rsidRPr="00874ABF">
        <w:rPr>
          <w:rFonts w:ascii="Times New Roman" w:hAnsi="Times New Roman" w:cs="Times New Roman"/>
          <w:sz w:val="24"/>
          <w:szCs w:val="24"/>
        </w:rPr>
        <w:t xml:space="preserve">any </w:t>
      </w:r>
      <w:r w:rsidR="00694D87" w:rsidRPr="00874ABF">
        <w:rPr>
          <w:rFonts w:ascii="Times New Roman" w:hAnsi="Times New Roman" w:cs="Times New Roman"/>
          <w:sz w:val="24"/>
          <w:szCs w:val="24"/>
        </w:rPr>
        <w:t xml:space="preserve">funding.  </w:t>
      </w:r>
    </w:p>
    <w:p w:rsidR="00694D87" w:rsidRPr="00874ABF" w:rsidRDefault="00694D87" w:rsidP="008F798B">
      <w:pPr>
        <w:spacing w:after="0" w:line="480" w:lineRule="auto"/>
        <w:rPr>
          <w:rFonts w:ascii="Times New Roman" w:hAnsi="Times New Roman" w:cs="Times New Roman"/>
          <w:sz w:val="24"/>
          <w:szCs w:val="24"/>
        </w:rPr>
      </w:pPr>
    </w:p>
    <w:p w:rsidR="005F1BA4" w:rsidRPr="004F58B8" w:rsidRDefault="005F1BA4" w:rsidP="0091071C">
      <w:pPr>
        <w:pStyle w:val="Heading2"/>
        <w:rPr>
          <w:rStyle w:val="Heading3Char"/>
          <w:b/>
        </w:rPr>
      </w:pPr>
      <w:bookmarkStart w:id="11" w:name="_Toc505249658"/>
      <w:r w:rsidRPr="00874ABF">
        <w:rPr>
          <w:u w:val="single"/>
        </w:rPr>
        <w:t>Paragraphs 19:</w:t>
      </w:r>
      <w:r w:rsidR="00657BC0" w:rsidRPr="00874ABF">
        <w:t xml:space="preserve">  </w:t>
      </w:r>
      <w:r w:rsidR="000F0BC0" w:rsidRPr="004F58B8">
        <w:rPr>
          <w:rStyle w:val="Heading3Char"/>
          <w:b/>
        </w:rPr>
        <w:t>The most appropriate prioritization approach</w:t>
      </w:r>
      <w:r w:rsidR="0003440A" w:rsidRPr="004F58B8">
        <w:rPr>
          <w:rStyle w:val="Heading3Char"/>
          <w:b/>
        </w:rPr>
        <w:t xml:space="preserve"> </w:t>
      </w:r>
      <w:r w:rsidR="00694D87" w:rsidRPr="004F58B8">
        <w:rPr>
          <w:rStyle w:val="Heading3Char"/>
          <w:b/>
        </w:rPr>
        <w:t>is to fully</w:t>
      </w:r>
      <w:r w:rsidR="000F0BC0" w:rsidRPr="004F58B8">
        <w:rPr>
          <w:rStyle w:val="Heading3Char"/>
          <w:b/>
        </w:rPr>
        <w:t xml:space="preserve"> fund requests </w:t>
      </w:r>
      <w:r w:rsidR="00694D87" w:rsidRPr="004F58B8">
        <w:rPr>
          <w:rStyle w:val="Heading3Char"/>
          <w:b/>
        </w:rPr>
        <w:t xml:space="preserve">from </w:t>
      </w:r>
      <w:r w:rsidR="00F83DC5" w:rsidRPr="004F58B8">
        <w:rPr>
          <w:rStyle w:val="Heading3Char"/>
          <w:b/>
        </w:rPr>
        <w:t xml:space="preserve">individual </w:t>
      </w:r>
      <w:r w:rsidR="000F0BC0" w:rsidRPr="004F58B8">
        <w:rPr>
          <w:rStyle w:val="Heading3Char"/>
          <w:b/>
        </w:rPr>
        <w:t>providers who are clearly eligible under a plain reading of the statute</w:t>
      </w:r>
      <w:r w:rsidR="00694D87" w:rsidRPr="004F58B8">
        <w:rPr>
          <w:rStyle w:val="Heading3Char"/>
          <w:b/>
        </w:rPr>
        <w:t xml:space="preserve"> – namely, </w:t>
      </w:r>
      <w:r w:rsidR="002E3F70" w:rsidRPr="004F58B8">
        <w:rPr>
          <w:rStyle w:val="Heading3Char"/>
          <w:b/>
        </w:rPr>
        <w:t>“</w:t>
      </w:r>
      <w:r w:rsidR="000F0BC0" w:rsidRPr="004F58B8">
        <w:rPr>
          <w:rStyle w:val="Heading3Char"/>
          <w:b/>
        </w:rPr>
        <w:t xml:space="preserve">public </w:t>
      </w:r>
      <w:r w:rsidR="002E3F70" w:rsidRPr="004F58B8">
        <w:rPr>
          <w:rStyle w:val="Heading3Char"/>
          <w:b/>
        </w:rPr>
        <w:t xml:space="preserve">or </w:t>
      </w:r>
      <w:r w:rsidR="000F0BC0" w:rsidRPr="004F58B8">
        <w:rPr>
          <w:rStyle w:val="Heading3Char"/>
          <w:b/>
        </w:rPr>
        <w:t>non-profit</w:t>
      </w:r>
      <w:r w:rsidR="002E3F70" w:rsidRPr="004F58B8">
        <w:rPr>
          <w:rStyle w:val="Heading3Char"/>
          <w:b/>
        </w:rPr>
        <w:t>”</w:t>
      </w:r>
      <w:r w:rsidR="000F0BC0" w:rsidRPr="004F58B8">
        <w:rPr>
          <w:rStyle w:val="Heading3Char"/>
          <w:b/>
        </w:rPr>
        <w:t xml:space="preserve"> providers </w:t>
      </w:r>
      <w:r w:rsidR="0003440A" w:rsidRPr="004F58B8">
        <w:rPr>
          <w:rStyle w:val="Heading3Char"/>
          <w:b/>
        </w:rPr>
        <w:t xml:space="preserve">who actually </w:t>
      </w:r>
      <w:r w:rsidR="002E3F70" w:rsidRPr="004F58B8">
        <w:rPr>
          <w:rStyle w:val="Heading3Char"/>
          <w:b/>
        </w:rPr>
        <w:t>“</w:t>
      </w:r>
      <w:r w:rsidR="0003440A" w:rsidRPr="004F58B8">
        <w:rPr>
          <w:rStyle w:val="Heading3Char"/>
          <w:b/>
        </w:rPr>
        <w:t>serve</w:t>
      </w:r>
      <w:r w:rsidR="002E3F70" w:rsidRPr="004F58B8">
        <w:rPr>
          <w:rStyle w:val="Heading3Char"/>
          <w:b/>
        </w:rPr>
        <w:t>(s)</w:t>
      </w:r>
      <w:r w:rsidR="0003440A" w:rsidRPr="004F58B8">
        <w:rPr>
          <w:rStyle w:val="Heading3Char"/>
          <w:b/>
        </w:rPr>
        <w:t xml:space="preserve"> pe</w:t>
      </w:r>
      <w:r w:rsidR="002E3F70" w:rsidRPr="004F58B8">
        <w:rPr>
          <w:rStyle w:val="Heading3Char"/>
          <w:b/>
        </w:rPr>
        <w:t>rsons</w:t>
      </w:r>
      <w:r w:rsidR="0003440A" w:rsidRPr="004F58B8">
        <w:rPr>
          <w:rStyle w:val="Heading3Char"/>
          <w:b/>
        </w:rPr>
        <w:t xml:space="preserve"> who reside in </w:t>
      </w:r>
      <w:r w:rsidR="000F0BC0" w:rsidRPr="004F58B8">
        <w:rPr>
          <w:rStyle w:val="Heading3Char"/>
          <w:b/>
        </w:rPr>
        <w:t>rural areas</w:t>
      </w:r>
      <w:r w:rsidR="002E3F70" w:rsidRPr="004F58B8">
        <w:rPr>
          <w:rStyle w:val="Heading3Char"/>
          <w:b/>
        </w:rPr>
        <w:t>”</w:t>
      </w:r>
      <w:r w:rsidR="000F0BC0" w:rsidRPr="004F58B8">
        <w:rPr>
          <w:rStyle w:val="Heading3Char"/>
          <w:b/>
        </w:rPr>
        <w:t>.</w:t>
      </w:r>
      <w:bookmarkEnd w:id="11"/>
    </w:p>
    <w:p w:rsidR="007706B6" w:rsidRPr="00874ABF" w:rsidRDefault="007706B6"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W</w:t>
      </w:r>
      <w:r w:rsidR="00CF70E8" w:rsidRPr="00874ABF">
        <w:rPr>
          <w:rFonts w:ascii="Times New Roman" w:hAnsi="Times New Roman" w:cs="Times New Roman"/>
          <w:sz w:val="24"/>
          <w:szCs w:val="24"/>
        </w:rPr>
        <w:t xml:space="preserve">e appreciate the FCC’s </w:t>
      </w:r>
      <w:r w:rsidR="00657BC0" w:rsidRPr="00874ABF">
        <w:rPr>
          <w:rFonts w:ascii="Times New Roman" w:hAnsi="Times New Roman" w:cs="Times New Roman"/>
          <w:sz w:val="24"/>
          <w:szCs w:val="24"/>
        </w:rPr>
        <w:t xml:space="preserve">outlining </w:t>
      </w:r>
      <w:r w:rsidR="00CF70E8" w:rsidRPr="00874ABF">
        <w:rPr>
          <w:rFonts w:ascii="Times New Roman" w:hAnsi="Times New Roman" w:cs="Times New Roman"/>
          <w:sz w:val="24"/>
          <w:szCs w:val="24"/>
        </w:rPr>
        <w:t>several options for prioritizing future requests</w:t>
      </w:r>
      <w:r w:rsidRPr="00874ABF">
        <w:rPr>
          <w:rFonts w:ascii="Times New Roman" w:hAnsi="Times New Roman" w:cs="Times New Roman"/>
          <w:sz w:val="24"/>
          <w:szCs w:val="24"/>
        </w:rPr>
        <w:t xml:space="preserve"> (e.g., </w:t>
      </w:r>
      <w:r w:rsidR="00657BC0" w:rsidRPr="00874ABF">
        <w:rPr>
          <w:rFonts w:ascii="Times New Roman" w:hAnsi="Times New Roman" w:cs="Times New Roman"/>
          <w:sz w:val="24"/>
          <w:szCs w:val="24"/>
        </w:rPr>
        <w:t>by degree of rurality, or type of service or program</w:t>
      </w:r>
      <w:r w:rsidR="0003440A" w:rsidRPr="00874ABF">
        <w:rPr>
          <w:rFonts w:ascii="Times New Roman" w:hAnsi="Times New Roman" w:cs="Times New Roman"/>
          <w:sz w:val="24"/>
          <w:szCs w:val="24"/>
        </w:rPr>
        <w:t>.</w:t>
      </w:r>
      <w:r w:rsidRPr="00874ABF">
        <w:rPr>
          <w:rFonts w:ascii="Times New Roman" w:hAnsi="Times New Roman" w:cs="Times New Roman"/>
          <w:sz w:val="24"/>
          <w:szCs w:val="24"/>
        </w:rPr>
        <w:t xml:space="preserve">) </w:t>
      </w:r>
      <w:r w:rsidR="0003440A" w:rsidRPr="00874ABF">
        <w:rPr>
          <w:rFonts w:ascii="Times New Roman" w:hAnsi="Times New Roman" w:cs="Times New Roman"/>
          <w:sz w:val="24"/>
          <w:szCs w:val="24"/>
        </w:rPr>
        <w:t xml:space="preserve"> However, the FCC has </w:t>
      </w:r>
      <w:r w:rsidR="00CA517F" w:rsidRPr="00874ABF">
        <w:rPr>
          <w:rFonts w:ascii="Times New Roman" w:hAnsi="Times New Roman" w:cs="Times New Roman"/>
          <w:sz w:val="24"/>
          <w:szCs w:val="24"/>
        </w:rPr>
        <w:t xml:space="preserve">failed to mention </w:t>
      </w:r>
      <w:r w:rsidR="00CA517F" w:rsidRPr="00874ABF">
        <w:rPr>
          <w:rFonts w:ascii="Times New Roman" w:hAnsi="Times New Roman" w:cs="Times New Roman"/>
          <w:sz w:val="24"/>
          <w:szCs w:val="24"/>
        </w:rPr>
        <w:lastRenderedPageBreak/>
        <w:t xml:space="preserve">what </w:t>
      </w:r>
      <w:r w:rsidR="0003440A" w:rsidRPr="00874ABF">
        <w:rPr>
          <w:rFonts w:ascii="Times New Roman" w:hAnsi="Times New Roman" w:cs="Times New Roman"/>
          <w:sz w:val="24"/>
          <w:szCs w:val="24"/>
        </w:rPr>
        <w:t xml:space="preserve">should be the </w:t>
      </w:r>
      <w:r w:rsidRPr="00874ABF">
        <w:rPr>
          <w:rFonts w:ascii="Times New Roman" w:hAnsi="Times New Roman" w:cs="Times New Roman"/>
          <w:sz w:val="24"/>
          <w:szCs w:val="24"/>
        </w:rPr>
        <w:t>most basic rule for prioritiz</w:t>
      </w:r>
      <w:r w:rsidR="0003440A" w:rsidRPr="00874ABF">
        <w:rPr>
          <w:rFonts w:ascii="Times New Roman" w:hAnsi="Times New Roman" w:cs="Times New Roman"/>
          <w:sz w:val="24"/>
          <w:szCs w:val="24"/>
        </w:rPr>
        <w:t>ation</w:t>
      </w:r>
      <w:r w:rsidRPr="00874ABF">
        <w:rPr>
          <w:rFonts w:ascii="Times New Roman" w:hAnsi="Times New Roman" w:cs="Times New Roman"/>
          <w:sz w:val="24"/>
          <w:szCs w:val="24"/>
        </w:rPr>
        <w:t>– namely, ensur</w:t>
      </w:r>
      <w:r w:rsidR="0003440A" w:rsidRPr="00874ABF">
        <w:rPr>
          <w:rFonts w:ascii="Times New Roman" w:hAnsi="Times New Roman" w:cs="Times New Roman"/>
          <w:sz w:val="24"/>
          <w:szCs w:val="24"/>
        </w:rPr>
        <w:t>ing</w:t>
      </w:r>
      <w:r w:rsidRPr="00874ABF">
        <w:rPr>
          <w:rFonts w:ascii="Times New Roman" w:hAnsi="Times New Roman" w:cs="Times New Roman"/>
          <w:sz w:val="24"/>
          <w:szCs w:val="24"/>
        </w:rPr>
        <w:t xml:space="preserve"> compliance with a plain reading of the statute. </w:t>
      </w:r>
    </w:p>
    <w:p w:rsidR="002625A1" w:rsidRDefault="00694D87" w:rsidP="002625A1">
      <w:pPr>
        <w:spacing w:after="0" w:line="480" w:lineRule="auto"/>
        <w:ind w:firstLine="720"/>
        <w:rPr>
          <w:rFonts w:ascii="Times New Roman" w:eastAsia="Times New Roman" w:hAnsi="Times New Roman" w:cs="Times New Roman"/>
          <w:sz w:val="24"/>
          <w:szCs w:val="24"/>
        </w:rPr>
      </w:pPr>
      <w:r w:rsidRPr="00874ABF">
        <w:rPr>
          <w:rFonts w:ascii="Times New Roman" w:hAnsi="Times New Roman" w:cs="Times New Roman"/>
          <w:sz w:val="24"/>
          <w:szCs w:val="24"/>
        </w:rPr>
        <w:t>As discussed above, s</w:t>
      </w:r>
      <w:r w:rsidR="00657BC0" w:rsidRPr="00874ABF">
        <w:rPr>
          <w:rFonts w:ascii="Times New Roman" w:hAnsi="Times New Roman" w:cs="Times New Roman"/>
          <w:sz w:val="24"/>
          <w:szCs w:val="24"/>
        </w:rPr>
        <w:t xml:space="preserve">ection (h)(1)(A) states that the </w:t>
      </w:r>
      <w:r w:rsidRPr="00874ABF">
        <w:rPr>
          <w:rFonts w:ascii="Times New Roman" w:hAnsi="Times New Roman" w:cs="Times New Roman"/>
          <w:sz w:val="24"/>
          <w:szCs w:val="24"/>
        </w:rPr>
        <w:t xml:space="preserve">RHCP’s </w:t>
      </w:r>
      <w:r w:rsidR="00657BC0" w:rsidRPr="00874ABF">
        <w:rPr>
          <w:rFonts w:ascii="Times New Roman" w:hAnsi="Times New Roman" w:cs="Times New Roman"/>
          <w:sz w:val="24"/>
          <w:szCs w:val="24"/>
        </w:rPr>
        <w:t xml:space="preserve">purpose is to provide access to </w:t>
      </w:r>
      <w:hyperlink r:id="rId8" w:tooltip="telecommunications services" w:history="1">
        <w:r w:rsidR="00657BC0" w:rsidRPr="00874ABF">
          <w:rPr>
            <w:rFonts w:ascii="Times New Roman" w:eastAsia="Times New Roman" w:hAnsi="Times New Roman" w:cs="Times New Roman"/>
            <w:sz w:val="24"/>
            <w:szCs w:val="24"/>
          </w:rPr>
          <w:t>telecommunications services</w:t>
        </w:r>
      </w:hyperlink>
      <w:r w:rsidR="00657BC0" w:rsidRPr="00874ABF">
        <w:rPr>
          <w:rFonts w:ascii="Times New Roman" w:eastAsia="Times New Roman" w:hAnsi="Times New Roman" w:cs="Times New Roman"/>
          <w:sz w:val="24"/>
          <w:szCs w:val="24"/>
        </w:rPr>
        <w:t xml:space="preserve"> to “any </w:t>
      </w:r>
      <w:r w:rsidR="00657BC0" w:rsidRPr="00874ABF">
        <w:rPr>
          <w:rFonts w:ascii="Times New Roman" w:eastAsia="Times New Roman" w:hAnsi="Times New Roman" w:cs="Times New Roman"/>
          <w:b/>
          <w:i/>
          <w:sz w:val="24"/>
          <w:szCs w:val="24"/>
        </w:rPr>
        <w:t>public or nonprofit</w:t>
      </w:r>
      <w:r w:rsidR="00657BC0" w:rsidRPr="00874ABF">
        <w:rPr>
          <w:rFonts w:ascii="Times New Roman" w:eastAsia="Times New Roman" w:hAnsi="Times New Roman" w:cs="Times New Roman"/>
          <w:sz w:val="24"/>
          <w:szCs w:val="24"/>
        </w:rPr>
        <w:t xml:space="preserve"> health care provider that </w:t>
      </w:r>
      <w:r w:rsidR="00657BC0" w:rsidRPr="00874ABF">
        <w:rPr>
          <w:rFonts w:ascii="Times New Roman" w:eastAsia="Times New Roman" w:hAnsi="Times New Roman" w:cs="Times New Roman"/>
          <w:b/>
          <w:i/>
          <w:sz w:val="24"/>
          <w:szCs w:val="24"/>
        </w:rPr>
        <w:t>serves persons who reside in rural areas</w:t>
      </w:r>
      <w:r w:rsidR="0003440A" w:rsidRPr="00874ABF">
        <w:rPr>
          <w:rFonts w:ascii="Times New Roman" w:eastAsia="Times New Roman" w:hAnsi="Times New Roman" w:cs="Times New Roman"/>
          <w:sz w:val="24"/>
          <w:szCs w:val="24"/>
        </w:rPr>
        <w:t xml:space="preserve">”.  </w:t>
      </w:r>
      <w:r w:rsidRPr="00874ABF">
        <w:rPr>
          <w:rFonts w:ascii="Times New Roman" w:eastAsia="Times New Roman" w:hAnsi="Times New Roman" w:cs="Times New Roman"/>
          <w:sz w:val="24"/>
          <w:szCs w:val="24"/>
        </w:rPr>
        <w:t xml:space="preserve">Thus, </w:t>
      </w:r>
      <w:r w:rsidRPr="00874ABF">
        <w:rPr>
          <w:rFonts w:ascii="Times New Roman" w:eastAsia="Times New Roman" w:hAnsi="Times New Roman" w:cs="Times New Roman"/>
          <w:sz w:val="24"/>
          <w:szCs w:val="24"/>
          <w:u w:val="single"/>
        </w:rPr>
        <w:t>any provider who meets these criteria should receive full funding for all appropriate costs before any other provider receives any funding</w:t>
      </w:r>
      <w:r w:rsidR="008A5ECA" w:rsidRPr="00874ABF">
        <w:rPr>
          <w:rFonts w:ascii="Times New Roman" w:eastAsia="Times New Roman" w:hAnsi="Times New Roman" w:cs="Times New Roman"/>
          <w:sz w:val="24"/>
          <w:szCs w:val="24"/>
          <w:u w:val="single"/>
        </w:rPr>
        <w:t xml:space="preserve"> – regardless of their membership in a rural-urban consortia</w:t>
      </w:r>
      <w:r w:rsidRPr="00874ABF">
        <w:rPr>
          <w:rFonts w:ascii="Times New Roman" w:eastAsia="Times New Roman" w:hAnsi="Times New Roman" w:cs="Times New Roman"/>
          <w:sz w:val="24"/>
          <w:szCs w:val="24"/>
          <w:u w:val="single"/>
        </w:rPr>
        <w:t>.</w:t>
      </w:r>
      <w:r w:rsidRPr="00874ABF">
        <w:rPr>
          <w:rFonts w:ascii="Times New Roman" w:eastAsia="Times New Roman" w:hAnsi="Times New Roman" w:cs="Times New Roman"/>
          <w:sz w:val="24"/>
          <w:szCs w:val="24"/>
        </w:rPr>
        <w:t xml:space="preserve"> </w:t>
      </w:r>
    </w:p>
    <w:p w:rsidR="002625A1" w:rsidRDefault="002625A1" w:rsidP="002625A1">
      <w:pPr>
        <w:spacing w:after="0" w:line="480" w:lineRule="auto"/>
        <w:rPr>
          <w:rFonts w:ascii="Times New Roman" w:hAnsi="Times New Roman" w:cs="Times New Roman"/>
          <w:b/>
          <w:sz w:val="24"/>
          <w:szCs w:val="24"/>
          <w:u w:val="single"/>
        </w:rPr>
      </w:pPr>
    </w:p>
    <w:p w:rsidR="00DF36CE" w:rsidRPr="004F58B8" w:rsidRDefault="00DF36CE" w:rsidP="00DF36CE">
      <w:pPr>
        <w:pStyle w:val="Heading2"/>
        <w:rPr>
          <w:rStyle w:val="Heading3Char"/>
          <w:b/>
        </w:rPr>
      </w:pPr>
      <w:bookmarkStart w:id="12" w:name="_Toc505249659"/>
      <w:r w:rsidRPr="00DF36CE">
        <w:rPr>
          <w:rFonts w:eastAsia="Times New Roman"/>
          <w:u w:val="single"/>
        </w:rPr>
        <w:t>Paragraph 27:</w:t>
      </w:r>
      <w:r w:rsidRPr="00DF36CE">
        <w:rPr>
          <w:rFonts w:eastAsia="Times New Roman"/>
        </w:rPr>
        <w:t xml:space="preserve">   </w:t>
      </w:r>
      <w:r w:rsidRPr="004F58B8">
        <w:rPr>
          <w:rStyle w:val="Heading3Char"/>
          <w:b/>
        </w:rPr>
        <w:t>The definition of “rural” currently used in E-Rate should be applied to the RHCP.</w:t>
      </w:r>
      <w:bookmarkEnd w:id="12"/>
      <w:r w:rsidRPr="004F58B8">
        <w:rPr>
          <w:rStyle w:val="Heading3Char"/>
          <w:b/>
        </w:rPr>
        <w:t xml:space="preserve">  </w:t>
      </w:r>
    </w:p>
    <w:p w:rsidR="00DF36CE" w:rsidRPr="00DF36CE" w:rsidRDefault="00DF36CE" w:rsidP="00DF36CE">
      <w:pPr>
        <w:spacing w:line="480" w:lineRule="auto"/>
        <w:rPr>
          <w:rFonts w:ascii="Times New Roman" w:hAnsi="Times New Roman" w:cs="Times New Roman"/>
          <w:sz w:val="24"/>
          <w:szCs w:val="24"/>
        </w:rPr>
      </w:pPr>
      <w:r w:rsidRPr="00DF36CE">
        <w:rPr>
          <w:rFonts w:ascii="Times New Roman" w:hAnsi="Times New Roman" w:cs="Times New Roman"/>
          <w:b/>
          <w:bCs/>
          <w:sz w:val="24"/>
          <w:szCs w:val="24"/>
        </w:rPr>
        <w:t xml:space="preserve">            </w:t>
      </w:r>
      <w:r w:rsidRPr="00DF36CE">
        <w:rPr>
          <w:rFonts w:ascii="Times New Roman" w:hAnsi="Times New Roman" w:cs="Times New Roman"/>
          <w:sz w:val="24"/>
          <w:szCs w:val="24"/>
        </w:rPr>
        <w:t xml:space="preserve">Health centers have had long-standing concerns about the definition of “rural” currently used in the RHCP, as it disqualifies areas that are clearly rural if they are in proximity to growing urban areas.  (For example, consider </w:t>
      </w:r>
      <w:proofErr w:type="spellStart"/>
      <w:r w:rsidRPr="00DF36CE">
        <w:rPr>
          <w:rFonts w:ascii="Times New Roman" w:hAnsi="Times New Roman" w:cs="Times New Roman"/>
          <w:sz w:val="24"/>
          <w:szCs w:val="24"/>
        </w:rPr>
        <w:t>Dungannon</w:t>
      </w:r>
      <w:proofErr w:type="spellEnd"/>
      <w:r w:rsidRPr="00DF36CE">
        <w:rPr>
          <w:rFonts w:ascii="Times New Roman" w:hAnsi="Times New Roman" w:cs="Times New Roman"/>
          <w:sz w:val="24"/>
          <w:szCs w:val="24"/>
        </w:rPr>
        <w:t xml:space="preserve"> in Sco</w:t>
      </w:r>
      <w:r w:rsidR="00647BC9">
        <w:rPr>
          <w:rFonts w:ascii="Times New Roman" w:hAnsi="Times New Roman" w:cs="Times New Roman"/>
          <w:sz w:val="24"/>
          <w:szCs w:val="24"/>
        </w:rPr>
        <w:t>t</w:t>
      </w:r>
      <w:r w:rsidRPr="00DF36CE">
        <w:rPr>
          <w:rFonts w:ascii="Times New Roman" w:hAnsi="Times New Roman" w:cs="Times New Roman"/>
          <w:sz w:val="24"/>
          <w:szCs w:val="24"/>
        </w:rPr>
        <w:t xml:space="preserve">t County, VA and </w:t>
      </w:r>
      <w:proofErr w:type="spellStart"/>
      <w:r w:rsidRPr="00DF36CE">
        <w:rPr>
          <w:rFonts w:ascii="Times New Roman" w:hAnsi="Times New Roman" w:cs="Times New Roman"/>
          <w:sz w:val="24"/>
          <w:szCs w:val="24"/>
        </w:rPr>
        <w:t>Ferrum</w:t>
      </w:r>
      <w:proofErr w:type="spellEnd"/>
      <w:r w:rsidRPr="00DF36CE">
        <w:rPr>
          <w:rFonts w:ascii="Times New Roman" w:hAnsi="Times New Roman" w:cs="Times New Roman"/>
          <w:sz w:val="24"/>
          <w:szCs w:val="24"/>
        </w:rPr>
        <w:t xml:space="preserve"> in Franklin County, VA.)  As you are aware, there is already a system in place in E-Rate to determine which locations qualify as rural, for purposes of eligibility fo</w:t>
      </w:r>
      <w:r w:rsidR="00647BC9">
        <w:rPr>
          <w:rFonts w:ascii="Times New Roman" w:hAnsi="Times New Roman" w:cs="Times New Roman"/>
          <w:sz w:val="24"/>
          <w:szCs w:val="24"/>
        </w:rPr>
        <w:t>r the rural discount bonus.  NA</w:t>
      </w:r>
      <w:r w:rsidRPr="00DF36CE">
        <w:rPr>
          <w:rFonts w:ascii="Times New Roman" w:hAnsi="Times New Roman" w:cs="Times New Roman"/>
          <w:sz w:val="24"/>
          <w:szCs w:val="24"/>
        </w:rPr>
        <w:t xml:space="preserve">CHC recommends that the FCC use the same system to determine which providers qualify as rural under the RHCP.  This approach will: address the concerns raised by rural communities such as those listed above; be </w:t>
      </w:r>
      <w:r w:rsidR="00647BC9" w:rsidRPr="00DF36CE">
        <w:rPr>
          <w:rFonts w:ascii="Times New Roman" w:hAnsi="Times New Roman" w:cs="Times New Roman"/>
          <w:sz w:val="24"/>
          <w:szCs w:val="24"/>
        </w:rPr>
        <w:t>straightforward</w:t>
      </w:r>
      <w:r w:rsidRPr="00DF36CE">
        <w:rPr>
          <w:rFonts w:ascii="Times New Roman" w:hAnsi="Times New Roman" w:cs="Times New Roman"/>
          <w:sz w:val="24"/>
          <w:szCs w:val="24"/>
        </w:rPr>
        <w:t xml:space="preserve"> an inexpensive for the FCC to implement; and further increase alignment between the E-Rate and RHCP Programs.  </w:t>
      </w:r>
    </w:p>
    <w:p w:rsidR="002625A1" w:rsidRDefault="002625A1" w:rsidP="002625A1">
      <w:pPr>
        <w:spacing w:after="0" w:line="480" w:lineRule="auto"/>
        <w:ind w:firstLine="720"/>
        <w:rPr>
          <w:rFonts w:ascii="Times New Roman" w:eastAsia="Times New Roman" w:hAnsi="Times New Roman" w:cs="Times New Roman"/>
          <w:sz w:val="24"/>
          <w:szCs w:val="24"/>
        </w:rPr>
      </w:pPr>
    </w:p>
    <w:p w:rsidR="00657BC0" w:rsidRPr="00874ABF" w:rsidRDefault="00694D87" w:rsidP="002625A1">
      <w:pPr>
        <w:spacing w:after="0" w:line="480" w:lineRule="auto"/>
        <w:ind w:firstLine="720"/>
        <w:rPr>
          <w:rFonts w:ascii="Times New Roman" w:eastAsia="Times New Roman" w:hAnsi="Times New Roman" w:cs="Times New Roman"/>
          <w:sz w:val="24"/>
          <w:szCs w:val="24"/>
        </w:rPr>
      </w:pPr>
      <w:r w:rsidRPr="00874ABF">
        <w:rPr>
          <w:rFonts w:ascii="Times New Roman" w:eastAsia="Times New Roman" w:hAnsi="Times New Roman" w:cs="Times New Roman"/>
          <w:sz w:val="24"/>
          <w:szCs w:val="24"/>
        </w:rPr>
        <w:t xml:space="preserve"> </w:t>
      </w:r>
    </w:p>
    <w:p w:rsidR="00A73810" w:rsidRPr="00874ABF" w:rsidRDefault="00A73810" w:rsidP="008F798B">
      <w:pPr>
        <w:spacing w:after="0" w:line="480" w:lineRule="auto"/>
        <w:rPr>
          <w:rFonts w:ascii="Times New Roman" w:hAnsi="Times New Roman" w:cs="Times New Roman"/>
          <w:b/>
          <w:sz w:val="24"/>
          <w:szCs w:val="24"/>
        </w:rPr>
      </w:pPr>
    </w:p>
    <w:p w:rsidR="00A73810" w:rsidRPr="004F58B8" w:rsidRDefault="00A73810" w:rsidP="0091071C">
      <w:pPr>
        <w:pStyle w:val="Heading2"/>
        <w:rPr>
          <w:rStyle w:val="Heading3Char"/>
          <w:b/>
        </w:rPr>
      </w:pPr>
      <w:bookmarkStart w:id="13" w:name="_Toc505249660"/>
      <w:r w:rsidRPr="0091071C">
        <w:rPr>
          <w:u w:val="single"/>
        </w:rPr>
        <w:lastRenderedPageBreak/>
        <w:t>Paragraph 30:</w:t>
      </w:r>
      <w:r w:rsidRPr="0091071C">
        <w:t xml:space="preserve"> </w:t>
      </w:r>
      <w:r w:rsidR="00F83DC5" w:rsidRPr="0091071C">
        <w:t xml:space="preserve">  </w:t>
      </w:r>
      <w:r w:rsidRPr="004F58B8">
        <w:rPr>
          <w:rStyle w:val="Heading3Char"/>
          <w:b/>
        </w:rPr>
        <w:t>Medicaid eligibility is not an appropriate measure of either economic need or the need for health services.</w:t>
      </w:r>
      <w:bookmarkEnd w:id="13"/>
      <w:r w:rsidRPr="004F58B8">
        <w:rPr>
          <w:rStyle w:val="Heading3Char"/>
          <w:b/>
        </w:rPr>
        <w:t xml:space="preserve">  </w:t>
      </w:r>
    </w:p>
    <w:p w:rsidR="0076117C" w:rsidRPr="00874ABF" w:rsidRDefault="00F83DC5" w:rsidP="002625A1">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W</w:t>
      </w:r>
      <w:r w:rsidR="00A73810" w:rsidRPr="00874ABF">
        <w:rPr>
          <w:rFonts w:ascii="Times New Roman" w:hAnsi="Times New Roman" w:cs="Times New Roman"/>
          <w:sz w:val="24"/>
          <w:szCs w:val="24"/>
        </w:rPr>
        <w:t>e appreciate the FCC’s efforts to identify an appropriate measure of economic need and need for health services</w:t>
      </w:r>
      <w:r w:rsidRPr="00874ABF">
        <w:rPr>
          <w:rFonts w:ascii="Times New Roman" w:hAnsi="Times New Roman" w:cs="Times New Roman"/>
          <w:sz w:val="24"/>
          <w:szCs w:val="24"/>
        </w:rPr>
        <w:t xml:space="preserve">.  However, </w:t>
      </w:r>
      <w:r w:rsidR="00A73810" w:rsidRPr="00874ABF">
        <w:rPr>
          <w:rFonts w:ascii="Times New Roman" w:hAnsi="Times New Roman" w:cs="Times New Roman"/>
          <w:sz w:val="24"/>
          <w:szCs w:val="24"/>
        </w:rPr>
        <w:t xml:space="preserve">NACHC strongly discourages </w:t>
      </w:r>
      <w:r w:rsidR="0076117C" w:rsidRPr="00874ABF">
        <w:rPr>
          <w:rFonts w:ascii="Times New Roman" w:hAnsi="Times New Roman" w:cs="Times New Roman"/>
          <w:sz w:val="24"/>
          <w:szCs w:val="24"/>
        </w:rPr>
        <w:t>using Medicaid eligibility as a measure</w:t>
      </w:r>
      <w:r w:rsidR="000E4312" w:rsidRPr="00874ABF">
        <w:rPr>
          <w:rFonts w:ascii="Times New Roman" w:hAnsi="Times New Roman" w:cs="Times New Roman"/>
          <w:sz w:val="24"/>
          <w:szCs w:val="24"/>
        </w:rPr>
        <w:t xml:space="preserve"> because</w:t>
      </w:r>
      <w:r w:rsidR="0076117C" w:rsidRPr="00874ABF">
        <w:rPr>
          <w:rFonts w:ascii="Times New Roman" w:hAnsi="Times New Roman" w:cs="Times New Roman"/>
          <w:sz w:val="24"/>
          <w:szCs w:val="24"/>
        </w:rPr>
        <w:t>:</w:t>
      </w:r>
    </w:p>
    <w:p w:rsidR="0076117C" w:rsidRPr="00874ABF" w:rsidRDefault="0076117C" w:rsidP="008F798B">
      <w:pPr>
        <w:pStyle w:val="ListParagraph"/>
        <w:numPr>
          <w:ilvl w:val="0"/>
          <w:numId w:val="5"/>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Medicaid eligibility rules vary enormously by state.  For example, those states who chose to expand Medicaid under the Affordable Care Act offer coverage to all adults with incomes below 138% of the Federal Poverty Level (FPL.)  In contrast, in states that did not expand Medicaid, the eligibility cut-off for many adults is significantly lower – sometimes below 20% FPL.  Thus, data on Medicaid eligibility is</w:t>
      </w:r>
      <w:r w:rsidR="0044281A" w:rsidRPr="00874ABF">
        <w:rPr>
          <w:rFonts w:ascii="Times New Roman" w:hAnsi="Times New Roman" w:cs="Times New Roman"/>
          <w:sz w:val="24"/>
          <w:szCs w:val="24"/>
        </w:rPr>
        <w:t xml:space="preserve"> generally</w:t>
      </w:r>
      <w:r w:rsidRPr="00874ABF">
        <w:rPr>
          <w:rFonts w:ascii="Times New Roman" w:hAnsi="Times New Roman" w:cs="Times New Roman"/>
          <w:sz w:val="24"/>
          <w:szCs w:val="24"/>
        </w:rPr>
        <w:t xml:space="preserve"> more indicative of a state’s policy choices than of need. </w:t>
      </w:r>
    </w:p>
    <w:p w:rsidR="00A73810" w:rsidRPr="00874ABF" w:rsidRDefault="0076117C" w:rsidP="008F798B">
      <w:pPr>
        <w:pStyle w:val="ListParagraph"/>
        <w:numPr>
          <w:ilvl w:val="0"/>
          <w:numId w:val="5"/>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There is no good national data on Medicaid eligibility.  While there is national data on Medicaid enrollment (the number of people actually enrolled), this data varies not only due to differences in state eligibility rules, but also based on “uptake rates” (the percentage of eligible persons who actually enroll.)  </w:t>
      </w:r>
    </w:p>
    <w:p w:rsidR="00F83DC5" w:rsidRPr="004F58B8" w:rsidRDefault="000E4312" w:rsidP="0091071C">
      <w:pPr>
        <w:pStyle w:val="Heading2"/>
        <w:rPr>
          <w:rStyle w:val="Heading3Char"/>
          <w:b/>
        </w:rPr>
      </w:pPr>
      <w:bookmarkStart w:id="14" w:name="_Toc505249661"/>
      <w:r w:rsidRPr="00874ABF">
        <w:rPr>
          <w:u w:val="single"/>
        </w:rPr>
        <w:t>Paragraph 31:</w:t>
      </w:r>
      <w:r w:rsidRPr="00874ABF">
        <w:t xml:space="preserve">  </w:t>
      </w:r>
      <w:r w:rsidR="00F83DC5" w:rsidRPr="004F58B8">
        <w:rPr>
          <w:rStyle w:val="Heading3Char"/>
          <w:b/>
        </w:rPr>
        <w:t>If a second-tier prioritization approach is needed, the FCC should use scores for rural Health Professional Shortage Areas (HPSA), as calculated by the Federal Department of Health and Human Services.</w:t>
      </w:r>
      <w:bookmarkEnd w:id="14"/>
      <w:r w:rsidR="00F83DC5" w:rsidRPr="004F58B8">
        <w:rPr>
          <w:rStyle w:val="Heading3Char"/>
          <w:b/>
        </w:rPr>
        <w:t xml:space="preserve">  </w:t>
      </w:r>
    </w:p>
    <w:p w:rsidR="00CC39F8" w:rsidRPr="00874ABF" w:rsidRDefault="000E4312" w:rsidP="002625A1">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As discussed </w:t>
      </w:r>
      <w:r w:rsidR="00CC39F8" w:rsidRPr="00874ABF">
        <w:rPr>
          <w:rFonts w:ascii="Times New Roman" w:hAnsi="Times New Roman" w:cs="Times New Roman"/>
          <w:sz w:val="24"/>
          <w:szCs w:val="24"/>
        </w:rPr>
        <w:t xml:space="preserve">above, if a funding prioritization approach is necessary, the first rule should be to fully fund all appropriate requests from health care providers who are RHCP-eligible under a plain reading of the statute.  </w:t>
      </w:r>
    </w:p>
    <w:p w:rsidR="00CC39F8" w:rsidRPr="00874ABF" w:rsidRDefault="00CC39F8" w:rsidP="008F798B">
      <w:pPr>
        <w:spacing w:after="0" w:line="480" w:lineRule="auto"/>
        <w:rPr>
          <w:rFonts w:ascii="Times New Roman" w:hAnsi="Times New Roman" w:cs="Times New Roman"/>
          <w:sz w:val="24"/>
          <w:szCs w:val="24"/>
        </w:rPr>
      </w:pPr>
    </w:p>
    <w:p w:rsidR="00CC39F8" w:rsidRPr="00874ABF" w:rsidRDefault="00CC39F8" w:rsidP="008F798B">
      <w:pPr>
        <w:spacing w:after="0" w:line="480" w:lineRule="auto"/>
        <w:rPr>
          <w:rFonts w:ascii="Times New Roman" w:hAnsi="Times New Roman" w:cs="Times New Roman"/>
          <w:sz w:val="24"/>
          <w:szCs w:val="24"/>
        </w:rPr>
      </w:pPr>
      <w:r w:rsidRPr="00874ABF">
        <w:rPr>
          <w:rFonts w:ascii="Times New Roman" w:hAnsi="Times New Roman" w:cs="Times New Roman"/>
          <w:sz w:val="24"/>
          <w:szCs w:val="24"/>
        </w:rPr>
        <w:lastRenderedPageBreak/>
        <w:t>However, if a second-tier prioritization approach is needed, NACCH recommends prioritizing requests from health care providers serving patients in areas with the greatest shortages of health professionals.</w:t>
      </w:r>
    </w:p>
    <w:p w:rsidR="000E4312" w:rsidRPr="00874ABF" w:rsidRDefault="00CC39F8" w:rsidP="0091071C">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Fortunately, the Federal government already has a system in place for quantifying and comparing shortages of health professionals.  As discussed </w:t>
      </w:r>
      <w:r w:rsidR="00E76017" w:rsidRPr="00874ABF">
        <w:rPr>
          <w:rFonts w:ascii="Times New Roman" w:hAnsi="Times New Roman" w:cs="Times New Roman"/>
          <w:sz w:val="24"/>
          <w:szCs w:val="24"/>
        </w:rPr>
        <w:t>i</w:t>
      </w:r>
      <w:r w:rsidR="000E4312" w:rsidRPr="00874ABF">
        <w:rPr>
          <w:rFonts w:ascii="Times New Roman" w:hAnsi="Times New Roman" w:cs="Times New Roman"/>
          <w:sz w:val="24"/>
          <w:szCs w:val="24"/>
        </w:rPr>
        <w:t xml:space="preserve">n the NPRM, the Federal Health Resources and Services Administration (HRSA) </w:t>
      </w:r>
      <w:r w:rsidRPr="00874ABF">
        <w:rPr>
          <w:rFonts w:ascii="Times New Roman" w:hAnsi="Times New Roman" w:cs="Times New Roman"/>
          <w:sz w:val="24"/>
          <w:szCs w:val="24"/>
        </w:rPr>
        <w:t xml:space="preserve">within the Department of Health and Human Services </w:t>
      </w:r>
      <w:r w:rsidR="000E4312" w:rsidRPr="00874ABF">
        <w:rPr>
          <w:rFonts w:ascii="Times New Roman" w:hAnsi="Times New Roman" w:cs="Times New Roman"/>
          <w:sz w:val="24"/>
          <w:szCs w:val="24"/>
        </w:rPr>
        <w:t xml:space="preserve">is charged with determining which geographic areas, populations, and facilities have a shortage of health care providers.  HRSA currently operates two distinct systems to identify and designate shortages:  Health Professional Shortage Areas (HPSAs) and Medically Underserved Areas/ Populations (MUA/Ps.)  (The two </w:t>
      </w:r>
      <w:r w:rsidR="00FD5F39" w:rsidRPr="00874ABF">
        <w:rPr>
          <w:rFonts w:ascii="Times New Roman" w:hAnsi="Times New Roman" w:cs="Times New Roman"/>
          <w:sz w:val="24"/>
          <w:szCs w:val="24"/>
        </w:rPr>
        <w:t xml:space="preserve">“shortage designation” </w:t>
      </w:r>
      <w:r w:rsidR="000E4312" w:rsidRPr="00874ABF">
        <w:rPr>
          <w:rFonts w:ascii="Times New Roman" w:hAnsi="Times New Roman" w:cs="Times New Roman"/>
          <w:sz w:val="24"/>
          <w:szCs w:val="24"/>
        </w:rPr>
        <w:t>systems were created by separate statutes</w:t>
      </w:r>
      <w:r w:rsidR="0044281A" w:rsidRPr="00874ABF">
        <w:rPr>
          <w:rFonts w:ascii="Times New Roman" w:hAnsi="Times New Roman" w:cs="Times New Roman"/>
          <w:sz w:val="24"/>
          <w:szCs w:val="24"/>
        </w:rPr>
        <w:t xml:space="preserve"> </w:t>
      </w:r>
      <w:r w:rsidR="000E4312" w:rsidRPr="00874ABF">
        <w:rPr>
          <w:rFonts w:ascii="Times New Roman" w:hAnsi="Times New Roman" w:cs="Times New Roman"/>
          <w:sz w:val="24"/>
          <w:szCs w:val="24"/>
        </w:rPr>
        <w:t>for different program</w:t>
      </w:r>
      <w:r w:rsidR="0044281A" w:rsidRPr="00874ABF">
        <w:rPr>
          <w:rFonts w:ascii="Times New Roman" w:hAnsi="Times New Roman" w:cs="Times New Roman"/>
          <w:sz w:val="24"/>
          <w:szCs w:val="24"/>
        </w:rPr>
        <w:t xml:space="preserve">s, and have </w:t>
      </w:r>
      <w:r w:rsidR="00F83DC5" w:rsidRPr="00874ABF">
        <w:rPr>
          <w:rFonts w:ascii="Times New Roman" w:hAnsi="Times New Roman" w:cs="Times New Roman"/>
          <w:sz w:val="24"/>
          <w:szCs w:val="24"/>
        </w:rPr>
        <w:t xml:space="preserve">minor technical </w:t>
      </w:r>
      <w:r w:rsidR="0044281A" w:rsidRPr="00874ABF">
        <w:rPr>
          <w:rFonts w:ascii="Times New Roman" w:hAnsi="Times New Roman" w:cs="Times New Roman"/>
          <w:sz w:val="24"/>
          <w:szCs w:val="24"/>
        </w:rPr>
        <w:t xml:space="preserve">differences.  However, they both generally seek to measure the same thing, and are </w:t>
      </w:r>
      <w:r w:rsidR="000E4312" w:rsidRPr="00874ABF">
        <w:rPr>
          <w:rFonts w:ascii="Times New Roman" w:hAnsi="Times New Roman" w:cs="Times New Roman"/>
          <w:sz w:val="24"/>
          <w:szCs w:val="24"/>
        </w:rPr>
        <w:t xml:space="preserve">overlapping – for example, a town can qualify as both a HPSA and an MUA.)  </w:t>
      </w:r>
    </w:p>
    <w:p w:rsidR="00F738D6" w:rsidRPr="00874ABF" w:rsidRDefault="00FD5F39" w:rsidP="0091071C">
      <w:pPr>
        <w:spacing w:after="0" w:line="480" w:lineRule="auto"/>
        <w:ind w:firstLine="720"/>
        <w:rPr>
          <w:rFonts w:ascii="Times New Roman" w:hAnsi="Times New Roman" w:cs="Times New Roman"/>
          <w:sz w:val="24"/>
          <w:szCs w:val="24"/>
        </w:rPr>
      </w:pPr>
      <w:r w:rsidRPr="00874ABF">
        <w:rPr>
          <w:rFonts w:ascii="Times New Roman" w:hAnsi="Times New Roman" w:cs="Times New Roman"/>
          <w:sz w:val="24"/>
          <w:szCs w:val="24"/>
        </w:rPr>
        <w:t xml:space="preserve">Given </w:t>
      </w:r>
      <w:r w:rsidR="0044281A" w:rsidRPr="00874ABF">
        <w:rPr>
          <w:rFonts w:ascii="Times New Roman" w:hAnsi="Times New Roman" w:cs="Times New Roman"/>
          <w:sz w:val="24"/>
          <w:szCs w:val="24"/>
        </w:rPr>
        <w:t xml:space="preserve">HRSA’s </w:t>
      </w:r>
      <w:r w:rsidRPr="00874ABF">
        <w:rPr>
          <w:rFonts w:ascii="Times New Roman" w:hAnsi="Times New Roman" w:cs="Times New Roman"/>
          <w:sz w:val="24"/>
          <w:szCs w:val="24"/>
        </w:rPr>
        <w:t>long-standing expertise</w:t>
      </w:r>
      <w:r w:rsidR="0044281A" w:rsidRPr="00874ABF">
        <w:rPr>
          <w:rFonts w:ascii="Times New Roman" w:hAnsi="Times New Roman" w:cs="Times New Roman"/>
          <w:sz w:val="24"/>
          <w:szCs w:val="24"/>
        </w:rPr>
        <w:t xml:space="preserve"> in this area</w:t>
      </w:r>
      <w:r w:rsidRPr="00874ABF">
        <w:rPr>
          <w:rFonts w:ascii="Times New Roman" w:hAnsi="Times New Roman" w:cs="Times New Roman"/>
          <w:sz w:val="24"/>
          <w:szCs w:val="24"/>
        </w:rPr>
        <w:t>, NACHC strongly encourages the FCC to use HRSA’s shortage designations as its measure of need for health care services.  Specifically, we recommend using HPSAs, because HRSA assigns each HPSA a numerical score (ranging from 0 to 2</w:t>
      </w:r>
      <w:r w:rsidR="0044281A" w:rsidRPr="00874ABF">
        <w:rPr>
          <w:rFonts w:ascii="Times New Roman" w:hAnsi="Times New Roman" w:cs="Times New Roman"/>
          <w:sz w:val="24"/>
          <w:szCs w:val="24"/>
        </w:rPr>
        <w:t>6</w:t>
      </w:r>
      <w:r w:rsidRPr="00874ABF">
        <w:rPr>
          <w:rFonts w:ascii="Times New Roman" w:hAnsi="Times New Roman" w:cs="Times New Roman"/>
          <w:sz w:val="24"/>
          <w:szCs w:val="24"/>
        </w:rPr>
        <w:t>), indicating its level of need, with 2</w:t>
      </w:r>
      <w:r w:rsidR="00CC39F8" w:rsidRPr="00874ABF">
        <w:rPr>
          <w:rFonts w:ascii="Times New Roman" w:hAnsi="Times New Roman" w:cs="Times New Roman"/>
          <w:sz w:val="24"/>
          <w:szCs w:val="24"/>
        </w:rPr>
        <w:t>6</w:t>
      </w:r>
      <w:r w:rsidRPr="00874ABF">
        <w:rPr>
          <w:rFonts w:ascii="Times New Roman" w:hAnsi="Times New Roman" w:cs="Times New Roman"/>
          <w:sz w:val="24"/>
          <w:szCs w:val="24"/>
        </w:rPr>
        <w:t xml:space="preserve"> being the highest.  (There is no scoring system for MUA/Ps.)  Thus, </w:t>
      </w:r>
      <w:r w:rsidR="00F738D6" w:rsidRPr="00874ABF">
        <w:rPr>
          <w:rFonts w:ascii="Times New Roman" w:hAnsi="Times New Roman" w:cs="Times New Roman"/>
          <w:sz w:val="24"/>
          <w:szCs w:val="24"/>
        </w:rPr>
        <w:t xml:space="preserve">HPSA scores provide a </w:t>
      </w:r>
      <w:r w:rsidR="0044281A" w:rsidRPr="00874ABF">
        <w:rPr>
          <w:rFonts w:ascii="Times New Roman" w:hAnsi="Times New Roman" w:cs="Times New Roman"/>
          <w:sz w:val="24"/>
          <w:szCs w:val="24"/>
        </w:rPr>
        <w:t>straightforward</w:t>
      </w:r>
      <w:r w:rsidR="00F738D6" w:rsidRPr="00874ABF">
        <w:rPr>
          <w:rFonts w:ascii="Times New Roman" w:hAnsi="Times New Roman" w:cs="Times New Roman"/>
          <w:sz w:val="24"/>
          <w:szCs w:val="24"/>
        </w:rPr>
        <w:t xml:space="preserve"> way to rank RHCP applicants according to level of need for health services.  </w:t>
      </w:r>
    </w:p>
    <w:p w:rsidR="00F738D6" w:rsidRPr="00874ABF" w:rsidRDefault="00F738D6" w:rsidP="0091071C">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 xml:space="preserve">The following factors should be taken into account when using HPSA scores to prioritize RHCP applicants:  </w:t>
      </w:r>
    </w:p>
    <w:p w:rsidR="0044281A" w:rsidRPr="00874ABF" w:rsidRDefault="0044281A" w:rsidP="008F798B">
      <w:pPr>
        <w:pStyle w:val="ListParagraph"/>
        <w:numPr>
          <w:ilvl w:val="0"/>
          <w:numId w:val="6"/>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HPSAs exist in both urban and rural areas.   Therefore, the FCC should implement a “screen” to restrict eligibility to those HPSAs located in rural areas.</w:t>
      </w:r>
    </w:p>
    <w:p w:rsidR="00FD5F39" w:rsidRPr="00874ABF" w:rsidRDefault="00F738D6" w:rsidP="008F798B">
      <w:pPr>
        <w:pStyle w:val="ListParagraph"/>
        <w:numPr>
          <w:ilvl w:val="0"/>
          <w:numId w:val="6"/>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lastRenderedPageBreak/>
        <w:t>Some RHCP applicants may qualify for more than one type of HPSA – for example, both a primary care and dental HPSA.  In these situations, the applicant should be permitted to use the highest score for which they qualify.</w:t>
      </w:r>
    </w:p>
    <w:p w:rsidR="00571772" w:rsidRPr="004F58B8" w:rsidRDefault="00D21207" w:rsidP="004E28A6">
      <w:pPr>
        <w:pStyle w:val="Heading3"/>
      </w:pPr>
      <w:bookmarkStart w:id="15" w:name="_Toc505249662"/>
      <w:r w:rsidRPr="0091071C">
        <w:rPr>
          <w:rStyle w:val="Heading2Char"/>
          <w:u w:val="single"/>
        </w:rPr>
        <w:t>Paragraph</w:t>
      </w:r>
      <w:r w:rsidR="00571772" w:rsidRPr="0091071C">
        <w:rPr>
          <w:rStyle w:val="Heading2Char"/>
          <w:u w:val="single"/>
        </w:rPr>
        <w:t>s</w:t>
      </w:r>
      <w:r w:rsidRPr="0091071C">
        <w:rPr>
          <w:rStyle w:val="Heading2Char"/>
          <w:u w:val="single"/>
        </w:rPr>
        <w:t xml:space="preserve"> 33</w:t>
      </w:r>
      <w:r w:rsidR="00571772" w:rsidRPr="0091071C">
        <w:rPr>
          <w:rStyle w:val="Heading2Char"/>
          <w:u w:val="single"/>
        </w:rPr>
        <w:t>-36</w:t>
      </w:r>
      <w:r w:rsidRPr="0091071C">
        <w:rPr>
          <w:rStyle w:val="Heading2Char"/>
          <w:u w:val="single"/>
        </w:rPr>
        <w:t>:</w:t>
      </w:r>
      <w:r w:rsidRPr="0091071C">
        <w:rPr>
          <w:rStyle w:val="Heading2Char"/>
        </w:rPr>
        <w:t xml:space="preserve">  </w:t>
      </w:r>
      <w:r w:rsidRPr="004F58B8">
        <w:rPr>
          <w:rStyle w:val="Heading2Char"/>
          <w:b/>
        </w:rPr>
        <w:t xml:space="preserve">NACHC strongly supports efforts to ensure that the vast majority of RHCP funds are directed to provider organizations who actually treat patients who reside in rural areas.  </w:t>
      </w:r>
      <w:r w:rsidR="00F8501B" w:rsidRPr="004F58B8">
        <w:rPr>
          <w:rStyle w:val="Heading2Char"/>
          <w:b/>
        </w:rPr>
        <w:t>This will require significantly tightening the rules on urban-rural consortia</w:t>
      </w:r>
      <w:r w:rsidR="00571772" w:rsidRPr="004F58B8">
        <w:t>, including:</w:t>
      </w:r>
      <w:bookmarkEnd w:id="15"/>
    </w:p>
    <w:p w:rsidR="00AB720D" w:rsidRPr="004F58B8" w:rsidRDefault="00AB720D" w:rsidP="004E28A6">
      <w:pPr>
        <w:pStyle w:val="Heading3"/>
        <w:numPr>
          <w:ilvl w:val="0"/>
          <w:numId w:val="30"/>
        </w:numPr>
      </w:pPr>
      <w:bookmarkStart w:id="16" w:name="_Toc505249663"/>
      <w:r w:rsidRPr="004F58B8">
        <w:t>The “majority rural” threshold should be raised to a “minimum 75% rural” threshold.</w:t>
      </w:r>
      <w:bookmarkEnd w:id="16"/>
      <w:r w:rsidRPr="004F58B8">
        <w:t xml:space="preserve"> </w:t>
      </w:r>
    </w:p>
    <w:p w:rsidR="00AB720D" w:rsidRPr="004F58B8" w:rsidRDefault="00AB720D" w:rsidP="004E28A6">
      <w:pPr>
        <w:pStyle w:val="Heading3"/>
        <w:numPr>
          <w:ilvl w:val="0"/>
          <w:numId w:val="30"/>
        </w:numPr>
      </w:pPr>
      <w:bookmarkStart w:id="17" w:name="_Toc505249664"/>
      <w:r w:rsidRPr="004F58B8">
        <w:t xml:space="preserve">There should be </w:t>
      </w:r>
      <w:r w:rsidRPr="004F58B8">
        <w:rPr>
          <w:u w:val="single"/>
        </w:rPr>
        <w:t>no</w:t>
      </w:r>
      <w:r w:rsidRPr="004F58B8">
        <w:t xml:space="preserve"> grace period for coming into compliance with requirements around minimum rural percentage.</w:t>
      </w:r>
      <w:bookmarkEnd w:id="17"/>
      <w:r w:rsidRPr="004F58B8">
        <w:t xml:space="preserve"> </w:t>
      </w:r>
    </w:p>
    <w:p w:rsidR="00A73810" w:rsidRPr="004F58B8" w:rsidRDefault="00AB720D" w:rsidP="004E28A6">
      <w:pPr>
        <w:pStyle w:val="Heading3"/>
        <w:numPr>
          <w:ilvl w:val="0"/>
          <w:numId w:val="30"/>
        </w:numPr>
      </w:pPr>
      <w:bookmarkStart w:id="18" w:name="_Toc505249665"/>
      <w:r w:rsidRPr="004F58B8">
        <w:t>As required under a plain reading of the statute, all consortia members must actually provide clinical services to rural residents to be eligible for RHCP funding.</w:t>
      </w:r>
      <w:bookmarkEnd w:id="18"/>
      <w:r w:rsidRPr="004F58B8">
        <w:t xml:space="preserve">  </w:t>
      </w:r>
    </w:p>
    <w:p w:rsidR="00571772" w:rsidRPr="00874ABF" w:rsidRDefault="008A5ECA" w:rsidP="0091071C">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 xml:space="preserve">NACHC strongly supports efforts to ensure that </w:t>
      </w:r>
      <w:r w:rsidR="00F8501B" w:rsidRPr="00874ABF">
        <w:rPr>
          <w:rFonts w:ascii="Times New Roman" w:hAnsi="Times New Roman" w:cs="Times New Roman"/>
          <w:sz w:val="24"/>
          <w:szCs w:val="24"/>
          <w:u w:val="single"/>
        </w:rPr>
        <w:t>all</w:t>
      </w:r>
      <w:r w:rsidR="00F8501B" w:rsidRPr="00874ABF">
        <w:rPr>
          <w:rFonts w:ascii="Times New Roman" w:hAnsi="Times New Roman" w:cs="Times New Roman"/>
          <w:sz w:val="24"/>
          <w:szCs w:val="24"/>
        </w:rPr>
        <w:t xml:space="preserve"> </w:t>
      </w:r>
      <w:r w:rsidRPr="00874ABF">
        <w:rPr>
          <w:rFonts w:ascii="Times New Roman" w:hAnsi="Times New Roman" w:cs="Times New Roman"/>
          <w:sz w:val="24"/>
          <w:szCs w:val="24"/>
        </w:rPr>
        <w:t xml:space="preserve">RHCP funds are directed to provider organizations who </w:t>
      </w:r>
      <w:r w:rsidR="00571772" w:rsidRPr="00874ABF">
        <w:rPr>
          <w:rFonts w:ascii="Times New Roman" w:hAnsi="Times New Roman" w:cs="Times New Roman"/>
          <w:sz w:val="24"/>
          <w:szCs w:val="24"/>
        </w:rPr>
        <w:t xml:space="preserve">are eligible under a “plain reading” of the statute – namely, nonprofit and public providers who </w:t>
      </w:r>
      <w:r w:rsidRPr="00874ABF">
        <w:rPr>
          <w:rFonts w:ascii="Times New Roman" w:hAnsi="Times New Roman" w:cs="Times New Roman"/>
          <w:sz w:val="24"/>
          <w:szCs w:val="24"/>
        </w:rPr>
        <w:t xml:space="preserve">actually treat patients who reside in rural areas.  </w:t>
      </w:r>
    </w:p>
    <w:p w:rsidR="00F8501B" w:rsidRPr="00874ABF" w:rsidRDefault="00F8501B" w:rsidP="0091071C">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t>Achieving this goal will require the FCC to significantly revise its rules around urban-rural consortia.</w:t>
      </w:r>
      <w:r w:rsidR="00571772" w:rsidRPr="00874ABF">
        <w:rPr>
          <w:rFonts w:ascii="Times New Roman" w:hAnsi="Times New Roman" w:cs="Times New Roman"/>
          <w:sz w:val="24"/>
          <w:szCs w:val="24"/>
        </w:rPr>
        <w:t xml:space="preserve">  </w:t>
      </w:r>
      <w:r w:rsidR="000260E2" w:rsidRPr="00874ABF">
        <w:rPr>
          <w:rFonts w:ascii="Times New Roman" w:hAnsi="Times New Roman" w:cs="Times New Roman"/>
          <w:sz w:val="24"/>
          <w:szCs w:val="24"/>
        </w:rPr>
        <w:t xml:space="preserve">At present, many </w:t>
      </w:r>
      <w:r w:rsidR="00571772" w:rsidRPr="00874ABF">
        <w:rPr>
          <w:rFonts w:ascii="Times New Roman" w:hAnsi="Times New Roman" w:cs="Times New Roman"/>
          <w:sz w:val="24"/>
          <w:szCs w:val="24"/>
        </w:rPr>
        <w:t xml:space="preserve">eligible </w:t>
      </w:r>
      <w:r w:rsidR="000260E2" w:rsidRPr="00874ABF">
        <w:rPr>
          <w:rFonts w:ascii="Times New Roman" w:hAnsi="Times New Roman" w:cs="Times New Roman"/>
          <w:sz w:val="24"/>
          <w:szCs w:val="24"/>
        </w:rPr>
        <w:t xml:space="preserve">consortia are nothing more than a “purchasing group” – the urban participants provide no clinical </w:t>
      </w:r>
      <w:r w:rsidR="00AB720D" w:rsidRPr="00874ABF">
        <w:rPr>
          <w:rFonts w:ascii="Times New Roman" w:hAnsi="Times New Roman" w:cs="Times New Roman"/>
          <w:sz w:val="24"/>
          <w:szCs w:val="24"/>
        </w:rPr>
        <w:t xml:space="preserve">or technical </w:t>
      </w:r>
      <w:r w:rsidR="000260E2" w:rsidRPr="00874ABF">
        <w:rPr>
          <w:rFonts w:ascii="Times New Roman" w:hAnsi="Times New Roman" w:cs="Times New Roman"/>
          <w:sz w:val="24"/>
          <w:szCs w:val="24"/>
        </w:rPr>
        <w:t xml:space="preserve">support to rural providers or their patients. </w:t>
      </w:r>
      <w:r w:rsidRPr="00874ABF">
        <w:rPr>
          <w:rFonts w:ascii="Times New Roman" w:hAnsi="Times New Roman" w:cs="Times New Roman"/>
          <w:sz w:val="24"/>
          <w:szCs w:val="24"/>
        </w:rPr>
        <w:t xml:space="preserve"> Yet the existence of these consortia is significantly distorting the RHCP by reducing funding and increasing administrative burden on the providers whom the statute was clearly intended to support.  </w:t>
      </w:r>
    </w:p>
    <w:p w:rsidR="00F8501B" w:rsidRPr="00874ABF" w:rsidRDefault="00F8501B" w:rsidP="0091071C">
      <w:pPr>
        <w:spacing w:after="0" w:line="480" w:lineRule="auto"/>
        <w:ind w:firstLine="360"/>
        <w:rPr>
          <w:rFonts w:ascii="Times New Roman" w:hAnsi="Times New Roman" w:cs="Times New Roman"/>
          <w:sz w:val="24"/>
          <w:szCs w:val="24"/>
        </w:rPr>
      </w:pPr>
      <w:r w:rsidRPr="00874ABF">
        <w:rPr>
          <w:rFonts w:ascii="Times New Roman" w:hAnsi="Times New Roman" w:cs="Times New Roman"/>
          <w:sz w:val="24"/>
          <w:szCs w:val="24"/>
        </w:rPr>
        <w:lastRenderedPageBreak/>
        <w:t>While NACHC supports the continuation of rural-urban consortia, to ensure consistency with statutory intent, these consortia must be restructured such that:</w:t>
      </w:r>
    </w:p>
    <w:p w:rsidR="00571772" w:rsidRPr="00874ABF" w:rsidRDefault="00571772" w:rsidP="008F798B">
      <w:pPr>
        <w:pStyle w:val="ListParagraph"/>
        <w:numPr>
          <w:ilvl w:val="0"/>
          <w:numId w:val="21"/>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The “majority rural” threshold should be raised to a “minimum 75% rural” threshold.  Even under this higher threshold, given the relative size of urban versus rural providers, it is likely urban providers will receive more funding that rural providers – which is inconsistent with statutory intent.  </w:t>
      </w:r>
    </w:p>
    <w:p w:rsidR="00571772" w:rsidRPr="00874ABF" w:rsidRDefault="00571772" w:rsidP="008F798B">
      <w:pPr>
        <w:pStyle w:val="ListParagraph"/>
        <w:numPr>
          <w:ilvl w:val="0"/>
          <w:numId w:val="21"/>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There should be </w:t>
      </w:r>
      <w:r w:rsidRPr="00874ABF">
        <w:rPr>
          <w:rFonts w:ascii="Times New Roman" w:hAnsi="Times New Roman" w:cs="Times New Roman"/>
          <w:sz w:val="24"/>
          <w:szCs w:val="24"/>
          <w:u w:val="single"/>
        </w:rPr>
        <w:t>no</w:t>
      </w:r>
      <w:r w:rsidRPr="00874ABF">
        <w:rPr>
          <w:rFonts w:ascii="Times New Roman" w:hAnsi="Times New Roman" w:cs="Times New Roman"/>
          <w:sz w:val="24"/>
          <w:szCs w:val="24"/>
        </w:rPr>
        <w:t xml:space="preserve"> grace period for coming into compliance with requirements around minimum rural percentage (currently “majority rural”, ideally “at minimum 75% rural.”)  </w:t>
      </w:r>
      <w:r w:rsidR="005025DF" w:rsidRPr="00874ABF">
        <w:rPr>
          <w:rFonts w:ascii="Times New Roman" w:hAnsi="Times New Roman" w:cs="Times New Roman"/>
          <w:sz w:val="24"/>
          <w:szCs w:val="24"/>
        </w:rPr>
        <w:t xml:space="preserve">The existence of any grace period is simply another means for redirecting support intended to rural health care providers to urban providers.  </w:t>
      </w:r>
    </w:p>
    <w:p w:rsidR="00C12125" w:rsidRPr="00874ABF" w:rsidRDefault="00F8501B" w:rsidP="008C012A">
      <w:pPr>
        <w:pStyle w:val="ListParagraph"/>
        <w:numPr>
          <w:ilvl w:val="0"/>
          <w:numId w:val="21"/>
        </w:numPr>
        <w:spacing w:after="0" w:line="480" w:lineRule="auto"/>
        <w:rPr>
          <w:rFonts w:ascii="Times New Roman" w:hAnsi="Times New Roman" w:cs="Times New Roman"/>
          <w:sz w:val="24"/>
          <w:szCs w:val="24"/>
        </w:rPr>
      </w:pPr>
      <w:r w:rsidRPr="00874ABF">
        <w:rPr>
          <w:rFonts w:ascii="Times New Roman" w:hAnsi="Times New Roman" w:cs="Times New Roman"/>
          <w:i/>
          <w:sz w:val="24"/>
          <w:szCs w:val="24"/>
          <w:u w:val="single"/>
        </w:rPr>
        <w:t>All</w:t>
      </w:r>
      <w:r w:rsidRPr="00874ABF">
        <w:rPr>
          <w:rFonts w:ascii="Times New Roman" w:hAnsi="Times New Roman" w:cs="Times New Roman"/>
          <w:i/>
          <w:sz w:val="24"/>
          <w:szCs w:val="24"/>
        </w:rPr>
        <w:t xml:space="preserve"> health care providers who receive RHCP funds must actually provide </w:t>
      </w:r>
      <w:r w:rsidRPr="00874ABF">
        <w:rPr>
          <w:rFonts w:ascii="Times New Roman" w:hAnsi="Times New Roman" w:cs="Times New Roman"/>
          <w:i/>
          <w:sz w:val="24"/>
          <w:szCs w:val="24"/>
          <w:u w:val="single"/>
        </w:rPr>
        <w:t>clinical</w:t>
      </w:r>
      <w:r w:rsidRPr="00874ABF">
        <w:rPr>
          <w:rFonts w:ascii="Times New Roman" w:hAnsi="Times New Roman" w:cs="Times New Roman"/>
          <w:i/>
          <w:sz w:val="24"/>
          <w:szCs w:val="24"/>
        </w:rPr>
        <w:t xml:space="preserve"> services to rural residents.</w:t>
      </w:r>
      <w:r w:rsidR="00571772" w:rsidRPr="00874ABF">
        <w:rPr>
          <w:rFonts w:ascii="Times New Roman" w:hAnsi="Times New Roman" w:cs="Times New Roman"/>
          <w:i/>
          <w:sz w:val="24"/>
          <w:szCs w:val="24"/>
        </w:rPr>
        <w:t xml:space="preserve">  This is required under a plain reading of statute.</w:t>
      </w:r>
      <w:r w:rsidR="00AB720D" w:rsidRPr="00874ABF">
        <w:rPr>
          <w:rFonts w:ascii="Times New Roman" w:hAnsi="Times New Roman" w:cs="Times New Roman"/>
          <w:sz w:val="24"/>
          <w:szCs w:val="24"/>
        </w:rPr>
        <w:t xml:space="preserve">  In addition, </w:t>
      </w:r>
      <w:r w:rsidR="00647BC9" w:rsidRPr="00874ABF">
        <w:rPr>
          <w:rFonts w:ascii="Times New Roman" w:hAnsi="Times New Roman" w:cs="Times New Roman"/>
          <w:sz w:val="24"/>
          <w:szCs w:val="24"/>
        </w:rPr>
        <w:t>it</w:t>
      </w:r>
      <w:r w:rsidR="00AB720D" w:rsidRPr="00874ABF">
        <w:rPr>
          <w:rFonts w:ascii="Times New Roman" w:hAnsi="Times New Roman" w:cs="Times New Roman"/>
          <w:sz w:val="24"/>
          <w:szCs w:val="24"/>
        </w:rPr>
        <w:t xml:space="preserve"> is our view that the failure to enforce this requirement is a major reason for </w:t>
      </w:r>
      <w:r w:rsidR="00647BC9" w:rsidRPr="00874ABF">
        <w:rPr>
          <w:rFonts w:ascii="Times New Roman" w:hAnsi="Times New Roman" w:cs="Times New Roman"/>
          <w:sz w:val="24"/>
          <w:szCs w:val="24"/>
        </w:rPr>
        <w:t>the rapid</w:t>
      </w:r>
      <w:r w:rsidR="00AB720D" w:rsidRPr="00874ABF">
        <w:rPr>
          <w:rFonts w:ascii="Times New Roman" w:hAnsi="Times New Roman" w:cs="Times New Roman"/>
          <w:sz w:val="24"/>
          <w:szCs w:val="24"/>
        </w:rPr>
        <w:t xml:space="preserve"> growth of “consortia” that </w:t>
      </w:r>
      <w:r w:rsidR="00647BC9">
        <w:rPr>
          <w:rFonts w:ascii="Times New Roman" w:hAnsi="Times New Roman" w:cs="Times New Roman"/>
          <w:sz w:val="24"/>
          <w:szCs w:val="24"/>
        </w:rPr>
        <w:t xml:space="preserve">in practice are </w:t>
      </w:r>
      <w:r w:rsidR="00AB720D" w:rsidRPr="00874ABF">
        <w:rPr>
          <w:rFonts w:ascii="Times New Roman" w:hAnsi="Times New Roman" w:cs="Times New Roman"/>
          <w:sz w:val="24"/>
          <w:szCs w:val="24"/>
        </w:rPr>
        <w:t xml:space="preserve">nothing more than telecomm purchasing groups.  In response to this requirement, we expect that many urban providers will either drop out of the program or start providing clinical support to their rural “partners.”  In either situation, rural providers and their patients will benefit, as there will be more RHCP funding and clinical support to meet their needs.  </w:t>
      </w:r>
    </w:p>
    <w:p w:rsidR="00C12125" w:rsidRPr="00874ABF" w:rsidRDefault="00C12125" w:rsidP="008F798B">
      <w:pPr>
        <w:spacing w:after="0" w:line="480" w:lineRule="auto"/>
        <w:ind w:left="720"/>
        <w:jc w:val="center"/>
        <w:rPr>
          <w:rFonts w:ascii="Times New Roman" w:eastAsia="Arial" w:hAnsi="Times New Roman" w:cs="Times New Roman"/>
          <w:b/>
          <w:sz w:val="24"/>
          <w:szCs w:val="24"/>
        </w:rPr>
      </w:pPr>
    </w:p>
    <w:p w:rsidR="00D6267F" w:rsidRPr="00874ABF" w:rsidRDefault="00D6267F" w:rsidP="00DF36CE">
      <w:pPr>
        <w:pStyle w:val="Heading1"/>
      </w:pPr>
      <w:bookmarkStart w:id="19" w:name="_Toc505249666"/>
      <w:r w:rsidRPr="00874ABF">
        <w:rPr>
          <w:rFonts w:eastAsia="Arial"/>
        </w:rPr>
        <w:t xml:space="preserve">Section B:  </w:t>
      </w:r>
      <w:r w:rsidRPr="00874ABF">
        <w:t>Promoting Efficient Operation of the RHC Program to Prevent Waste, Fraud, and Abuse</w:t>
      </w:r>
      <w:bookmarkEnd w:id="19"/>
    </w:p>
    <w:p w:rsidR="00DF36CE" w:rsidRDefault="00DF36CE" w:rsidP="00DF36CE">
      <w:pPr>
        <w:pStyle w:val="Heading2"/>
      </w:pPr>
    </w:p>
    <w:p w:rsidR="00D6267F" w:rsidRPr="00874ABF" w:rsidRDefault="00D6267F" w:rsidP="00DF36CE">
      <w:pPr>
        <w:pStyle w:val="Heading2"/>
      </w:pPr>
      <w:bookmarkStart w:id="20" w:name="_Toc505249667"/>
      <w:r w:rsidRPr="00874ABF">
        <w:t>NACHC strongly supports efforts to increase the integrity of the RHCP.</w:t>
      </w:r>
      <w:bookmarkEnd w:id="20"/>
      <w:r w:rsidRPr="00874ABF">
        <w:t xml:space="preserve">  </w:t>
      </w:r>
    </w:p>
    <w:p w:rsidR="00D6267F" w:rsidRPr="00874ABF" w:rsidRDefault="00D6267F" w:rsidP="00DF36CE">
      <w:pPr>
        <w:spacing w:after="0" w:line="480" w:lineRule="auto"/>
        <w:rPr>
          <w:rFonts w:ascii="Times New Roman" w:hAnsi="Times New Roman" w:cs="Times New Roman"/>
          <w:sz w:val="24"/>
          <w:szCs w:val="24"/>
        </w:rPr>
      </w:pPr>
      <w:r w:rsidRPr="00874ABF">
        <w:rPr>
          <w:rFonts w:ascii="Times New Roman" w:hAnsi="Times New Roman" w:cs="Times New Roman"/>
          <w:sz w:val="24"/>
          <w:szCs w:val="24"/>
        </w:rPr>
        <w:lastRenderedPageBreak/>
        <w:t>This includes efforts to:</w:t>
      </w:r>
    </w:p>
    <w:p w:rsidR="00D6267F" w:rsidRPr="00874ABF" w:rsidRDefault="00D6267F" w:rsidP="008F798B">
      <w:pPr>
        <w:pStyle w:val="ListParagraph"/>
        <w:numPr>
          <w:ilvl w:val="0"/>
          <w:numId w:val="23"/>
        </w:numPr>
        <w:spacing w:after="0" w:line="480" w:lineRule="auto"/>
        <w:rPr>
          <w:rFonts w:ascii="Times New Roman" w:hAnsi="Times New Roman" w:cs="Times New Roman"/>
          <w:sz w:val="24"/>
          <w:szCs w:val="24"/>
        </w:rPr>
      </w:pPr>
      <w:r w:rsidRPr="00874ABF">
        <w:rPr>
          <w:rFonts w:ascii="Times New Roman" w:hAnsi="Times New Roman" w:cs="Times New Roman"/>
          <w:sz w:val="24"/>
          <w:szCs w:val="24"/>
        </w:rPr>
        <w:t xml:space="preserve">identify and cap outlier costs; </w:t>
      </w:r>
    </w:p>
    <w:p w:rsidR="00D6267F" w:rsidRPr="00874ABF" w:rsidRDefault="00D6267F" w:rsidP="008F798B">
      <w:pPr>
        <w:pStyle w:val="footnotedescription"/>
        <w:numPr>
          <w:ilvl w:val="0"/>
          <w:numId w:val="23"/>
        </w:numPr>
        <w:spacing w:after="0" w:line="480" w:lineRule="auto"/>
        <w:rPr>
          <w:sz w:val="24"/>
          <w:szCs w:val="24"/>
        </w:rPr>
      </w:pPr>
      <w:r w:rsidRPr="00874ABF">
        <w:rPr>
          <w:sz w:val="24"/>
          <w:szCs w:val="24"/>
        </w:rPr>
        <w:t>reduce opportunities for manipulating the rural and urban rates in the Telecom Program more generally</w:t>
      </w:r>
      <w:r w:rsidR="00DF36CE">
        <w:rPr>
          <w:sz w:val="24"/>
          <w:szCs w:val="24"/>
        </w:rPr>
        <w:t xml:space="preserve">, and </w:t>
      </w:r>
    </w:p>
    <w:p w:rsidR="002D7FAC" w:rsidRDefault="002A3E10" w:rsidP="002D7FAC">
      <w:pPr>
        <w:pStyle w:val="footnotedescription"/>
        <w:numPr>
          <w:ilvl w:val="0"/>
          <w:numId w:val="23"/>
        </w:numPr>
        <w:spacing w:after="0" w:line="480" w:lineRule="auto"/>
        <w:rPr>
          <w:sz w:val="24"/>
          <w:szCs w:val="24"/>
        </w:rPr>
      </w:pPr>
      <w:r w:rsidRPr="00874ABF">
        <w:rPr>
          <w:sz w:val="24"/>
          <w:szCs w:val="24"/>
        </w:rPr>
        <w:t>codify and enforc</w:t>
      </w:r>
      <w:r w:rsidR="00D6267F" w:rsidRPr="00874ABF">
        <w:rPr>
          <w:sz w:val="24"/>
          <w:szCs w:val="24"/>
        </w:rPr>
        <w:t>e</w:t>
      </w:r>
      <w:r w:rsidRPr="00874ABF">
        <w:rPr>
          <w:sz w:val="24"/>
          <w:szCs w:val="24"/>
        </w:rPr>
        <w:t xml:space="preserve"> reasonable rules around</w:t>
      </w:r>
      <w:r w:rsidR="00D6267F" w:rsidRPr="00874ABF">
        <w:rPr>
          <w:sz w:val="24"/>
          <w:szCs w:val="24"/>
        </w:rPr>
        <w:t>:</w:t>
      </w:r>
      <w:r w:rsidRPr="00874ABF">
        <w:rPr>
          <w:sz w:val="24"/>
          <w:szCs w:val="24"/>
        </w:rPr>
        <w:t xml:space="preserve"> the use of consultants; restrictions on gifts; and invoicing deadlines.   </w:t>
      </w:r>
    </w:p>
    <w:p w:rsidR="002D7FAC" w:rsidRPr="00874ABF" w:rsidRDefault="002D7FAC" w:rsidP="00DF36CE">
      <w:pPr>
        <w:pStyle w:val="Heading1"/>
      </w:pPr>
    </w:p>
    <w:p w:rsidR="002D7FAC" w:rsidRPr="00874ABF" w:rsidRDefault="00D6267F" w:rsidP="00DF36CE">
      <w:pPr>
        <w:pStyle w:val="Heading1"/>
      </w:pPr>
      <w:bookmarkStart w:id="21" w:name="_Toc505249668"/>
      <w:r w:rsidRPr="00874ABF">
        <w:rPr>
          <w:rFonts w:eastAsia="Calibri"/>
        </w:rPr>
        <w:t xml:space="preserve">Section </w:t>
      </w:r>
      <w:r w:rsidRPr="00874ABF">
        <w:t>C.</w:t>
      </w:r>
      <w:r w:rsidRPr="00874ABF">
        <w:rPr>
          <w:rFonts w:eastAsia="Arial"/>
        </w:rPr>
        <w:t xml:space="preserve">  </w:t>
      </w:r>
      <w:r w:rsidRPr="00874ABF">
        <w:t>Improving Oversight of the RHC Program</w:t>
      </w:r>
      <w:bookmarkEnd w:id="21"/>
    </w:p>
    <w:p w:rsidR="00DF36CE" w:rsidRDefault="00DF36CE" w:rsidP="002D7FAC">
      <w:pPr>
        <w:spacing w:line="480" w:lineRule="auto"/>
        <w:rPr>
          <w:rFonts w:ascii="Times New Roman" w:hAnsi="Times New Roman" w:cs="Times New Roman"/>
          <w:b/>
          <w:sz w:val="24"/>
          <w:szCs w:val="24"/>
          <w:u w:val="single"/>
        </w:rPr>
      </w:pPr>
    </w:p>
    <w:p w:rsidR="002D7FAC" w:rsidRPr="00874ABF" w:rsidRDefault="002A3E10" w:rsidP="00DF36CE">
      <w:pPr>
        <w:pStyle w:val="Heading2"/>
      </w:pPr>
      <w:bookmarkStart w:id="22" w:name="_Toc505249669"/>
      <w:r w:rsidRPr="00874ABF">
        <w:rPr>
          <w:u w:val="single"/>
        </w:rPr>
        <w:t>Paragraphs 92-94:</w:t>
      </w:r>
      <w:r w:rsidRPr="00874ABF">
        <w:t xml:space="preserve">  NACHC strongly supports efforts to simplify </w:t>
      </w:r>
      <w:r w:rsidR="00BF7A0F" w:rsidRPr="00874ABF">
        <w:t>t</w:t>
      </w:r>
      <w:r w:rsidR="007F3CA5" w:rsidRPr="00874ABF">
        <w:t xml:space="preserve">he application and funding process so that it no longer disadvantages </w:t>
      </w:r>
      <w:r w:rsidR="00BF7A0F" w:rsidRPr="00874ABF">
        <w:t xml:space="preserve">and discourages </w:t>
      </w:r>
      <w:r w:rsidR="007F3CA5" w:rsidRPr="00874ABF">
        <w:t>small providers</w:t>
      </w:r>
      <w:r w:rsidR="00BF7A0F" w:rsidRPr="00874ABF">
        <w:t xml:space="preserve"> from participating</w:t>
      </w:r>
      <w:r w:rsidR="007F3CA5" w:rsidRPr="00874ABF">
        <w:t>.</w:t>
      </w:r>
      <w:bookmarkEnd w:id="22"/>
      <w:r w:rsidR="007F3CA5" w:rsidRPr="00874ABF">
        <w:t xml:space="preserve">  </w:t>
      </w:r>
    </w:p>
    <w:p w:rsidR="00E356F0" w:rsidRPr="00874ABF" w:rsidRDefault="007F3CA5" w:rsidP="00DF36CE">
      <w:pPr>
        <w:spacing w:line="480" w:lineRule="auto"/>
        <w:ind w:firstLine="720"/>
        <w:rPr>
          <w:rFonts w:ascii="Times New Roman" w:hAnsi="Times New Roman" w:cs="Times New Roman"/>
          <w:b/>
          <w:sz w:val="24"/>
          <w:szCs w:val="24"/>
        </w:rPr>
      </w:pPr>
      <w:r w:rsidRPr="00874ABF">
        <w:rPr>
          <w:rFonts w:ascii="Times New Roman" w:hAnsi="Times New Roman" w:cs="Times New Roman"/>
          <w:sz w:val="24"/>
          <w:szCs w:val="24"/>
        </w:rPr>
        <w:t>At present, the application process is so complex and extensive that</w:t>
      </w:r>
      <w:r w:rsidR="002A3E10" w:rsidRPr="00874ABF">
        <w:rPr>
          <w:rFonts w:ascii="Times New Roman" w:hAnsi="Times New Roman" w:cs="Times New Roman"/>
          <w:sz w:val="24"/>
          <w:szCs w:val="24"/>
        </w:rPr>
        <w:t xml:space="preserve"> health care</w:t>
      </w:r>
      <w:r w:rsidRPr="00874ABF">
        <w:rPr>
          <w:rFonts w:ascii="Times New Roman" w:hAnsi="Times New Roman" w:cs="Times New Roman"/>
          <w:sz w:val="24"/>
          <w:szCs w:val="24"/>
        </w:rPr>
        <w:t xml:space="preserve"> providers often hire consultants to navigate it.  This puts smaller providers </w:t>
      </w:r>
      <w:r w:rsidR="002A3E10" w:rsidRPr="00874ABF">
        <w:rPr>
          <w:rFonts w:ascii="Times New Roman" w:hAnsi="Times New Roman" w:cs="Times New Roman"/>
          <w:sz w:val="24"/>
          <w:szCs w:val="24"/>
        </w:rPr>
        <w:t>such as CHCs</w:t>
      </w:r>
      <w:r w:rsidRPr="00874ABF">
        <w:rPr>
          <w:rFonts w:ascii="Times New Roman" w:hAnsi="Times New Roman" w:cs="Times New Roman"/>
          <w:sz w:val="24"/>
          <w:szCs w:val="24"/>
        </w:rPr>
        <w:t>– who cannot afford consultants – at a disadvantage</w:t>
      </w:r>
      <w:r w:rsidR="002A3E10" w:rsidRPr="00874ABF">
        <w:rPr>
          <w:rFonts w:ascii="Times New Roman" w:hAnsi="Times New Roman" w:cs="Times New Roman"/>
          <w:sz w:val="24"/>
          <w:szCs w:val="24"/>
        </w:rPr>
        <w:t>, and increasingly is forcing them to drop out of the program</w:t>
      </w:r>
      <w:r w:rsidRPr="00874ABF">
        <w:rPr>
          <w:rFonts w:ascii="Times New Roman" w:hAnsi="Times New Roman" w:cs="Times New Roman"/>
          <w:sz w:val="24"/>
          <w:szCs w:val="24"/>
        </w:rPr>
        <w:t xml:space="preserve">.  It also can lead to providers incurring late fees over which they have no control. </w:t>
      </w:r>
    </w:p>
    <w:p w:rsidR="00815B9A" w:rsidRDefault="00815B9A" w:rsidP="00DF36CE">
      <w:pPr>
        <w:rPr>
          <w:rFonts w:ascii="Times New Roman" w:hAnsi="Times New Roman" w:cs="Times New Roman"/>
          <w:sz w:val="24"/>
          <w:szCs w:val="24"/>
        </w:rPr>
      </w:pPr>
    </w:p>
    <w:p w:rsidR="00815B9A" w:rsidRDefault="00815B9A" w:rsidP="00DF36CE">
      <w:pPr>
        <w:rPr>
          <w:rFonts w:ascii="Times New Roman" w:hAnsi="Times New Roman" w:cs="Times New Roman"/>
          <w:sz w:val="24"/>
          <w:szCs w:val="24"/>
        </w:rPr>
      </w:pPr>
    </w:p>
    <w:p w:rsidR="00DF36CE" w:rsidRPr="00DF36CE" w:rsidRDefault="00DF36CE" w:rsidP="00DF36CE">
      <w:pPr>
        <w:rPr>
          <w:rFonts w:ascii="Times New Roman" w:hAnsi="Times New Roman" w:cs="Times New Roman"/>
          <w:sz w:val="24"/>
          <w:szCs w:val="24"/>
        </w:rPr>
      </w:pPr>
      <w:r w:rsidRPr="00DF36CE">
        <w:rPr>
          <w:rFonts w:ascii="Times New Roman" w:hAnsi="Times New Roman" w:cs="Times New Roman"/>
          <w:sz w:val="24"/>
          <w:szCs w:val="24"/>
        </w:rPr>
        <w:t>Respectfully submitted,</w:t>
      </w:r>
    </w:p>
    <w:p w:rsidR="00DF36CE" w:rsidRPr="00DF36CE" w:rsidRDefault="00DF36CE" w:rsidP="00DF36CE">
      <w:pPr>
        <w:ind w:left="4320"/>
        <w:rPr>
          <w:rFonts w:ascii="Times New Roman" w:hAnsi="Times New Roman" w:cs="Times New Roman"/>
          <w:sz w:val="24"/>
          <w:szCs w:val="24"/>
        </w:rPr>
      </w:pPr>
    </w:p>
    <w:p w:rsidR="00563B2F" w:rsidRPr="00874ABF" w:rsidRDefault="00563B2F" w:rsidP="00815B9A">
      <w:pPr>
        <w:spacing w:after="0" w:line="480" w:lineRule="auto"/>
        <w:ind w:left="-1"/>
        <w:rPr>
          <w:rFonts w:ascii="Times New Roman" w:hAnsi="Times New Roman" w:cs="Times New Roman"/>
          <w:sz w:val="24"/>
          <w:szCs w:val="24"/>
        </w:rPr>
      </w:pPr>
      <w:r w:rsidRPr="00874ABF">
        <w:rPr>
          <w:rFonts w:ascii="Times New Roman" w:hAnsi="Times New Roman" w:cs="Times New Roman"/>
          <w:sz w:val="24"/>
          <w:szCs w:val="24"/>
        </w:rPr>
        <w:t xml:space="preserve">Colleen P. Meiman, MPPA  </w:t>
      </w:r>
    </w:p>
    <w:p w:rsidR="00563B2F" w:rsidRPr="00874ABF" w:rsidRDefault="00563B2F" w:rsidP="00815B9A">
      <w:pPr>
        <w:spacing w:after="0" w:line="480" w:lineRule="auto"/>
        <w:ind w:left="-1"/>
        <w:rPr>
          <w:rFonts w:ascii="Times New Roman" w:hAnsi="Times New Roman" w:cs="Times New Roman"/>
          <w:sz w:val="24"/>
          <w:szCs w:val="24"/>
        </w:rPr>
      </w:pPr>
      <w:r w:rsidRPr="00874ABF">
        <w:rPr>
          <w:rFonts w:ascii="Times New Roman" w:hAnsi="Times New Roman" w:cs="Times New Roman"/>
          <w:sz w:val="24"/>
          <w:szCs w:val="24"/>
        </w:rPr>
        <w:t>Senior Policy Advisor</w:t>
      </w:r>
    </w:p>
    <w:p w:rsidR="00563B2F" w:rsidRPr="00874ABF" w:rsidRDefault="00563B2F" w:rsidP="00815B9A">
      <w:pPr>
        <w:spacing w:after="0" w:line="480" w:lineRule="auto"/>
        <w:ind w:left="-1"/>
        <w:rPr>
          <w:rFonts w:ascii="Times New Roman" w:hAnsi="Times New Roman" w:cs="Times New Roman"/>
          <w:sz w:val="24"/>
          <w:szCs w:val="24"/>
        </w:rPr>
      </w:pPr>
      <w:r w:rsidRPr="00874ABF">
        <w:rPr>
          <w:rFonts w:ascii="Times New Roman" w:hAnsi="Times New Roman" w:cs="Times New Roman"/>
          <w:sz w:val="24"/>
          <w:szCs w:val="24"/>
        </w:rPr>
        <w:t xml:space="preserve">National Association of Community Health Centers </w:t>
      </w:r>
    </w:p>
    <w:p w:rsidR="00563B2F" w:rsidRPr="00874ABF" w:rsidRDefault="00563B2F" w:rsidP="00815B9A">
      <w:pPr>
        <w:tabs>
          <w:tab w:val="center" w:pos="5674"/>
        </w:tabs>
        <w:spacing w:after="0" w:line="480" w:lineRule="auto"/>
        <w:rPr>
          <w:rFonts w:ascii="Times New Roman" w:hAnsi="Times New Roman" w:cs="Times New Roman"/>
          <w:sz w:val="24"/>
          <w:szCs w:val="24"/>
        </w:rPr>
      </w:pPr>
      <w:r w:rsidRPr="00874ABF">
        <w:rPr>
          <w:rFonts w:ascii="Times New Roman" w:hAnsi="Times New Roman" w:cs="Times New Roman"/>
          <w:color w:val="0363C0"/>
          <w:sz w:val="24"/>
          <w:szCs w:val="24"/>
          <w:u w:val="single" w:color="0363C0"/>
        </w:rPr>
        <w:t>cmeiman@nachc.org</w:t>
      </w:r>
      <w:r w:rsidRPr="00874ABF">
        <w:rPr>
          <w:rFonts w:ascii="Times New Roman" w:hAnsi="Times New Roman" w:cs="Times New Roman"/>
          <w:sz w:val="24"/>
          <w:szCs w:val="24"/>
        </w:rPr>
        <w:t xml:space="preserve">  </w:t>
      </w:r>
    </w:p>
    <w:p w:rsidR="00563B2F" w:rsidRPr="00874ABF" w:rsidRDefault="00563B2F" w:rsidP="00815B9A">
      <w:pPr>
        <w:tabs>
          <w:tab w:val="center" w:pos="5674"/>
        </w:tabs>
        <w:spacing w:after="0" w:line="480" w:lineRule="auto"/>
        <w:rPr>
          <w:rFonts w:ascii="Times New Roman" w:hAnsi="Times New Roman" w:cs="Times New Roman"/>
        </w:rPr>
      </w:pPr>
      <w:r w:rsidRPr="00874ABF">
        <w:rPr>
          <w:rFonts w:ascii="Times New Roman" w:hAnsi="Times New Roman" w:cs="Times New Roman"/>
          <w:sz w:val="24"/>
          <w:szCs w:val="24"/>
        </w:rPr>
        <w:lastRenderedPageBreak/>
        <w:t>202-296-0158</w:t>
      </w:r>
      <w:r w:rsidRPr="00874ABF">
        <w:rPr>
          <w:rFonts w:ascii="Times New Roman" w:hAnsi="Times New Roman" w:cs="Times New Roman"/>
        </w:rPr>
        <w:tab/>
        <w:t xml:space="preserve"> </w:t>
      </w:r>
    </w:p>
    <w:sectPr w:rsidR="00563B2F" w:rsidRPr="00874ABF" w:rsidSect="0078092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967" w:rsidRDefault="00111967" w:rsidP="005D19B8">
      <w:pPr>
        <w:spacing w:after="0" w:line="240" w:lineRule="auto"/>
      </w:pPr>
      <w:r>
        <w:separator/>
      </w:r>
    </w:p>
    <w:p w:rsidR="00B22735" w:rsidRDefault="00B22735"/>
  </w:endnote>
  <w:endnote w:type="continuationSeparator" w:id="0">
    <w:p w:rsidR="00111967" w:rsidRDefault="00111967" w:rsidP="005D19B8">
      <w:pPr>
        <w:spacing w:after="0" w:line="240" w:lineRule="auto"/>
      </w:pPr>
      <w:r>
        <w:continuationSeparator/>
      </w:r>
    </w:p>
    <w:p w:rsidR="00B22735" w:rsidRDefault="00B22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605267"/>
      <w:docPartObj>
        <w:docPartGallery w:val="Page Numbers (Bottom of Page)"/>
        <w:docPartUnique/>
      </w:docPartObj>
    </w:sdtPr>
    <w:sdtEndPr>
      <w:rPr>
        <w:noProof/>
      </w:rPr>
    </w:sdtEndPr>
    <w:sdtContent>
      <w:p w:rsidR="00DA33EE" w:rsidRDefault="00DA33EE">
        <w:pPr>
          <w:pStyle w:val="Footer"/>
          <w:jc w:val="center"/>
        </w:pPr>
        <w:r>
          <w:fldChar w:fldCharType="begin"/>
        </w:r>
        <w:r>
          <w:instrText xml:space="preserve"> PAGE   \* MERGEFORMAT </w:instrText>
        </w:r>
        <w:r>
          <w:fldChar w:fldCharType="separate"/>
        </w:r>
        <w:r w:rsidR="00647BC9">
          <w:rPr>
            <w:noProof/>
          </w:rPr>
          <w:t>21</w:t>
        </w:r>
        <w:r>
          <w:rPr>
            <w:noProof/>
          </w:rPr>
          <w:fldChar w:fldCharType="end"/>
        </w:r>
      </w:p>
    </w:sdtContent>
  </w:sdt>
  <w:p w:rsidR="00DA33EE" w:rsidRDefault="00DA33EE">
    <w:pPr>
      <w:pStyle w:val="Footer"/>
    </w:pPr>
  </w:p>
  <w:p w:rsidR="00B22735" w:rsidRDefault="00B227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967" w:rsidRDefault="00111967" w:rsidP="005D19B8">
      <w:pPr>
        <w:spacing w:after="0" w:line="240" w:lineRule="auto"/>
      </w:pPr>
      <w:r>
        <w:separator/>
      </w:r>
    </w:p>
    <w:p w:rsidR="00B22735" w:rsidRDefault="00B22735"/>
  </w:footnote>
  <w:footnote w:type="continuationSeparator" w:id="0">
    <w:p w:rsidR="00111967" w:rsidRDefault="00111967" w:rsidP="005D19B8">
      <w:pPr>
        <w:spacing w:after="0" w:line="240" w:lineRule="auto"/>
      </w:pPr>
      <w:r>
        <w:continuationSeparator/>
      </w:r>
    </w:p>
    <w:p w:rsidR="00B22735" w:rsidRDefault="00B22735"/>
  </w:footnote>
  <w:footnote w:id="1">
    <w:p w:rsidR="00874ABF" w:rsidRPr="001E61CE" w:rsidRDefault="00874ABF" w:rsidP="00874ABF">
      <w:pPr>
        <w:pStyle w:val="FootnoteText"/>
        <w:rPr>
          <w:rFonts w:ascii="Times New Roman" w:hAnsi="Times New Roman" w:cs="Times New Roman"/>
        </w:rPr>
      </w:pPr>
      <w:r w:rsidRPr="001E61CE">
        <w:rPr>
          <w:rStyle w:val="FootnoteReference"/>
          <w:rFonts w:ascii="Times New Roman" w:hAnsi="Times New Roman" w:cs="Times New Roman"/>
        </w:rPr>
        <w:footnoteRef/>
      </w:r>
      <w:r w:rsidRPr="001E61CE">
        <w:rPr>
          <w:rFonts w:ascii="Times New Roman" w:hAnsi="Times New Roman" w:cs="Times New Roman"/>
        </w:rPr>
        <w:t xml:space="preserve"> </w:t>
      </w:r>
      <w:r w:rsidRPr="001E61CE">
        <w:rPr>
          <w:rFonts w:ascii="Times New Roman" w:hAnsi="Times New Roman" w:cs="Times New Roman"/>
        </w:rPr>
        <w:tab/>
      </w:r>
      <w:r w:rsidRPr="001E61CE">
        <w:rPr>
          <w:rFonts w:ascii="Times New Roman" w:hAnsi="Times New Roman" w:cs="Times New Roman"/>
          <w:i/>
        </w:rPr>
        <w:t>Promoting Telehealth in Rural America</w:t>
      </w:r>
      <w:r w:rsidRPr="001E61CE">
        <w:rPr>
          <w:rFonts w:ascii="Times New Roman" w:hAnsi="Times New Roman" w:cs="Times New Roman"/>
        </w:rPr>
        <w:t xml:space="preserve">, </w:t>
      </w:r>
      <w:r>
        <w:rPr>
          <w:rFonts w:ascii="Times New Roman" w:hAnsi="Times New Roman" w:cs="Times New Roman"/>
        </w:rPr>
        <w:t>WC Docket No. 17-310, Notice of Proposed Rulemaking and Order, FCC 17-164 (rel. Dec. 18, 2017) (the “</w:t>
      </w:r>
      <w:r w:rsidRPr="00D44208">
        <w:rPr>
          <w:rFonts w:ascii="Times New Roman" w:hAnsi="Times New Roman" w:cs="Times New Roman"/>
          <w:i/>
        </w:rPr>
        <w:t>Notice</w:t>
      </w:r>
      <w:r>
        <w:rPr>
          <w:rFonts w:ascii="Times New Roman" w:hAnsi="Times New Roman" w:cs="Times New Roman"/>
          <w:i/>
        </w:rPr>
        <w:t xml:space="preserve"> &amp; Order</w:t>
      </w:r>
      <w:r>
        <w:rPr>
          <w:rFonts w:ascii="Times New Roman" w:hAnsi="Times New Roman" w:cs="Times New Roman"/>
        </w:rPr>
        <w:t>”).  As used herein, the “</w:t>
      </w:r>
      <w:r w:rsidRPr="005B3068">
        <w:rPr>
          <w:rFonts w:ascii="Times New Roman" w:hAnsi="Times New Roman" w:cs="Times New Roman"/>
          <w:i/>
        </w:rPr>
        <w:t>Notice</w:t>
      </w:r>
      <w:r>
        <w:rPr>
          <w:rFonts w:ascii="Times New Roman" w:hAnsi="Times New Roman" w:cs="Times New Roman"/>
        </w:rPr>
        <w:t>” refers to the substantive portions of this document that comprise the Notice of Proposed Rulemaking, paragraphs 15 through 106, as well as the Introduction and Background sections, paragraphs 1 through 14;  and the “</w:t>
      </w:r>
      <w:r w:rsidRPr="005B3068">
        <w:rPr>
          <w:rFonts w:ascii="Times New Roman" w:hAnsi="Times New Roman" w:cs="Times New Roman"/>
          <w:i/>
        </w:rPr>
        <w:t>Order</w:t>
      </w:r>
      <w:r>
        <w:rPr>
          <w:rFonts w:ascii="Times New Roman" w:hAnsi="Times New Roman" w:cs="Times New Roman"/>
        </w:rPr>
        <w:t>” refers to the portions, in particular paragraphs 107 through 117, that make up the substantive portions of the Order.</w:t>
      </w:r>
    </w:p>
  </w:footnote>
  <w:footnote w:id="2">
    <w:p w:rsidR="001C343B" w:rsidRDefault="001C343B">
      <w:pPr>
        <w:pStyle w:val="FootnoteText"/>
      </w:pPr>
      <w:r>
        <w:rPr>
          <w:rStyle w:val="FootnoteReference"/>
        </w:rPr>
        <w:footnoteRef/>
      </w:r>
      <w:r>
        <w:t xml:space="preserve"> Section 254(h)(7)(B)(ii)</w:t>
      </w:r>
    </w:p>
  </w:footnote>
  <w:footnote w:id="3">
    <w:p w:rsidR="001C343B" w:rsidRDefault="001C343B">
      <w:pPr>
        <w:pStyle w:val="FootnoteText"/>
      </w:pPr>
      <w:r>
        <w:rPr>
          <w:rStyle w:val="FootnoteReference"/>
        </w:rPr>
        <w:footnoteRef/>
      </w:r>
      <w:r>
        <w:t xml:space="preserve"> Section 330 of the PHSA authorizes four types of health centers:  Community Health Centers (CHCs), and health centers who target: migrant workers; persons experiencing homelessness; and residents of public housing.  As CHCs comprise over 80% of all health centers, and all four types of health centers are subject to the similar rules, the term “Community Health Centers” is commonly used to refer to all four types.  The term Federally Qualified Health Center (FQHC), which is found in the Social Security Act, is also sometimes used to refer to Section 330 Health Centers.  In this document, we use the terms Community Health Center to refer to all health centers authorized under, and subject to the rules of, Section 330 of the PHSA.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62755"/>
    <w:multiLevelType w:val="hybridMultilevel"/>
    <w:tmpl w:val="3B2A1A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8B24D15"/>
    <w:multiLevelType w:val="hybridMultilevel"/>
    <w:tmpl w:val="D2D82F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D4815"/>
    <w:multiLevelType w:val="hybridMultilevel"/>
    <w:tmpl w:val="408A6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268EF"/>
    <w:multiLevelType w:val="hybridMultilevel"/>
    <w:tmpl w:val="C55012B6"/>
    <w:lvl w:ilvl="0" w:tplc="04090001">
      <w:start w:val="1"/>
      <w:numFmt w:val="bullet"/>
      <w:lvlText w:val=""/>
      <w:lvlJc w:val="left"/>
      <w:pPr>
        <w:ind w:left="684" w:hanging="360"/>
      </w:pPr>
      <w:rPr>
        <w:rFonts w:ascii="Symbol" w:hAnsi="Symbol"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4" w15:restartNumberingAfterBreak="0">
    <w:nsid w:val="1075156B"/>
    <w:multiLevelType w:val="hybridMultilevel"/>
    <w:tmpl w:val="E2CA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3326C"/>
    <w:multiLevelType w:val="hybridMultilevel"/>
    <w:tmpl w:val="B9FEC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1B490F"/>
    <w:multiLevelType w:val="multilevel"/>
    <w:tmpl w:val="0E9A8A58"/>
    <w:lvl w:ilvl="0">
      <w:start w:val="202"/>
      <w:numFmt w:val="decimal"/>
      <w:lvlText w:val="%1"/>
      <w:lvlJc w:val="left"/>
      <w:pPr>
        <w:tabs>
          <w:tab w:val="num" w:pos="960"/>
        </w:tabs>
        <w:ind w:left="960" w:hanging="960"/>
      </w:pPr>
      <w:rPr>
        <w:rFonts w:hint="default"/>
      </w:rPr>
    </w:lvl>
    <w:lvl w:ilvl="1">
      <w:start w:val="296"/>
      <w:numFmt w:val="decimal"/>
      <w:lvlText w:val="%1.%2"/>
      <w:lvlJc w:val="left"/>
      <w:pPr>
        <w:tabs>
          <w:tab w:val="num" w:pos="960"/>
        </w:tabs>
        <w:ind w:left="960" w:hanging="960"/>
      </w:pPr>
      <w:rPr>
        <w:rFonts w:hint="default"/>
      </w:rPr>
    </w:lvl>
    <w:lvl w:ilvl="2">
      <w:start w:val="3800"/>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960"/>
        </w:tabs>
        <w:ind w:left="960" w:hanging="960"/>
      </w:pPr>
      <w:rPr>
        <w:rFonts w:hint="default"/>
      </w:rPr>
    </w:lvl>
    <w:lvl w:ilvl="5">
      <w:start w:val="1"/>
      <w:numFmt w:val="decimal"/>
      <w:lvlText w:val="%1.%2.%3.%4.%5.%6"/>
      <w:lvlJc w:val="left"/>
      <w:pPr>
        <w:tabs>
          <w:tab w:val="num" w:pos="960"/>
        </w:tabs>
        <w:ind w:left="960" w:hanging="96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7" w15:restartNumberingAfterBreak="0">
    <w:nsid w:val="1E5B3B82"/>
    <w:multiLevelType w:val="hybridMultilevel"/>
    <w:tmpl w:val="50D4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5B7A0B"/>
    <w:multiLevelType w:val="hybridMultilevel"/>
    <w:tmpl w:val="83E2D448"/>
    <w:lvl w:ilvl="0" w:tplc="46A23E4A">
      <w:start w:val="103"/>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B4887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5260F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9CAE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8C51B2">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60488A">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D9A14C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90441C2">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AC4D1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0D00623"/>
    <w:multiLevelType w:val="hybridMultilevel"/>
    <w:tmpl w:val="4576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46CB3"/>
    <w:multiLevelType w:val="hybridMultilevel"/>
    <w:tmpl w:val="A40021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56D3E"/>
    <w:multiLevelType w:val="hybridMultilevel"/>
    <w:tmpl w:val="5A32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747BB"/>
    <w:multiLevelType w:val="hybridMultilevel"/>
    <w:tmpl w:val="4C22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7190C"/>
    <w:multiLevelType w:val="hybridMultilevel"/>
    <w:tmpl w:val="FA66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521D5A"/>
    <w:multiLevelType w:val="hybridMultilevel"/>
    <w:tmpl w:val="6024D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9E35D2"/>
    <w:multiLevelType w:val="hybridMultilevel"/>
    <w:tmpl w:val="0EE01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663E3"/>
    <w:multiLevelType w:val="hybridMultilevel"/>
    <w:tmpl w:val="9C062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11742B"/>
    <w:multiLevelType w:val="hybridMultilevel"/>
    <w:tmpl w:val="1BFA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A18AE"/>
    <w:multiLevelType w:val="hybridMultilevel"/>
    <w:tmpl w:val="DBAC0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0346A"/>
    <w:multiLevelType w:val="hybridMultilevel"/>
    <w:tmpl w:val="F69C63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4B17C8B"/>
    <w:multiLevelType w:val="hybridMultilevel"/>
    <w:tmpl w:val="87D461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4415C0"/>
    <w:multiLevelType w:val="hybridMultilevel"/>
    <w:tmpl w:val="196A69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5565487E"/>
    <w:multiLevelType w:val="hybridMultilevel"/>
    <w:tmpl w:val="BD06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4955B8"/>
    <w:multiLevelType w:val="hybridMultilevel"/>
    <w:tmpl w:val="F7DC3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C5594"/>
    <w:multiLevelType w:val="hybridMultilevel"/>
    <w:tmpl w:val="BEC0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E2630F"/>
    <w:multiLevelType w:val="hybridMultilevel"/>
    <w:tmpl w:val="22941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153C42"/>
    <w:multiLevelType w:val="hybridMultilevel"/>
    <w:tmpl w:val="EB3E69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75A93859"/>
    <w:multiLevelType w:val="hybridMultilevel"/>
    <w:tmpl w:val="C7964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1825E6"/>
    <w:multiLevelType w:val="hybridMultilevel"/>
    <w:tmpl w:val="27C8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8E5C0A"/>
    <w:multiLevelType w:val="hybridMultilevel"/>
    <w:tmpl w:val="5C34B4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BB93927"/>
    <w:multiLevelType w:val="hybridMultilevel"/>
    <w:tmpl w:val="7E2AB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07B42"/>
    <w:multiLevelType w:val="hybridMultilevel"/>
    <w:tmpl w:val="F740E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21"/>
  </w:num>
  <w:num w:numId="4">
    <w:abstractNumId w:val="4"/>
  </w:num>
  <w:num w:numId="5">
    <w:abstractNumId w:val="29"/>
  </w:num>
  <w:num w:numId="6">
    <w:abstractNumId w:val="18"/>
  </w:num>
  <w:num w:numId="7">
    <w:abstractNumId w:val="19"/>
  </w:num>
  <w:num w:numId="8">
    <w:abstractNumId w:val="16"/>
  </w:num>
  <w:num w:numId="9">
    <w:abstractNumId w:val="10"/>
  </w:num>
  <w:num w:numId="10">
    <w:abstractNumId w:val="15"/>
  </w:num>
  <w:num w:numId="11">
    <w:abstractNumId w:val="11"/>
  </w:num>
  <w:num w:numId="12">
    <w:abstractNumId w:val="20"/>
  </w:num>
  <w:num w:numId="13">
    <w:abstractNumId w:val="22"/>
  </w:num>
  <w:num w:numId="14">
    <w:abstractNumId w:val="5"/>
  </w:num>
  <w:num w:numId="15">
    <w:abstractNumId w:val="2"/>
  </w:num>
  <w:num w:numId="16">
    <w:abstractNumId w:val="0"/>
  </w:num>
  <w:num w:numId="17">
    <w:abstractNumId w:val="9"/>
  </w:num>
  <w:num w:numId="18">
    <w:abstractNumId w:val="25"/>
  </w:num>
  <w:num w:numId="19">
    <w:abstractNumId w:val="31"/>
  </w:num>
  <w:num w:numId="20">
    <w:abstractNumId w:val="27"/>
  </w:num>
  <w:num w:numId="21">
    <w:abstractNumId w:val="23"/>
  </w:num>
  <w:num w:numId="22">
    <w:abstractNumId w:val="28"/>
  </w:num>
  <w:num w:numId="23">
    <w:abstractNumId w:val="3"/>
  </w:num>
  <w:num w:numId="24">
    <w:abstractNumId w:val="8"/>
  </w:num>
  <w:num w:numId="25">
    <w:abstractNumId w:val="32"/>
  </w:num>
  <w:num w:numId="26">
    <w:abstractNumId w:val="14"/>
  </w:num>
  <w:num w:numId="27">
    <w:abstractNumId w:val="1"/>
  </w:num>
  <w:num w:numId="28">
    <w:abstractNumId w:val="24"/>
  </w:num>
  <w:num w:numId="29">
    <w:abstractNumId w:val="26"/>
  </w:num>
  <w:num w:numId="30">
    <w:abstractNumId w:val="7"/>
  </w:num>
  <w:num w:numId="31">
    <w:abstractNumId w:val="17"/>
  </w:num>
  <w:num w:numId="32">
    <w:abstractNumId w:val="1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A5"/>
    <w:rsid w:val="000260E2"/>
    <w:rsid w:val="0003440A"/>
    <w:rsid w:val="00061649"/>
    <w:rsid w:val="000707AA"/>
    <w:rsid w:val="000C751E"/>
    <w:rsid w:val="000D4593"/>
    <w:rsid w:val="000E32C2"/>
    <w:rsid w:val="000E4312"/>
    <w:rsid w:val="000F0BC0"/>
    <w:rsid w:val="00111967"/>
    <w:rsid w:val="00116D46"/>
    <w:rsid w:val="00162B0F"/>
    <w:rsid w:val="001B64AC"/>
    <w:rsid w:val="001C343B"/>
    <w:rsid w:val="001E20B6"/>
    <w:rsid w:val="001E3817"/>
    <w:rsid w:val="001F22D6"/>
    <w:rsid w:val="00226B32"/>
    <w:rsid w:val="00242DB3"/>
    <w:rsid w:val="002625A1"/>
    <w:rsid w:val="00264E46"/>
    <w:rsid w:val="00272FEC"/>
    <w:rsid w:val="002824A2"/>
    <w:rsid w:val="002A3E10"/>
    <w:rsid w:val="002B187F"/>
    <w:rsid w:val="002C0D91"/>
    <w:rsid w:val="002D7FAC"/>
    <w:rsid w:val="002E3F70"/>
    <w:rsid w:val="0031482F"/>
    <w:rsid w:val="00376D9C"/>
    <w:rsid w:val="00382275"/>
    <w:rsid w:val="00387C21"/>
    <w:rsid w:val="003C18AD"/>
    <w:rsid w:val="004419B5"/>
    <w:rsid w:val="0044281A"/>
    <w:rsid w:val="004A2838"/>
    <w:rsid w:val="004B3C82"/>
    <w:rsid w:val="004B7936"/>
    <w:rsid w:val="004C6F4C"/>
    <w:rsid w:val="004E28A6"/>
    <w:rsid w:val="004F58B8"/>
    <w:rsid w:val="005025DF"/>
    <w:rsid w:val="00504C99"/>
    <w:rsid w:val="00551AD0"/>
    <w:rsid w:val="0055622E"/>
    <w:rsid w:val="005601CB"/>
    <w:rsid w:val="00563B2F"/>
    <w:rsid w:val="00571772"/>
    <w:rsid w:val="005971F2"/>
    <w:rsid w:val="005A0117"/>
    <w:rsid w:val="005A3EE7"/>
    <w:rsid w:val="005D19B8"/>
    <w:rsid w:val="005D2BF3"/>
    <w:rsid w:val="005F1BA4"/>
    <w:rsid w:val="006220CE"/>
    <w:rsid w:val="00623220"/>
    <w:rsid w:val="006332B8"/>
    <w:rsid w:val="00636CC8"/>
    <w:rsid w:val="00647BC9"/>
    <w:rsid w:val="00657BC0"/>
    <w:rsid w:val="00694D87"/>
    <w:rsid w:val="006E4F0F"/>
    <w:rsid w:val="006E77ED"/>
    <w:rsid w:val="006F273D"/>
    <w:rsid w:val="0070149F"/>
    <w:rsid w:val="00703822"/>
    <w:rsid w:val="00711E34"/>
    <w:rsid w:val="00727535"/>
    <w:rsid w:val="0076117C"/>
    <w:rsid w:val="007706B6"/>
    <w:rsid w:val="00770CBE"/>
    <w:rsid w:val="00780927"/>
    <w:rsid w:val="007C7397"/>
    <w:rsid w:val="007F3CA5"/>
    <w:rsid w:val="00802C8F"/>
    <w:rsid w:val="00815B9A"/>
    <w:rsid w:val="00827332"/>
    <w:rsid w:val="0085676F"/>
    <w:rsid w:val="00865E85"/>
    <w:rsid w:val="00874ABF"/>
    <w:rsid w:val="008A5ECA"/>
    <w:rsid w:val="008C012A"/>
    <w:rsid w:val="008C29CD"/>
    <w:rsid w:val="008D1C05"/>
    <w:rsid w:val="008D74CD"/>
    <w:rsid w:val="008F7685"/>
    <w:rsid w:val="008F798B"/>
    <w:rsid w:val="00904BC9"/>
    <w:rsid w:val="00906647"/>
    <w:rsid w:val="0091071C"/>
    <w:rsid w:val="00942BF7"/>
    <w:rsid w:val="00980F2E"/>
    <w:rsid w:val="009E743E"/>
    <w:rsid w:val="00A176D5"/>
    <w:rsid w:val="00A73810"/>
    <w:rsid w:val="00AB720D"/>
    <w:rsid w:val="00B22735"/>
    <w:rsid w:val="00B64013"/>
    <w:rsid w:val="00B77529"/>
    <w:rsid w:val="00B83D16"/>
    <w:rsid w:val="00BB1567"/>
    <w:rsid w:val="00BF2657"/>
    <w:rsid w:val="00BF7A0F"/>
    <w:rsid w:val="00C12125"/>
    <w:rsid w:val="00C530B3"/>
    <w:rsid w:val="00C919FA"/>
    <w:rsid w:val="00CA517F"/>
    <w:rsid w:val="00CB72C3"/>
    <w:rsid w:val="00CC39F8"/>
    <w:rsid w:val="00CE08D4"/>
    <w:rsid w:val="00CF70E8"/>
    <w:rsid w:val="00D03124"/>
    <w:rsid w:val="00D21207"/>
    <w:rsid w:val="00D6267F"/>
    <w:rsid w:val="00D74858"/>
    <w:rsid w:val="00D76400"/>
    <w:rsid w:val="00D966B3"/>
    <w:rsid w:val="00DA33EE"/>
    <w:rsid w:val="00DB022E"/>
    <w:rsid w:val="00DF36CE"/>
    <w:rsid w:val="00E01A09"/>
    <w:rsid w:val="00E314C6"/>
    <w:rsid w:val="00E356F0"/>
    <w:rsid w:val="00E76017"/>
    <w:rsid w:val="00ED61F7"/>
    <w:rsid w:val="00F46500"/>
    <w:rsid w:val="00F627A3"/>
    <w:rsid w:val="00F738D6"/>
    <w:rsid w:val="00F83DC5"/>
    <w:rsid w:val="00F8501B"/>
    <w:rsid w:val="00FB3D57"/>
    <w:rsid w:val="00FB6E0D"/>
    <w:rsid w:val="00FD1E5A"/>
    <w:rsid w:val="00FD5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EE25"/>
  <w15:chartTrackingRefBased/>
  <w15:docId w15:val="{7944D52B-6AC9-46A7-8ADD-C716E73B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CA5"/>
  </w:style>
  <w:style w:type="paragraph" w:styleId="Heading1">
    <w:name w:val="heading 1"/>
    <w:next w:val="Normal"/>
    <w:link w:val="Heading1Char"/>
    <w:uiPriority w:val="9"/>
    <w:unhideWhenUsed/>
    <w:qFormat/>
    <w:rsid w:val="0091071C"/>
    <w:pPr>
      <w:keepNext/>
      <w:keepLines/>
      <w:spacing w:after="0"/>
      <w:ind w:left="10" w:right="2" w:hanging="10"/>
      <w:jc w:val="center"/>
      <w:outlineLvl w:val="0"/>
    </w:pPr>
    <w:rPr>
      <w:rFonts w:ascii="Times New Roman" w:eastAsia="Times New Roman" w:hAnsi="Times New Roman" w:cs="Times New Roman"/>
      <w:b/>
      <w:color w:val="000000"/>
      <w:sz w:val="24"/>
      <w:szCs w:val="24"/>
      <w:u w:val="single"/>
    </w:rPr>
  </w:style>
  <w:style w:type="paragraph" w:styleId="Heading2">
    <w:name w:val="heading 2"/>
    <w:basedOn w:val="Normal"/>
    <w:next w:val="Normal"/>
    <w:link w:val="Heading2Char"/>
    <w:uiPriority w:val="9"/>
    <w:unhideWhenUsed/>
    <w:qFormat/>
    <w:rsid w:val="0091071C"/>
    <w:pPr>
      <w:spacing w:line="480" w:lineRule="auto"/>
      <w:outlineLvl w:val="1"/>
    </w:pPr>
    <w:rPr>
      <w:rFonts w:ascii="Times New Roman" w:hAnsi="Times New Roman" w:cs="Times New Roman"/>
      <w:b/>
      <w:sz w:val="24"/>
      <w:szCs w:val="24"/>
    </w:rPr>
  </w:style>
  <w:style w:type="paragraph" w:styleId="Heading3">
    <w:name w:val="heading 3"/>
    <w:basedOn w:val="Heading2"/>
    <w:next w:val="Normal"/>
    <w:link w:val="Heading3Char"/>
    <w:uiPriority w:val="9"/>
    <w:unhideWhenUsed/>
    <w:qFormat/>
    <w:rsid w:val="004E28A6"/>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CA5"/>
    <w:pPr>
      <w:ind w:left="720"/>
      <w:contextualSpacing/>
    </w:pPr>
  </w:style>
  <w:style w:type="paragraph" w:styleId="NoSpacing">
    <w:name w:val="No Spacing"/>
    <w:uiPriority w:val="1"/>
    <w:qFormat/>
    <w:rsid w:val="005D2BF3"/>
    <w:pPr>
      <w:spacing w:after="0" w:line="240" w:lineRule="auto"/>
      <w:ind w:left="10" w:hanging="10"/>
    </w:pPr>
    <w:rPr>
      <w:rFonts w:ascii="Calibri" w:eastAsia="Arial" w:hAnsi="Calibri" w:cs="Arial"/>
      <w:color w:val="000000"/>
    </w:rPr>
  </w:style>
  <w:style w:type="paragraph" w:styleId="NormalWeb">
    <w:name w:val="Normal (Web)"/>
    <w:basedOn w:val="Normal"/>
    <w:uiPriority w:val="99"/>
    <w:unhideWhenUsed/>
    <w:rsid w:val="005D2BF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ALTS FOOTNOTE Char,fn Char,Footnote Text Char2 Char,Footnote Text Char3 Char1 Char,Footnote Text Char2 Char1 Char1 Char,Footnote Text Char3 Char1 Char Char Char,Footnote Text Char2 Char1 Char1 Char Char Char,fn,fn Char1,f,Footnote Text Ch"/>
    <w:basedOn w:val="Normal"/>
    <w:link w:val="FootnoteTextChar"/>
    <w:uiPriority w:val="99"/>
    <w:unhideWhenUsed/>
    <w:qFormat/>
    <w:rsid w:val="005D19B8"/>
    <w:pPr>
      <w:spacing w:after="0" w:line="240" w:lineRule="auto"/>
    </w:pPr>
    <w:rPr>
      <w:sz w:val="20"/>
      <w:szCs w:val="20"/>
    </w:rPr>
  </w:style>
  <w:style w:type="character" w:customStyle="1" w:styleId="FootnoteTextChar">
    <w:name w:val="Footnote Text Char"/>
    <w:aliases w:val="ALTS FOOTNOTE Char Char,fn Char Char,Footnote Text Char2 Char Char,Footnote Text Char3 Char1 Char Char,Footnote Text Char2 Char1 Char1 Char Char,Footnote Text Char3 Char1 Char Char Char Char,fn Char2,fn Char1 Char,f Char"/>
    <w:basedOn w:val="DefaultParagraphFont"/>
    <w:link w:val="FootnoteText"/>
    <w:uiPriority w:val="99"/>
    <w:rsid w:val="005D19B8"/>
    <w:rPr>
      <w:sz w:val="20"/>
      <w:szCs w:val="20"/>
    </w:rPr>
  </w:style>
  <w:style w:type="character" w:styleId="FootnoteReference">
    <w:name w:val="footnote reference"/>
    <w:basedOn w:val="DefaultParagraphFont"/>
    <w:uiPriority w:val="99"/>
    <w:unhideWhenUsed/>
    <w:rsid w:val="005D19B8"/>
    <w:rPr>
      <w:vertAlign w:val="superscript"/>
    </w:rPr>
  </w:style>
  <w:style w:type="paragraph" w:customStyle="1" w:styleId="footnotedescription">
    <w:name w:val="footnote description"/>
    <w:next w:val="Normal"/>
    <w:link w:val="footnotedescriptionChar"/>
    <w:hidden/>
    <w:rsid w:val="00A73810"/>
    <w:pPr>
      <w:spacing w:after="85"/>
      <w:ind w:left="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73810"/>
    <w:rPr>
      <w:rFonts w:ascii="Times New Roman" w:eastAsia="Times New Roman" w:hAnsi="Times New Roman" w:cs="Times New Roman"/>
      <w:color w:val="000000"/>
      <w:sz w:val="20"/>
    </w:rPr>
  </w:style>
  <w:style w:type="character" w:customStyle="1" w:styleId="footnotemark">
    <w:name w:val="footnote mark"/>
    <w:hidden/>
    <w:rsid w:val="00A73810"/>
    <w:rPr>
      <w:rFonts w:ascii="Times New Roman" w:eastAsia="Times New Roman" w:hAnsi="Times New Roman" w:cs="Times New Roman"/>
      <w:color w:val="000000"/>
      <w:sz w:val="20"/>
      <w:vertAlign w:val="superscript"/>
    </w:rPr>
  </w:style>
  <w:style w:type="character" w:styleId="CommentReference">
    <w:name w:val="annotation reference"/>
    <w:basedOn w:val="DefaultParagraphFont"/>
    <w:uiPriority w:val="99"/>
    <w:semiHidden/>
    <w:unhideWhenUsed/>
    <w:rsid w:val="00657BC0"/>
    <w:rPr>
      <w:sz w:val="16"/>
      <w:szCs w:val="16"/>
    </w:rPr>
  </w:style>
  <w:style w:type="paragraph" w:styleId="CommentText">
    <w:name w:val="annotation text"/>
    <w:basedOn w:val="Normal"/>
    <w:link w:val="CommentTextChar"/>
    <w:uiPriority w:val="99"/>
    <w:semiHidden/>
    <w:unhideWhenUsed/>
    <w:rsid w:val="00657BC0"/>
    <w:pPr>
      <w:spacing w:after="5" w:line="240" w:lineRule="auto"/>
      <w:ind w:left="10" w:hanging="10"/>
    </w:pPr>
    <w:rPr>
      <w:rFonts w:ascii="Calibri" w:eastAsia="Arial" w:hAnsi="Calibri" w:cs="Arial"/>
      <w:color w:val="000000"/>
      <w:sz w:val="20"/>
      <w:szCs w:val="20"/>
    </w:rPr>
  </w:style>
  <w:style w:type="character" w:customStyle="1" w:styleId="CommentTextChar">
    <w:name w:val="Comment Text Char"/>
    <w:basedOn w:val="DefaultParagraphFont"/>
    <w:link w:val="CommentText"/>
    <w:uiPriority w:val="99"/>
    <w:semiHidden/>
    <w:rsid w:val="00657BC0"/>
    <w:rPr>
      <w:rFonts w:ascii="Calibri" w:eastAsia="Arial" w:hAnsi="Calibri" w:cs="Arial"/>
      <w:color w:val="000000"/>
      <w:sz w:val="20"/>
      <w:szCs w:val="20"/>
    </w:rPr>
  </w:style>
  <w:style w:type="paragraph" w:styleId="BalloonText">
    <w:name w:val="Balloon Text"/>
    <w:basedOn w:val="Normal"/>
    <w:link w:val="BalloonTextChar"/>
    <w:uiPriority w:val="99"/>
    <w:semiHidden/>
    <w:unhideWhenUsed/>
    <w:rsid w:val="00657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BC0"/>
    <w:rPr>
      <w:rFonts w:ascii="Segoe UI" w:hAnsi="Segoe UI" w:cs="Segoe UI"/>
      <w:sz w:val="18"/>
      <w:szCs w:val="18"/>
    </w:rPr>
  </w:style>
  <w:style w:type="character" w:customStyle="1" w:styleId="Heading1Char">
    <w:name w:val="Heading 1 Char"/>
    <w:basedOn w:val="DefaultParagraphFont"/>
    <w:link w:val="Heading1"/>
    <w:uiPriority w:val="9"/>
    <w:rsid w:val="0091071C"/>
    <w:rPr>
      <w:rFonts w:ascii="Times New Roman" w:eastAsia="Times New Roman" w:hAnsi="Times New Roman" w:cs="Times New Roman"/>
      <w:b/>
      <w:color w:val="000000"/>
      <w:sz w:val="24"/>
      <w:szCs w:val="24"/>
      <w:u w:val="single"/>
    </w:rPr>
  </w:style>
  <w:style w:type="paragraph" w:styleId="Header">
    <w:name w:val="header"/>
    <w:basedOn w:val="Normal"/>
    <w:link w:val="HeaderChar"/>
    <w:uiPriority w:val="99"/>
    <w:unhideWhenUsed/>
    <w:rsid w:val="00DA33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EE"/>
  </w:style>
  <w:style w:type="paragraph" w:styleId="Footer">
    <w:name w:val="footer"/>
    <w:basedOn w:val="Normal"/>
    <w:link w:val="FooterChar"/>
    <w:uiPriority w:val="99"/>
    <w:unhideWhenUsed/>
    <w:rsid w:val="00DA33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EE"/>
  </w:style>
  <w:style w:type="paragraph" w:customStyle="1" w:styleId="Level3">
    <w:name w:val="Level 3"/>
    <w:basedOn w:val="TOC3"/>
    <w:link w:val="Level3CharChar"/>
    <w:qFormat/>
    <w:rsid w:val="00DA33EE"/>
    <w:pPr>
      <w:tabs>
        <w:tab w:val="right" w:leader="dot" w:pos="8630"/>
      </w:tabs>
      <w:spacing w:after="0" w:line="240" w:lineRule="auto"/>
      <w:ind w:left="400"/>
    </w:pPr>
    <w:rPr>
      <w:rFonts w:asciiTheme="majorHAnsi" w:eastAsia="Times New Roman" w:hAnsiTheme="majorHAnsi" w:cs="Times New Roman"/>
      <w:i/>
      <w:iCs/>
      <w:sz w:val="20"/>
      <w:szCs w:val="20"/>
    </w:rPr>
  </w:style>
  <w:style w:type="paragraph" w:customStyle="1" w:styleId="TOCTitle">
    <w:name w:val="TOC Title"/>
    <w:basedOn w:val="Normal"/>
    <w:qFormat/>
    <w:rsid w:val="00DA33EE"/>
    <w:pPr>
      <w:spacing w:after="240" w:line="240" w:lineRule="auto"/>
      <w:jc w:val="center"/>
    </w:pPr>
    <w:rPr>
      <w:rFonts w:asciiTheme="majorHAnsi" w:eastAsia="Times New Roman" w:hAnsiTheme="majorHAnsi" w:cs="Times New Roman"/>
      <w:b/>
      <w:sz w:val="24"/>
      <w:szCs w:val="24"/>
    </w:rPr>
  </w:style>
  <w:style w:type="character" w:customStyle="1" w:styleId="Level3CharChar">
    <w:name w:val="Level 3 Char Char"/>
    <w:basedOn w:val="DefaultParagraphFont"/>
    <w:link w:val="Level3"/>
    <w:rsid w:val="00DA33EE"/>
    <w:rPr>
      <w:rFonts w:asciiTheme="majorHAnsi" w:eastAsia="Times New Roman" w:hAnsiTheme="majorHAnsi" w:cs="Times New Roman"/>
      <w:i/>
      <w:iCs/>
      <w:sz w:val="20"/>
      <w:szCs w:val="20"/>
    </w:rPr>
  </w:style>
  <w:style w:type="paragraph" w:customStyle="1" w:styleId="Level1">
    <w:name w:val="Level 1"/>
    <w:basedOn w:val="TOC1"/>
    <w:link w:val="Level1Char"/>
    <w:qFormat/>
    <w:rsid w:val="00DA33EE"/>
    <w:pPr>
      <w:tabs>
        <w:tab w:val="right" w:leader="dot" w:pos="8630"/>
      </w:tabs>
      <w:spacing w:before="120" w:after="120" w:line="240" w:lineRule="auto"/>
    </w:pPr>
    <w:rPr>
      <w:rFonts w:asciiTheme="majorHAnsi" w:eastAsia="Times New Roman" w:hAnsiTheme="majorHAnsi" w:cs="Times New Roman"/>
      <w:b/>
      <w:bCs/>
      <w:caps/>
      <w:sz w:val="20"/>
      <w:szCs w:val="20"/>
    </w:rPr>
  </w:style>
  <w:style w:type="character" w:customStyle="1" w:styleId="Level1Char">
    <w:name w:val="Level 1 Char"/>
    <w:basedOn w:val="DefaultParagraphFont"/>
    <w:link w:val="Level1"/>
    <w:rsid w:val="00DA33EE"/>
    <w:rPr>
      <w:rFonts w:asciiTheme="majorHAnsi" w:eastAsia="Times New Roman" w:hAnsiTheme="majorHAnsi" w:cs="Times New Roman"/>
      <w:b/>
      <w:bCs/>
      <w:caps/>
      <w:sz w:val="20"/>
      <w:szCs w:val="20"/>
    </w:rPr>
  </w:style>
  <w:style w:type="paragraph" w:customStyle="1" w:styleId="Level2">
    <w:name w:val="Level 2"/>
    <w:basedOn w:val="TOC2"/>
    <w:link w:val="Level2Char"/>
    <w:qFormat/>
    <w:rsid w:val="00DA33EE"/>
    <w:pPr>
      <w:tabs>
        <w:tab w:val="right" w:leader="dot" w:pos="8630"/>
      </w:tabs>
      <w:spacing w:after="0" w:line="240" w:lineRule="auto"/>
      <w:ind w:left="200"/>
    </w:pPr>
    <w:rPr>
      <w:rFonts w:asciiTheme="majorHAnsi" w:eastAsia="Times New Roman" w:hAnsiTheme="majorHAnsi" w:cs="Times New Roman"/>
      <w:smallCaps/>
      <w:color w:val="000000"/>
      <w:sz w:val="20"/>
      <w:szCs w:val="20"/>
    </w:rPr>
  </w:style>
  <w:style w:type="character" w:customStyle="1" w:styleId="Level2Char">
    <w:name w:val="Level 2 Char"/>
    <w:basedOn w:val="DefaultParagraphFont"/>
    <w:link w:val="Level2"/>
    <w:rsid w:val="00DA33EE"/>
    <w:rPr>
      <w:rFonts w:asciiTheme="majorHAnsi" w:eastAsia="Times New Roman" w:hAnsiTheme="majorHAnsi" w:cs="Times New Roman"/>
      <w:smallCaps/>
      <w:color w:val="000000"/>
      <w:sz w:val="20"/>
      <w:szCs w:val="20"/>
    </w:rPr>
  </w:style>
  <w:style w:type="paragraph" w:styleId="TOC3">
    <w:name w:val="toc 3"/>
    <w:basedOn w:val="Normal"/>
    <w:next w:val="Normal"/>
    <w:autoRedefine/>
    <w:uiPriority w:val="39"/>
    <w:unhideWhenUsed/>
    <w:rsid w:val="004F58B8"/>
    <w:pPr>
      <w:tabs>
        <w:tab w:val="right" w:leader="dot" w:pos="9350"/>
      </w:tabs>
      <w:spacing w:after="100"/>
      <w:ind w:left="270"/>
    </w:pPr>
  </w:style>
  <w:style w:type="paragraph" w:styleId="TOC1">
    <w:name w:val="toc 1"/>
    <w:basedOn w:val="Normal"/>
    <w:next w:val="Normal"/>
    <w:autoRedefine/>
    <w:uiPriority w:val="39"/>
    <w:unhideWhenUsed/>
    <w:rsid w:val="00DA33EE"/>
    <w:pPr>
      <w:spacing w:after="100"/>
    </w:pPr>
  </w:style>
  <w:style w:type="paragraph" w:styleId="TOC2">
    <w:name w:val="toc 2"/>
    <w:basedOn w:val="Normal"/>
    <w:next w:val="Normal"/>
    <w:autoRedefine/>
    <w:uiPriority w:val="39"/>
    <w:unhideWhenUsed/>
    <w:rsid w:val="00DA33EE"/>
    <w:pPr>
      <w:spacing w:after="100"/>
      <w:ind w:left="220"/>
    </w:pPr>
  </w:style>
  <w:style w:type="character" w:customStyle="1" w:styleId="Heading2Char">
    <w:name w:val="Heading 2 Char"/>
    <w:basedOn w:val="DefaultParagraphFont"/>
    <w:link w:val="Heading2"/>
    <w:uiPriority w:val="9"/>
    <w:rsid w:val="0091071C"/>
    <w:rPr>
      <w:rFonts w:ascii="Times New Roman" w:hAnsi="Times New Roman" w:cs="Times New Roman"/>
      <w:b/>
      <w:sz w:val="24"/>
      <w:szCs w:val="24"/>
    </w:rPr>
  </w:style>
  <w:style w:type="character" w:styleId="Hyperlink">
    <w:name w:val="Hyperlink"/>
    <w:basedOn w:val="DefaultParagraphFont"/>
    <w:uiPriority w:val="99"/>
    <w:unhideWhenUsed/>
    <w:rsid w:val="00DF36CE"/>
    <w:rPr>
      <w:color w:val="0000FF"/>
      <w:u w:val="single"/>
    </w:rPr>
  </w:style>
  <w:style w:type="paragraph" w:styleId="TOCHeading">
    <w:name w:val="TOC Heading"/>
    <w:basedOn w:val="Heading1"/>
    <w:next w:val="Normal"/>
    <w:uiPriority w:val="39"/>
    <w:unhideWhenUsed/>
    <w:qFormat/>
    <w:rsid w:val="00815B9A"/>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u w:val="none"/>
    </w:rPr>
  </w:style>
  <w:style w:type="character" w:customStyle="1" w:styleId="Heading3Char">
    <w:name w:val="Heading 3 Char"/>
    <w:basedOn w:val="DefaultParagraphFont"/>
    <w:link w:val="Heading3"/>
    <w:uiPriority w:val="9"/>
    <w:rsid w:val="004E28A6"/>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85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47-USC-1773906204-1952898750&amp;term_occur=49&amp;term_src=title:47:chapter:5:subchapter:II:part:II:section:25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C69D6-154D-4BA0-A366-6E2AB30F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21</Pages>
  <Words>4582</Words>
  <Characters>26123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 Meiman</dc:creator>
  <cp:keywords/>
  <dc:description/>
  <cp:lastModifiedBy>Colleen Meiman</cp:lastModifiedBy>
  <cp:revision>8</cp:revision>
  <dcterms:created xsi:type="dcterms:W3CDTF">2018-02-01T15:19:00Z</dcterms:created>
  <dcterms:modified xsi:type="dcterms:W3CDTF">2018-02-02T17:29:00Z</dcterms:modified>
</cp:coreProperties>
</file>