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330" w:rsidRDefault="00315FE3" w:rsidP="00783122">
      <w:pPr>
        <w:jc w:val="right"/>
      </w:pPr>
    </w:p>
    <w:p w:rsidR="00783122" w:rsidRDefault="005170CE" w:rsidP="00AC03E8">
      <w:r>
        <w:t xml:space="preserve">February </w:t>
      </w:r>
      <w:r w:rsidR="00E458DE">
        <w:t>5</w:t>
      </w:r>
      <w:r>
        <w:t>, 2018</w:t>
      </w:r>
    </w:p>
    <w:p w:rsidR="00783122" w:rsidRDefault="00315FE3" w:rsidP="00AC03E8">
      <w:pPr>
        <w:ind w:left="3600" w:firstLine="720"/>
      </w:pPr>
    </w:p>
    <w:p w:rsidR="00783122" w:rsidRDefault="00315FE3" w:rsidP="00AC03E8"/>
    <w:p w:rsidR="00783122" w:rsidRPr="00AC03E8" w:rsidRDefault="005170CE" w:rsidP="00AC03E8">
      <w:r>
        <w:t>VIA ECFS</w:t>
      </w:r>
    </w:p>
    <w:p w:rsidR="00783122" w:rsidRDefault="00315FE3" w:rsidP="00AC03E8">
      <w:pPr>
        <w:rPr>
          <w:b/>
          <w:u w:val="single"/>
        </w:rPr>
      </w:pPr>
    </w:p>
    <w:p w:rsidR="00783122" w:rsidRDefault="005170CE" w:rsidP="00AC03E8">
      <w:r>
        <w:t>Ms. Marlene H. Dortch</w:t>
      </w:r>
    </w:p>
    <w:p w:rsidR="002D59A9" w:rsidRDefault="005170CE" w:rsidP="00AC03E8">
      <w:r>
        <w:t>Secretary</w:t>
      </w:r>
    </w:p>
    <w:p w:rsidR="002D59A9" w:rsidRDefault="005170CE" w:rsidP="00AC03E8">
      <w:r>
        <w:t xml:space="preserve">Federal Communications Commission </w:t>
      </w:r>
    </w:p>
    <w:p w:rsidR="002D59A9" w:rsidRDefault="005170CE" w:rsidP="00AC03E8">
      <w:r>
        <w:t>445 12</w:t>
      </w:r>
      <w:r w:rsidRPr="002D59A9">
        <w:rPr>
          <w:vertAlign w:val="superscript"/>
        </w:rPr>
        <w:t>th</w:t>
      </w:r>
      <w:r>
        <w:t xml:space="preserve"> Street SW</w:t>
      </w:r>
    </w:p>
    <w:p w:rsidR="002D59A9" w:rsidRDefault="005170CE" w:rsidP="00AC03E8">
      <w:r>
        <w:t>Washington, DC 20554</w:t>
      </w:r>
    </w:p>
    <w:p w:rsidR="002D59A9" w:rsidRDefault="00315FE3" w:rsidP="00AC03E8"/>
    <w:p w:rsidR="00450F0A" w:rsidRDefault="005170CE" w:rsidP="00450F0A">
      <w:pPr>
        <w:ind w:left="1440" w:hanging="720"/>
        <w:rPr>
          <w:b/>
        </w:rPr>
      </w:pPr>
      <w:r>
        <w:rPr>
          <w:b/>
        </w:rPr>
        <w:t xml:space="preserve">RE: </w:t>
      </w:r>
      <w:r>
        <w:rPr>
          <w:b/>
        </w:rPr>
        <w:tab/>
      </w:r>
      <w:r w:rsidRPr="00107A60">
        <w:rPr>
          <w:b/>
          <w:i/>
        </w:rPr>
        <w:t>In re Accelerating Wireline Broadband Deployment by Removing Barriers to Infrastructure Investment</w:t>
      </w:r>
      <w:r>
        <w:rPr>
          <w:b/>
        </w:rPr>
        <w:t>, WC Docket No. 17-84</w:t>
      </w:r>
      <w:r w:rsidR="00450F0A">
        <w:rPr>
          <w:b/>
        </w:rPr>
        <w:t>;</w:t>
      </w:r>
      <w:r w:rsidR="00450F0A">
        <w:rPr>
          <w:b/>
        </w:rPr>
        <w:tab/>
      </w:r>
      <w:r w:rsidR="00450F0A" w:rsidRPr="00E458DE">
        <w:rPr>
          <w:b/>
          <w:i/>
        </w:rPr>
        <w:t>Accelerating Broadband Deployment</w:t>
      </w:r>
      <w:r w:rsidR="00450F0A">
        <w:rPr>
          <w:b/>
        </w:rPr>
        <w:t>, GN Docket No. 17- 83</w:t>
      </w:r>
    </w:p>
    <w:p w:rsidR="00936C24" w:rsidRDefault="00315FE3" w:rsidP="00107A60">
      <w:pPr>
        <w:ind w:left="1440" w:hanging="720"/>
        <w:rPr>
          <w:b/>
        </w:rPr>
      </w:pPr>
    </w:p>
    <w:p w:rsidR="00936C24" w:rsidRPr="00107A60" w:rsidRDefault="005170CE" w:rsidP="00107A60">
      <w:pPr>
        <w:ind w:left="1440" w:hanging="720"/>
        <w:rPr>
          <w:b/>
        </w:rPr>
      </w:pPr>
      <w:r>
        <w:rPr>
          <w:b/>
        </w:rPr>
        <w:tab/>
        <w:t>Notice of Ex Parte Presentation</w:t>
      </w:r>
    </w:p>
    <w:p w:rsidR="002D59A9" w:rsidRDefault="00315FE3" w:rsidP="00AC03E8">
      <w:pPr>
        <w:rPr>
          <w:b/>
        </w:rPr>
      </w:pPr>
    </w:p>
    <w:p w:rsidR="002D59A9" w:rsidRDefault="005170CE" w:rsidP="00AC03E8">
      <w:r>
        <w:t xml:space="preserve">Dear Ms. Dortch: </w:t>
      </w:r>
    </w:p>
    <w:p w:rsidR="002D59A9" w:rsidRDefault="00315FE3" w:rsidP="00AC03E8"/>
    <w:p w:rsidR="00450F0A" w:rsidRPr="00E458DE" w:rsidRDefault="005170CE" w:rsidP="00AC03E8">
      <w:r>
        <w:tab/>
        <w:t xml:space="preserve">On February 1, 2018, </w:t>
      </w:r>
      <w:r w:rsidR="00591638">
        <w:t>Elizabeth Andrion and Christianna Barnhart</w:t>
      </w:r>
      <w:r>
        <w:t xml:space="preserve"> of Charter Communications, Inc. (“Charter”) met separately with Jay Schwarz from Chairman Pai’s office; Jamie Susskind from Commissioner Carr’s Office; Claude Aiken from Commissioner Clyburn’s office</w:t>
      </w:r>
      <w:r w:rsidRPr="0086673F">
        <w:t xml:space="preserve">; </w:t>
      </w:r>
      <w:r w:rsidR="00F92200" w:rsidRPr="0086673F">
        <w:t xml:space="preserve">and </w:t>
      </w:r>
      <w:r w:rsidRPr="0086673F">
        <w:t>Amy Bender from Commissioner O’Reilly’s office regarding the above-referenced proceeding</w:t>
      </w:r>
      <w:r w:rsidR="00450F0A" w:rsidRPr="00E458DE">
        <w:t>s</w:t>
      </w:r>
      <w:r w:rsidRPr="00E458DE">
        <w:t xml:space="preserve">.  </w:t>
      </w:r>
      <w:r w:rsidR="00450F0A" w:rsidRPr="00E458DE">
        <w:t xml:space="preserve">On the same day, </w:t>
      </w:r>
      <w:r w:rsidR="00064F0C" w:rsidRPr="00E458DE">
        <w:t xml:space="preserve">Christianna </w:t>
      </w:r>
      <w:r w:rsidRPr="0086673F">
        <w:t>Barnhart also met with Travis Litman from Commissioner Rosenworcel’s</w:t>
      </w:r>
      <w:r w:rsidRPr="00E458DE">
        <w:t xml:space="preserve"> office</w:t>
      </w:r>
      <w:r w:rsidR="00450F0A" w:rsidRPr="00E458DE">
        <w:t xml:space="preserve"> to discuss the same</w:t>
      </w:r>
      <w:r w:rsidRPr="00E458DE">
        <w:t>.</w:t>
      </w:r>
      <w:r w:rsidR="003321D1" w:rsidRPr="00E458DE">
        <w:t xml:space="preserve">  </w:t>
      </w:r>
      <w:r w:rsidR="00450F0A" w:rsidRPr="00E458DE">
        <w:t>Additionally, on February 5, 2018</w:t>
      </w:r>
      <w:r w:rsidR="005F65FE" w:rsidRPr="00E458DE">
        <w:t>,</w:t>
      </w:r>
      <w:r w:rsidR="00450F0A" w:rsidRPr="00E458DE">
        <w:t xml:space="preserve"> </w:t>
      </w:r>
      <w:r w:rsidR="00064F0C" w:rsidRPr="00E458DE">
        <w:t>Elizabeth</w:t>
      </w:r>
      <w:r w:rsidR="00450F0A" w:rsidRPr="0086673F">
        <w:t xml:space="preserve"> Andrion, Christianna Barnhart</w:t>
      </w:r>
      <w:r w:rsidR="00450F0A" w:rsidRPr="00E458DE">
        <w:t xml:space="preserve">, Audrey Connors </w:t>
      </w:r>
      <w:r w:rsidR="00064F0C" w:rsidRPr="00E458DE">
        <w:t>and Adam Falk, also of Charter,</w:t>
      </w:r>
      <w:r w:rsidR="005F65FE" w:rsidRPr="00E458DE">
        <w:t xml:space="preserve"> </w:t>
      </w:r>
      <w:r w:rsidR="00450F0A" w:rsidRPr="0086673F">
        <w:t>met with</w:t>
      </w:r>
      <w:r w:rsidR="005F65FE" w:rsidRPr="0086673F">
        <w:t xml:space="preserve"> the Wireline Competition Bureau to</w:t>
      </w:r>
      <w:r w:rsidR="005F65FE" w:rsidRPr="00E458DE">
        <w:t xml:space="preserve"> </w:t>
      </w:r>
      <w:r w:rsidR="005F65FE" w:rsidRPr="0086673F">
        <w:t xml:space="preserve">discuss the </w:t>
      </w:r>
      <w:r w:rsidR="005F65FE" w:rsidRPr="00E458DE">
        <w:t xml:space="preserve">proceedings captioned above. </w:t>
      </w:r>
    </w:p>
    <w:p w:rsidR="00450F0A" w:rsidRPr="00E458DE" w:rsidRDefault="00450F0A" w:rsidP="00AC03E8"/>
    <w:p w:rsidR="0046571A" w:rsidRPr="003517D1" w:rsidRDefault="003321D1" w:rsidP="00370980">
      <w:pPr>
        <w:ind w:firstLine="720"/>
      </w:pPr>
      <w:r w:rsidRPr="00E458DE">
        <w:t xml:space="preserve">During the meetings, we discussed </w:t>
      </w:r>
      <w:r w:rsidR="00182473" w:rsidRPr="00E458DE">
        <w:t>pole attachment reform</w:t>
      </w:r>
      <w:r w:rsidR="003440E5" w:rsidRPr="00E458DE">
        <w:t xml:space="preserve">, which </w:t>
      </w:r>
      <w:r w:rsidR="00182473" w:rsidRPr="00E458DE">
        <w:t xml:space="preserve">has been the subject of debate </w:t>
      </w:r>
      <w:r w:rsidR="003440E5" w:rsidRPr="00E458DE">
        <w:t xml:space="preserve">for </w:t>
      </w:r>
      <w:r w:rsidR="00182473" w:rsidRPr="00E458DE">
        <w:t xml:space="preserve">the Broadband Deployment Advisory Committee and </w:t>
      </w:r>
      <w:r w:rsidR="003440E5" w:rsidRPr="00E458DE">
        <w:t xml:space="preserve">in </w:t>
      </w:r>
      <w:r w:rsidR="00182473" w:rsidRPr="00E458DE">
        <w:t>the</w:t>
      </w:r>
      <w:r w:rsidR="00450F0A" w:rsidRPr="00E458DE">
        <w:t xml:space="preserve"> Wireline</w:t>
      </w:r>
      <w:r w:rsidR="00182473" w:rsidRPr="00E458DE">
        <w:t xml:space="preserve"> Infrastructure proceeding</w:t>
      </w:r>
      <w:r w:rsidR="005209C1" w:rsidRPr="00E458DE">
        <w:t>.</w:t>
      </w:r>
      <w:r w:rsidR="003440E5" w:rsidRPr="0086673F">
        <w:t xml:space="preserve">  We explained</w:t>
      </w:r>
      <w:r w:rsidR="003440E5" w:rsidRPr="00E458DE">
        <w:t xml:space="preserve"> that </w:t>
      </w:r>
      <w:r w:rsidR="00182473" w:rsidRPr="00E458DE">
        <w:t>Charter is uniquely positioned to discuss pole attachment reform as both an existing attacher and a new attacher</w:t>
      </w:r>
      <w:r w:rsidR="00064F0C" w:rsidRPr="00E458DE">
        <w:t>, and described some of the</w:t>
      </w:r>
      <w:r w:rsidR="00EC7897" w:rsidRPr="00E458DE">
        <w:t xml:space="preserve"> extensive</w:t>
      </w:r>
      <w:r w:rsidR="00064F0C" w:rsidRPr="0086673F">
        <w:t xml:space="preserve"> damage Charter</w:t>
      </w:r>
      <w:r w:rsidR="00064F0C" w:rsidRPr="00E458DE">
        <w:t xml:space="preserve"> has </w:t>
      </w:r>
      <w:r w:rsidR="00064F0C" w:rsidRPr="0086673F">
        <w:t>suffered as an existing attacher.</w:t>
      </w:r>
      <w:r w:rsidR="00182473" w:rsidRPr="00E458DE">
        <w:t xml:space="preserve"> </w:t>
      </w:r>
      <w:r w:rsidR="003440E5" w:rsidRPr="00E458DE">
        <w:t xml:space="preserve"> W</w:t>
      </w:r>
      <w:r w:rsidR="00370980" w:rsidRPr="00E458DE">
        <w:t xml:space="preserve">ith </w:t>
      </w:r>
      <w:r w:rsidR="003440E5" w:rsidRPr="00E458DE">
        <w:t xml:space="preserve">significant </w:t>
      </w:r>
      <w:r w:rsidR="005170CE" w:rsidRPr="00E458DE">
        <w:t>investment</w:t>
      </w:r>
      <w:r w:rsidR="00370980" w:rsidRPr="00E458DE">
        <w:t>s</w:t>
      </w:r>
      <w:r w:rsidR="005170CE" w:rsidRPr="00E458DE">
        <w:t xml:space="preserve"> </w:t>
      </w:r>
      <w:r w:rsidR="003440E5" w:rsidRPr="00E458DE">
        <w:t>at stake in our current facilities</w:t>
      </w:r>
      <w:r w:rsidR="00370980" w:rsidRPr="00E458DE">
        <w:t xml:space="preserve">, as well as plans for significant additional buildout of our facilities, </w:t>
      </w:r>
      <w:r w:rsidR="00B76ED9" w:rsidRPr="00E458DE">
        <w:t xml:space="preserve">we understand well </w:t>
      </w:r>
      <w:r w:rsidR="005170CE" w:rsidRPr="00E458DE">
        <w:t xml:space="preserve">the challenges of </w:t>
      </w:r>
      <w:r w:rsidR="002337FC" w:rsidRPr="00E458DE">
        <w:t>balancing the</w:t>
      </w:r>
      <w:r w:rsidR="002337FC">
        <w:t xml:space="preserve"> interests of new attachers seeking to deploy broadband </w:t>
      </w:r>
      <w:r w:rsidR="00370980">
        <w:t xml:space="preserve">networks </w:t>
      </w:r>
      <w:r w:rsidR="002337FC">
        <w:t xml:space="preserve">against the </w:t>
      </w:r>
      <w:r w:rsidR="00370980">
        <w:t>interests of property owners</w:t>
      </w:r>
      <w:r w:rsidR="002337FC">
        <w:t xml:space="preserve">.  </w:t>
      </w:r>
      <w:r w:rsidR="005170CE" w:rsidRPr="006175F5">
        <w:t xml:space="preserve">Accordingly, we </w:t>
      </w:r>
      <w:r w:rsidR="00370980">
        <w:t xml:space="preserve">proposed the following balanced </w:t>
      </w:r>
      <w:r w:rsidR="005170CE" w:rsidRPr="006175F5">
        <w:t xml:space="preserve">reforms to the pole attachment rules: (1) </w:t>
      </w:r>
      <w:r w:rsidR="00370980">
        <w:t xml:space="preserve">a reasonable 30-day advance </w:t>
      </w:r>
      <w:r w:rsidR="005170CE" w:rsidRPr="006175F5">
        <w:t xml:space="preserve">notice </w:t>
      </w:r>
      <w:r w:rsidR="00370980">
        <w:t xml:space="preserve">period to give </w:t>
      </w:r>
      <w:r w:rsidR="005170CE" w:rsidRPr="006175F5">
        <w:t xml:space="preserve">existing attachers </w:t>
      </w:r>
      <w:r w:rsidR="00370980">
        <w:t xml:space="preserve">the opportunity </w:t>
      </w:r>
      <w:r w:rsidR="005170CE" w:rsidRPr="006175F5">
        <w:t xml:space="preserve">to move their </w:t>
      </w:r>
      <w:r w:rsidR="00370980">
        <w:t>equipment</w:t>
      </w:r>
      <w:r w:rsidR="005170CE" w:rsidRPr="006175F5">
        <w:t>, (2) a requirement that</w:t>
      </w:r>
      <w:r w:rsidR="00370980">
        <w:t xml:space="preserve">, if existing attachers were unable to move their equipment within that 30 days, </w:t>
      </w:r>
      <w:r w:rsidR="005170CE" w:rsidRPr="006175F5">
        <w:t xml:space="preserve"> new attachers </w:t>
      </w:r>
      <w:r w:rsidR="00370980">
        <w:t xml:space="preserve">could </w:t>
      </w:r>
      <w:r w:rsidR="005170CE" w:rsidRPr="006175F5">
        <w:t xml:space="preserve">use contractors </w:t>
      </w:r>
      <w:r w:rsidR="00370980">
        <w:t xml:space="preserve">on an existing attachers’ list of approved contractors </w:t>
      </w:r>
      <w:r w:rsidR="005170CE" w:rsidRPr="006175F5">
        <w:t xml:space="preserve">to do </w:t>
      </w:r>
      <w:r w:rsidR="005170CE">
        <w:t xml:space="preserve">any </w:t>
      </w:r>
      <w:r w:rsidR="005170CE" w:rsidRPr="006175F5">
        <w:t>make-ready</w:t>
      </w:r>
      <w:r w:rsidR="005170CE" w:rsidRPr="003517D1">
        <w:t xml:space="preserve"> work,</w:t>
      </w:r>
      <w:r w:rsidR="005170CE" w:rsidRPr="006175F5">
        <w:t xml:space="preserve"> and </w:t>
      </w:r>
      <w:r w:rsidR="005170CE">
        <w:t xml:space="preserve">(3) </w:t>
      </w:r>
      <w:r w:rsidR="00370980">
        <w:t xml:space="preserve">time for an existing attacher to inspect the make-ready work that was done and (4) </w:t>
      </w:r>
      <w:r w:rsidR="005170CE" w:rsidRPr="003517D1">
        <w:t>indemnification by the new attacher</w:t>
      </w:r>
      <w:r w:rsidR="00370980">
        <w:t xml:space="preserve"> for any damages.</w:t>
      </w:r>
      <w:r w:rsidR="005170CE" w:rsidRPr="003517D1">
        <w:t xml:space="preserve"> </w:t>
      </w:r>
    </w:p>
    <w:p w:rsidR="00AF20D9" w:rsidRPr="003517D1" w:rsidRDefault="00315FE3" w:rsidP="00AC03E8"/>
    <w:p w:rsidR="001D33CD" w:rsidRDefault="005170CE" w:rsidP="003517D1">
      <w:pPr>
        <w:ind w:firstLine="720"/>
      </w:pPr>
      <w:r w:rsidRPr="003517D1">
        <w:t xml:space="preserve">We also discussed </w:t>
      </w:r>
      <w:r w:rsidR="009F0DDE">
        <w:t xml:space="preserve">the fact that, when building out its network, </w:t>
      </w:r>
      <w:r w:rsidRPr="003517D1">
        <w:t xml:space="preserve">Charter has </w:t>
      </w:r>
      <w:r w:rsidR="009F0DDE">
        <w:t xml:space="preserve">often </w:t>
      </w:r>
      <w:r w:rsidRPr="003517D1">
        <w:t xml:space="preserve">suffered from </w:t>
      </w:r>
      <w:r w:rsidR="009F0DDE">
        <w:t xml:space="preserve">significant </w:t>
      </w:r>
      <w:r w:rsidRPr="003517D1">
        <w:t>delays</w:t>
      </w:r>
      <w:r w:rsidR="009F0DDE">
        <w:t xml:space="preserve"> </w:t>
      </w:r>
      <w:r w:rsidRPr="003517D1">
        <w:t>in getting access to utility poles</w:t>
      </w:r>
      <w:r w:rsidR="009F0DDE">
        <w:t xml:space="preserve">.  We </w:t>
      </w:r>
      <w:r w:rsidRPr="003517D1">
        <w:t xml:space="preserve">offered a number of proposals to </w:t>
      </w:r>
      <w:r w:rsidRPr="003517D1">
        <w:lastRenderedPageBreak/>
        <w:t>improve the pole attachment process, which are summarized in the attached</w:t>
      </w:r>
      <w:r w:rsidR="00AA28BF">
        <w:t xml:space="preserve"> document</w:t>
      </w:r>
      <w:r w:rsidRPr="003517D1">
        <w:t xml:space="preserve">.  The proposals seek to improve and streamline the pole attachment process through rules that would encourage application transparency, create </w:t>
      </w:r>
      <w:r w:rsidR="00AA28BF">
        <w:t xml:space="preserve">reasonable </w:t>
      </w:r>
      <w:r w:rsidRPr="003517D1">
        <w:t xml:space="preserve">deadlines to complete </w:t>
      </w:r>
      <w:r>
        <w:t>pre-construction surveys</w:t>
      </w:r>
      <w:r w:rsidR="00AA28BF">
        <w:t xml:space="preserve"> and make-ready estimates</w:t>
      </w:r>
      <w:r>
        <w:t xml:space="preserve">, expand the use of pre-approved contractors, and facilitate attachments on jointly-owned poles.  </w:t>
      </w:r>
    </w:p>
    <w:p w:rsidR="001D33CD" w:rsidRDefault="00315FE3" w:rsidP="00AC03E8"/>
    <w:p w:rsidR="001D33CD" w:rsidRDefault="005170CE" w:rsidP="00AC03E8">
      <w:r>
        <w:tab/>
        <w:t xml:space="preserve">Please contact me if you have any questions regarding these matters. </w:t>
      </w:r>
    </w:p>
    <w:p w:rsidR="001D33CD" w:rsidRDefault="00315FE3" w:rsidP="00AC03E8"/>
    <w:p w:rsidR="001D33CD" w:rsidRDefault="005170CE" w:rsidP="00AC03E8">
      <w:r>
        <w:t xml:space="preserve">Sincerely, </w:t>
      </w:r>
    </w:p>
    <w:p w:rsidR="001D33CD" w:rsidRDefault="00315FE3" w:rsidP="00AC03E8"/>
    <w:p w:rsidR="001D33CD" w:rsidRPr="003C447A" w:rsidRDefault="005170CE" w:rsidP="00AC03E8">
      <w:pPr>
        <w:rPr>
          <w:i/>
        </w:rPr>
      </w:pPr>
      <w:r>
        <w:t xml:space="preserve">/s/ </w:t>
      </w:r>
      <w:r>
        <w:rPr>
          <w:i/>
        </w:rPr>
        <w:t>Elizabeth Andrion</w:t>
      </w:r>
    </w:p>
    <w:p w:rsidR="006E7D15" w:rsidRDefault="00315FE3" w:rsidP="00AC03E8"/>
    <w:p w:rsidR="001D33CD" w:rsidRDefault="005170CE" w:rsidP="00AC03E8">
      <w:r>
        <w:t>Elizabeth Andrion</w:t>
      </w:r>
      <w:r>
        <w:br/>
      </w:r>
    </w:p>
    <w:p w:rsidR="006E7D15" w:rsidRDefault="005170CE" w:rsidP="00AC03E8">
      <w:r>
        <w:t>Attachment</w:t>
      </w:r>
    </w:p>
    <w:p w:rsidR="00E458DE" w:rsidRDefault="005170CE" w:rsidP="00AC03E8">
      <w:r>
        <w:t>cc:</w:t>
      </w:r>
      <w:r>
        <w:tab/>
        <w:t>Claude Aiken</w:t>
      </w:r>
      <w:r>
        <w:br/>
      </w:r>
      <w:r>
        <w:tab/>
        <w:t>Amy Bender</w:t>
      </w:r>
    </w:p>
    <w:p w:rsidR="00E458DE" w:rsidRDefault="00E458DE" w:rsidP="00E458DE">
      <w:pPr>
        <w:ind w:firstLine="720"/>
      </w:pPr>
      <w:r>
        <w:t>Adam Copeland</w:t>
      </w:r>
      <w:r w:rsidR="005170CE">
        <w:br/>
      </w:r>
      <w:r w:rsidR="005170CE">
        <w:tab/>
      </w:r>
      <w:r>
        <w:t>Lisa Hone</w:t>
      </w:r>
    </w:p>
    <w:p w:rsidR="00E458DE" w:rsidRDefault="00E458DE" w:rsidP="00E458DE">
      <w:pPr>
        <w:ind w:firstLine="720"/>
      </w:pPr>
      <w:r>
        <w:t xml:space="preserve">Paul </w:t>
      </w:r>
      <w:proofErr w:type="spellStart"/>
      <w:r>
        <w:t>LaFontaine</w:t>
      </w:r>
      <w:proofErr w:type="spellEnd"/>
    </w:p>
    <w:p w:rsidR="001D33CD" w:rsidRDefault="005170CE" w:rsidP="00E458DE">
      <w:pPr>
        <w:ind w:firstLine="720"/>
      </w:pPr>
      <w:r>
        <w:t>Travis Litman</w:t>
      </w:r>
    </w:p>
    <w:p w:rsidR="00E458DE" w:rsidRDefault="005170CE" w:rsidP="00AC03E8">
      <w:r>
        <w:tab/>
      </w:r>
      <w:r w:rsidR="00E458DE">
        <w:t>Kris Monteith</w:t>
      </w:r>
    </w:p>
    <w:p w:rsidR="00E458DE" w:rsidRDefault="00E458DE" w:rsidP="00E458DE">
      <w:pPr>
        <w:ind w:firstLine="720"/>
      </w:pPr>
      <w:r>
        <w:t>Deborah Salons</w:t>
      </w:r>
    </w:p>
    <w:p w:rsidR="001D33CD" w:rsidRDefault="005170CE" w:rsidP="00E458DE">
      <w:pPr>
        <w:ind w:firstLine="720"/>
      </w:pPr>
      <w:r>
        <w:t>Jay Schwarz</w:t>
      </w:r>
    </w:p>
    <w:p w:rsidR="00783122" w:rsidRDefault="005170CE" w:rsidP="00BF5E28">
      <w:r>
        <w:tab/>
        <w:t>Jamie Susskind</w:t>
      </w:r>
    </w:p>
    <w:p w:rsidR="0086673F" w:rsidRDefault="00450F0A" w:rsidP="00BF5E28">
      <w:r>
        <w:tab/>
      </w:r>
      <w:r w:rsidR="0086673F">
        <w:t>Mike Ray</w:t>
      </w:r>
    </w:p>
    <w:p w:rsidR="0086673F" w:rsidRDefault="0086673F" w:rsidP="00BF5E28">
      <w:r>
        <w:tab/>
      </w:r>
    </w:p>
    <w:p w:rsidR="006175F5" w:rsidRDefault="005170CE">
      <w:r>
        <w:br w:type="page"/>
      </w:r>
    </w:p>
    <w:p w:rsidR="006175F5" w:rsidRDefault="005170CE" w:rsidP="006175F5">
      <w:pPr>
        <w:jc w:val="center"/>
        <w:rPr>
          <w:b/>
        </w:rPr>
      </w:pPr>
      <w:r w:rsidRPr="00911E2E">
        <w:rPr>
          <w:b/>
        </w:rPr>
        <w:lastRenderedPageBreak/>
        <w:t xml:space="preserve">CHARTER’S POLE ATTACHMENT REFORM PROPOSALS  </w:t>
      </w:r>
      <w:r w:rsidRPr="00911E2E">
        <w:rPr>
          <w:b/>
        </w:rPr>
        <w:br/>
      </w:r>
    </w:p>
    <w:p w:rsidR="005170CE" w:rsidRDefault="005170CE" w:rsidP="006175F5">
      <w:pPr>
        <w:jc w:val="center"/>
        <w:rPr>
          <w:b/>
        </w:rPr>
      </w:pPr>
    </w:p>
    <w:p w:rsidR="006175F5" w:rsidRDefault="005170CE" w:rsidP="006175F5">
      <w:pPr>
        <w:rPr>
          <w:b/>
        </w:rPr>
      </w:pPr>
      <w:r w:rsidRPr="00DA0C0B">
        <w:rPr>
          <w:b/>
        </w:rPr>
        <w:t>The Commission should require utilities to provide more information on the status of the pole attachment applications process and create timelines for applications to be deemed granted.</w:t>
      </w:r>
      <w:r>
        <w:rPr>
          <w:b/>
        </w:rPr>
        <w:br/>
      </w:r>
    </w:p>
    <w:p w:rsidR="006175F5" w:rsidRPr="00F21043" w:rsidRDefault="005170CE" w:rsidP="006175F5">
      <w:pPr>
        <w:rPr>
          <w:b/>
        </w:rPr>
      </w:pPr>
      <w:r>
        <w:t>New rules could require pole owners to:</w:t>
      </w:r>
      <w:r>
        <w:br/>
      </w:r>
    </w:p>
    <w:p w:rsidR="006175F5" w:rsidRPr="00911E2E" w:rsidRDefault="005170CE" w:rsidP="006175F5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21043">
        <w:rPr>
          <w:rFonts w:ascii="Times New Roman" w:hAnsi="Times New Roman" w:cs="Times New Roman"/>
          <w:sz w:val="24"/>
          <w:szCs w:val="24"/>
        </w:rPr>
        <w:t>Inform applicants</w:t>
      </w:r>
      <w:r w:rsidRPr="00911E2E">
        <w:rPr>
          <w:rFonts w:ascii="Times New Roman" w:hAnsi="Times New Roman" w:cs="Times New Roman"/>
          <w:sz w:val="24"/>
          <w:szCs w:val="24"/>
        </w:rPr>
        <w:t xml:space="preserve"> within 5 days that their application is complete.</w:t>
      </w:r>
    </w:p>
    <w:p w:rsidR="006175F5" w:rsidRPr="00911E2E" w:rsidRDefault="005170CE" w:rsidP="006175F5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>Post individual charges for rents, surveys, make ready</w:t>
      </w:r>
      <w:r w:rsidR="00D9118C">
        <w:rPr>
          <w:rFonts w:ascii="Times New Roman" w:hAnsi="Times New Roman" w:cs="Times New Roman"/>
          <w:sz w:val="24"/>
          <w:szCs w:val="24"/>
        </w:rPr>
        <w:t xml:space="preserve"> and post construction notices.</w:t>
      </w:r>
    </w:p>
    <w:p w:rsidR="006175F5" w:rsidRPr="00911E2E" w:rsidRDefault="005170CE" w:rsidP="006175F5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Confirm all denials of applications within 15 days, and if an application is denied, provide the reason why and offer an opportunity to cure the application’s </w:t>
      </w:r>
      <w:r w:rsidR="0086673F" w:rsidRPr="00911E2E">
        <w:rPr>
          <w:rFonts w:ascii="Times New Roman" w:hAnsi="Times New Roman" w:cs="Times New Roman"/>
          <w:sz w:val="24"/>
          <w:szCs w:val="24"/>
        </w:rPr>
        <w:t>deficien</w:t>
      </w:r>
      <w:r w:rsidR="0086673F">
        <w:rPr>
          <w:rFonts w:ascii="Times New Roman" w:hAnsi="Times New Roman" w:cs="Times New Roman"/>
          <w:sz w:val="24"/>
          <w:szCs w:val="24"/>
        </w:rPr>
        <w:t>ci</w:t>
      </w:r>
      <w:r w:rsidR="0086673F" w:rsidRPr="00911E2E">
        <w:rPr>
          <w:rFonts w:ascii="Times New Roman" w:hAnsi="Times New Roman" w:cs="Times New Roman"/>
          <w:sz w:val="24"/>
          <w:szCs w:val="24"/>
        </w:rPr>
        <w:t>es</w:t>
      </w:r>
      <w:r w:rsidRPr="00911E2E">
        <w:rPr>
          <w:rFonts w:ascii="Times New Roman" w:hAnsi="Times New Roman" w:cs="Times New Roman"/>
          <w:sz w:val="24"/>
          <w:szCs w:val="24"/>
        </w:rPr>
        <w:t>.</w:t>
      </w:r>
    </w:p>
    <w:p w:rsidR="006175F5" w:rsidRPr="00911E2E" w:rsidRDefault="00D9118C" w:rsidP="006175F5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Promptly respond to inquiries from the applicant regarding the status of the application and related work.</w:t>
      </w:r>
    </w:p>
    <w:p w:rsidR="006175F5" w:rsidRPr="00911E2E" w:rsidRDefault="005170CE" w:rsidP="006175F5">
      <w:pPr>
        <w:pStyle w:val="ListParagraph"/>
        <w:numPr>
          <w:ilvl w:val="1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Prioritize applications that attachers identify as necessary to move forward with projects needed to complete build-out commitments. </w:t>
      </w:r>
    </w:p>
    <w:p w:rsidR="006175F5" w:rsidRPr="00911E2E" w:rsidRDefault="005170CE" w:rsidP="006175F5">
      <w:pPr>
        <w:pStyle w:val="ListParagraph"/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911E2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175F5" w:rsidRPr="00BD44D5" w:rsidRDefault="005170CE" w:rsidP="006175F5">
      <w:r w:rsidRPr="00DA0C0B">
        <w:rPr>
          <w:b/>
        </w:rPr>
        <w:t>The Commission should adopt deadlines for utilities to complete make ready estimates and to complete pre-construction surveys. The Commission should also adopt rules to expand the use of pre-approved contractors to complete pole owner work.</w:t>
      </w:r>
      <w:r w:rsidRPr="00F21043">
        <w:t xml:space="preserve"> </w:t>
      </w:r>
      <w:r>
        <w:br/>
      </w:r>
    </w:p>
    <w:p w:rsidR="006175F5" w:rsidRPr="00BD44D5" w:rsidRDefault="005170CE" w:rsidP="006175F5">
      <w:pPr>
        <w:rPr>
          <w:b/>
        </w:rPr>
      </w:pPr>
      <w:r>
        <w:t>New rules could require pole owners to:</w:t>
      </w:r>
      <w:r>
        <w:br/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1E2E">
        <w:rPr>
          <w:rFonts w:ascii="Times New Roman" w:hAnsi="Times New Roman" w:cs="Times New Roman"/>
          <w:sz w:val="24"/>
          <w:szCs w:val="24"/>
        </w:rPr>
        <w:t>Utilize a pole attachment application that requires applicants to submit only the information reasonably necessary for the application process.</w:t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Process pole attachment applications and perform pre-construction surveys within 30 days (rather than the current 45-day deadline).  </w:t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spacing w:line="240" w:lineRule="auto"/>
        <w:contextualSpacing w:val="0"/>
        <w:rPr>
          <w:rStyle w:val="CommentReference"/>
          <w:rFonts w:ascii="Times New Roman" w:hAnsi="Times New Roman" w:cs="Times New Roman"/>
          <w:b/>
          <w:sz w:val="24"/>
          <w:szCs w:val="24"/>
          <w:u w:val="single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Provide </w:t>
      </w:r>
      <w:r w:rsidR="00315FE3">
        <w:rPr>
          <w:rFonts w:ascii="Times New Roman" w:hAnsi="Times New Roman" w:cs="Times New Roman"/>
          <w:sz w:val="24"/>
          <w:szCs w:val="24"/>
        </w:rPr>
        <w:t xml:space="preserve">the </w:t>
      </w:r>
      <w:bookmarkStart w:id="0" w:name="_GoBack"/>
      <w:bookmarkEnd w:id="0"/>
      <w:r w:rsidRPr="00911E2E">
        <w:rPr>
          <w:rFonts w:ascii="Times New Roman" w:hAnsi="Times New Roman" w:cs="Times New Roman"/>
          <w:sz w:val="24"/>
          <w:szCs w:val="24"/>
        </w:rPr>
        <w:t>requesting entity with an estimate of make-ready charges within 7 days of completing the pre-construction survey (rather than the current 14-day deadline).</w:t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Style w:val="CommentReference"/>
          <w:rFonts w:ascii="Times New Roman" w:hAnsi="Times New Roman" w:cs="Times New Roman"/>
          <w:sz w:val="24"/>
          <w:szCs w:val="24"/>
        </w:rPr>
        <w:t>M</w:t>
      </w:r>
      <w:r w:rsidRPr="00911E2E">
        <w:rPr>
          <w:rFonts w:ascii="Times New Roman" w:hAnsi="Times New Roman" w:cs="Times New Roman"/>
          <w:sz w:val="24"/>
          <w:szCs w:val="24"/>
        </w:rPr>
        <w:t xml:space="preserve">aintain a sufficient list of pre-approved contractors that an attacher could select from to conduct pre-construction survey work and allow attachers to use their own contractors when owners fail to provide a list. </w:t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>Allow an attacher to use its own qualified contractors if a utility fails to maintain a list of pre-approved contractors.</w:t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Refund application fees when the attacher retains contractors to perform pre-construction surveys due to the pole owner’s inability to do so in a timely manner. </w:t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Completely fulfill access requests for applications of 30 or fewer poles within 30 days of a request made by the attaching entity. </w:t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lastRenderedPageBreak/>
        <w:t>Allow requesting attachers to utilize NESC-compliant temporary attachment methods when the utility does not meet its deadlines.</w:t>
      </w:r>
    </w:p>
    <w:p w:rsidR="006175F5" w:rsidRPr="00911E2E" w:rsidRDefault="005170CE" w:rsidP="006175F5">
      <w:pPr>
        <w:pStyle w:val="ListParagraph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Notify new attachers that make ready work is complete within three days of completion.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6175F5" w:rsidRPr="00911E2E" w:rsidRDefault="005170CE" w:rsidP="006175F5">
      <w:pPr>
        <w:rPr>
          <w:b/>
          <w:u w:val="single"/>
        </w:rPr>
      </w:pPr>
      <w:r w:rsidRPr="00911E2E">
        <w:rPr>
          <w:b/>
        </w:rPr>
        <w:t>The Commission should reaffirm its pole attachment policies to ensure that utilities do not impose unlawful burdens on attaching entities that will delay the deployment of broadband infrastructure.</w:t>
      </w:r>
      <w:r w:rsidRPr="00911E2E">
        <w:rPr>
          <w:b/>
        </w:rPr>
        <w:br/>
      </w:r>
      <w:r w:rsidRPr="00911E2E">
        <w:br/>
        <w:t>Specifically, the Commission should:</w:t>
      </w:r>
      <w:r>
        <w:br/>
      </w:r>
    </w:p>
    <w:p w:rsidR="006175F5" w:rsidRPr="00911E2E" w:rsidRDefault="005170CE" w:rsidP="006175F5">
      <w:pPr>
        <w:pStyle w:val="ListParagraph"/>
        <w:numPr>
          <w:ilvl w:val="1"/>
          <w:numId w:val="5"/>
        </w:numPr>
        <w:spacing w:line="240" w:lineRule="auto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11E2E">
        <w:rPr>
          <w:rFonts w:ascii="Times New Roman" w:hAnsi="Times New Roman" w:cs="Times New Roman"/>
          <w:sz w:val="24"/>
          <w:szCs w:val="24"/>
        </w:rPr>
        <w:t>Restate precedent that prevents pole owners from requiring payment before pre-construction surveys are performed.</w:t>
      </w:r>
    </w:p>
    <w:p w:rsidR="006175F5" w:rsidRPr="00911E2E" w:rsidRDefault="005170CE" w:rsidP="006175F5">
      <w:pPr>
        <w:pStyle w:val="ListParagraph"/>
        <w:numPr>
          <w:ilvl w:val="1"/>
          <w:numId w:val="5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Restate that a pole owner may not require an attacher to correct preexisting violations of other attachers or the pole owner as a condition of access. </w:t>
      </w:r>
    </w:p>
    <w:p w:rsidR="006175F5" w:rsidRPr="00911E2E" w:rsidRDefault="005170CE" w:rsidP="006175F5">
      <w:pPr>
        <w:pStyle w:val="ListParagraph"/>
        <w:numPr>
          <w:ilvl w:val="1"/>
          <w:numId w:val="5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Reaffirm that cable operators have the right to access any compatible easement within their franchise areas, including those used by a utility. </w:t>
      </w:r>
    </w:p>
    <w:p w:rsidR="006175F5" w:rsidRPr="00911E2E" w:rsidRDefault="005170CE" w:rsidP="006175F5">
      <w:pPr>
        <w:pStyle w:val="ListParagraph"/>
        <w:numPr>
          <w:ilvl w:val="1"/>
          <w:numId w:val="5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>Clarify that the NESC guidelines do not require attachers to retrofit their existing compliant plants in order to comply with updated codes.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6175F5" w:rsidRPr="00DA0C0B" w:rsidRDefault="005170CE" w:rsidP="006175F5">
      <w:pPr>
        <w:keepNext/>
        <w:rPr>
          <w:u w:val="single"/>
        </w:rPr>
      </w:pPr>
      <w:r w:rsidRPr="00DA0C0B">
        <w:rPr>
          <w:b/>
        </w:rPr>
        <w:t>The Commission should adopt rules to facilitate pole attachments on jointly-owned poles.</w:t>
      </w:r>
      <w:r>
        <w:rPr>
          <w:b/>
        </w:rPr>
        <w:br/>
      </w:r>
    </w:p>
    <w:p w:rsidR="006175F5" w:rsidRPr="00DA0C0B" w:rsidRDefault="005170CE" w:rsidP="006175F5">
      <w:r w:rsidRPr="00DA0C0B">
        <w:t>New rules could require joint owners to</w:t>
      </w:r>
      <w:r w:rsidRPr="00DA0C0B">
        <w:rPr>
          <w:b/>
        </w:rPr>
        <w:t xml:space="preserve">: </w:t>
      </w:r>
      <w:r>
        <w:rPr>
          <w:b/>
        </w:rPr>
        <w:br/>
      </w:r>
    </w:p>
    <w:p w:rsidR="006175F5" w:rsidRPr="00911E2E" w:rsidRDefault="005170CE" w:rsidP="006175F5">
      <w:pPr>
        <w:pStyle w:val="ListParagraph"/>
        <w:numPr>
          <w:ilvl w:val="0"/>
          <w:numId w:val="7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>Process pole attachment applications and perform pre-construction surveys concurrently with any joint pole owners.</w:t>
      </w:r>
    </w:p>
    <w:p w:rsidR="006175F5" w:rsidRPr="00911E2E" w:rsidRDefault="005170CE" w:rsidP="006175F5">
      <w:pPr>
        <w:pStyle w:val="ListParagraph"/>
        <w:numPr>
          <w:ilvl w:val="0"/>
          <w:numId w:val="7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>Use the same contractor for pre-construction surveys and, if possible, make-ready work.</w:t>
      </w:r>
    </w:p>
    <w:p w:rsidR="006175F5" w:rsidRPr="00911E2E" w:rsidRDefault="005170CE" w:rsidP="006175F5">
      <w:pPr>
        <w:pStyle w:val="ListParagraph"/>
        <w:numPr>
          <w:ilvl w:val="0"/>
          <w:numId w:val="7"/>
        </w:numPr>
        <w:spacing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911E2E">
        <w:rPr>
          <w:rFonts w:ascii="Times New Roman" w:hAnsi="Times New Roman" w:cs="Times New Roman"/>
          <w:sz w:val="24"/>
          <w:szCs w:val="24"/>
        </w:rPr>
        <w:t xml:space="preserve">Allow a requesting entity to use an approved contractor to perform preconstruction surveys in the electric and communications space at the same time when pre-construction surveys have not been conducted by either utility in a timely manner. </w:t>
      </w:r>
    </w:p>
    <w:p w:rsidR="00BF5E28" w:rsidRPr="00A47328" w:rsidRDefault="00315FE3" w:rsidP="00BF5E28"/>
    <w:sectPr w:rsidR="00BF5E28" w:rsidRPr="00A47328" w:rsidSect="00A40D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4DD" w:rsidRDefault="002E34DD">
      <w:r>
        <w:separator/>
      </w:r>
    </w:p>
  </w:endnote>
  <w:endnote w:type="continuationSeparator" w:id="0">
    <w:p w:rsidR="002E34DD" w:rsidRDefault="002E3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DE" w:rsidRDefault="00E458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2A39" w:rsidRDefault="005170CE" w:rsidP="00A40D29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15FE3">
      <w:rPr>
        <w:rStyle w:val="PageNumber"/>
        <w:noProof/>
      </w:rPr>
      <w:t>4</w:t>
    </w:r>
    <w:r>
      <w:rPr>
        <w:rStyle w:val="PageNumber"/>
      </w:rPr>
      <w:fldChar w:fldCharType="end"/>
    </w:r>
  </w:p>
  <w:p w:rsidR="00602A39" w:rsidRDefault="00315F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DE" w:rsidRDefault="00E458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4DD" w:rsidRDefault="002E34DD">
      <w:r>
        <w:separator/>
      </w:r>
    </w:p>
  </w:footnote>
  <w:footnote w:type="continuationSeparator" w:id="0">
    <w:p w:rsidR="002E34DD" w:rsidRDefault="002E3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DE" w:rsidRDefault="00E458D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8DE" w:rsidRDefault="00E458D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C44" w:rsidRPr="006A24D2" w:rsidRDefault="00315FE3" w:rsidP="006A24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BE2ED1C"/>
    <w:lvl w:ilvl="0">
      <w:start w:val="1"/>
      <w:numFmt w:val="decimal"/>
      <w:pStyle w:val="ListNumb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 w15:restartNumberingAfterBreak="0">
    <w:nsid w:val="FFFFFF89"/>
    <w:multiLevelType w:val="singleLevel"/>
    <w:tmpl w:val="3CECB8E8"/>
    <w:lvl w:ilvl="0">
      <w:start w:val="1"/>
      <w:numFmt w:val="bullet"/>
      <w:pStyle w:val="ListBullet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</w:abstractNum>
  <w:abstractNum w:abstractNumId="2" w15:restartNumberingAfterBreak="0">
    <w:nsid w:val="09C03AF5"/>
    <w:multiLevelType w:val="hybridMultilevel"/>
    <w:tmpl w:val="99A268E6"/>
    <w:lvl w:ilvl="0" w:tplc="2A427E6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9D80C9E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B13CE95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2460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9189D1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E667B0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30E6FC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F52C26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1A380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978F5"/>
    <w:multiLevelType w:val="hybridMultilevel"/>
    <w:tmpl w:val="CC64B3E4"/>
    <w:lvl w:ilvl="0" w:tplc="5D74B7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9069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C44F0D0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2208D75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FD662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F5237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9FA6E2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D866A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C3A57F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6EB492C"/>
    <w:multiLevelType w:val="hybridMultilevel"/>
    <w:tmpl w:val="365EFD30"/>
    <w:lvl w:ilvl="0" w:tplc="64743160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ADE0200A">
      <w:start w:val="1"/>
      <w:numFmt w:val="decimal"/>
      <w:lvlText w:val="%2."/>
      <w:lvlJc w:val="left"/>
      <w:pPr>
        <w:ind w:left="1503" w:hanging="360"/>
      </w:pPr>
      <w:rPr>
        <w:rFonts w:hint="default"/>
      </w:rPr>
    </w:lvl>
    <w:lvl w:ilvl="2" w:tplc="A5009C54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E4309278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B2D05AF4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DEA8817A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988A7302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6C4E7576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AD24E610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71DD70BC"/>
    <w:multiLevelType w:val="hybridMultilevel"/>
    <w:tmpl w:val="26027394"/>
    <w:lvl w:ilvl="0" w:tplc="A6F0E39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B6890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DE2D6E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16387C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2CCF69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57CF2E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51E48A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CA4DA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3E0E7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8511ADC"/>
    <w:multiLevelType w:val="hybridMultilevel"/>
    <w:tmpl w:val="CA080AFC"/>
    <w:lvl w:ilvl="0" w:tplc="5A004C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B0667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7D48AEE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E6C997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4603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2E2F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956717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67CFFB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22DCA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38"/>
    <w:rsid w:val="00064F0C"/>
    <w:rsid w:val="00182473"/>
    <w:rsid w:val="002337FC"/>
    <w:rsid w:val="002E34DD"/>
    <w:rsid w:val="00315FE3"/>
    <w:rsid w:val="003321D1"/>
    <w:rsid w:val="003440E5"/>
    <w:rsid w:val="00370980"/>
    <w:rsid w:val="00450F0A"/>
    <w:rsid w:val="004D7163"/>
    <w:rsid w:val="005170CE"/>
    <w:rsid w:val="005209C1"/>
    <w:rsid w:val="00591638"/>
    <w:rsid w:val="005F65FE"/>
    <w:rsid w:val="00614EAB"/>
    <w:rsid w:val="006A24D2"/>
    <w:rsid w:val="0086673F"/>
    <w:rsid w:val="008F6E2A"/>
    <w:rsid w:val="009F0DDE"/>
    <w:rsid w:val="00AA28BF"/>
    <w:rsid w:val="00B76ED9"/>
    <w:rsid w:val="00BF5932"/>
    <w:rsid w:val="00D07C0B"/>
    <w:rsid w:val="00D9118C"/>
    <w:rsid w:val="00E36771"/>
    <w:rsid w:val="00E458DE"/>
    <w:rsid w:val="00EA3920"/>
    <w:rsid w:val="00EC7897"/>
    <w:rsid w:val="00F9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5C40FC7-0E00-4924-82B1-B12A287AC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 w:qFormat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F574CD"/>
    <w:rPr>
      <w:sz w:val="24"/>
      <w:szCs w:val="24"/>
    </w:rPr>
  </w:style>
  <w:style w:type="paragraph" w:styleId="Heading1">
    <w:name w:val="heading 1"/>
    <w:basedOn w:val="Normal"/>
    <w:semiHidden/>
    <w:unhideWhenUsed/>
    <w:qFormat/>
    <w:rsid w:val="009D0E6B"/>
    <w:pPr>
      <w:spacing w:after="240"/>
      <w:outlineLvl w:val="0"/>
    </w:pPr>
    <w:rPr>
      <w:rFonts w:cs="Arial"/>
      <w:bCs/>
    </w:rPr>
  </w:style>
  <w:style w:type="paragraph" w:styleId="Heading2">
    <w:name w:val="heading 2"/>
    <w:basedOn w:val="Normal"/>
    <w:semiHidden/>
    <w:unhideWhenUsed/>
    <w:qFormat/>
    <w:rsid w:val="009D0E6B"/>
    <w:pPr>
      <w:spacing w:after="240"/>
      <w:outlineLvl w:val="1"/>
    </w:pPr>
    <w:rPr>
      <w:rFonts w:cs="Arial"/>
      <w:bCs/>
      <w:iCs/>
    </w:rPr>
  </w:style>
  <w:style w:type="paragraph" w:styleId="Heading3">
    <w:name w:val="heading 3"/>
    <w:basedOn w:val="Normal"/>
    <w:semiHidden/>
    <w:unhideWhenUsed/>
    <w:qFormat/>
    <w:rsid w:val="009D0E6B"/>
    <w:pPr>
      <w:spacing w:after="24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semiHidden/>
    <w:unhideWhenUsed/>
    <w:qFormat/>
    <w:rsid w:val="009D0E6B"/>
    <w:pPr>
      <w:spacing w:after="240"/>
      <w:outlineLvl w:val="3"/>
    </w:pPr>
    <w:rPr>
      <w:bCs/>
      <w:szCs w:val="28"/>
    </w:rPr>
  </w:style>
  <w:style w:type="paragraph" w:styleId="Heading5">
    <w:name w:val="heading 5"/>
    <w:basedOn w:val="Normal"/>
    <w:semiHidden/>
    <w:unhideWhenUsed/>
    <w:qFormat/>
    <w:rsid w:val="009D0E6B"/>
    <w:pPr>
      <w:spacing w:after="240"/>
      <w:outlineLvl w:val="4"/>
    </w:pPr>
    <w:rPr>
      <w:bCs/>
      <w:iCs/>
      <w:szCs w:val="26"/>
    </w:rPr>
  </w:style>
  <w:style w:type="paragraph" w:styleId="Heading6">
    <w:name w:val="heading 6"/>
    <w:basedOn w:val="Normal"/>
    <w:semiHidden/>
    <w:unhideWhenUsed/>
    <w:qFormat/>
    <w:rsid w:val="009D0E6B"/>
    <w:pPr>
      <w:spacing w:after="240"/>
      <w:outlineLvl w:val="5"/>
    </w:pPr>
    <w:rPr>
      <w:bCs/>
    </w:rPr>
  </w:style>
  <w:style w:type="paragraph" w:styleId="Heading7">
    <w:name w:val="heading 7"/>
    <w:basedOn w:val="Normal"/>
    <w:semiHidden/>
    <w:unhideWhenUsed/>
    <w:qFormat/>
    <w:rsid w:val="009D0E6B"/>
    <w:pPr>
      <w:spacing w:after="240"/>
      <w:outlineLvl w:val="6"/>
    </w:pPr>
  </w:style>
  <w:style w:type="paragraph" w:styleId="Heading8">
    <w:name w:val="heading 8"/>
    <w:basedOn w:val="Normal"/>
    <w:semiHidden/>
    <w:unhideWhenUsed/>
    <w:qFormat/>
    <w:rsid w:val="009D0E6B"/>
    <w:pPr>
      <w:spacing w:after="240"/>
      <w:outlineLvl w:val="7"/>
    </w:pPr>
    <w:rPr>
      <w:iCs/>
    </w:rPr>
  </w:style>
  <w:style w:type="paragraph" w:styleId="Heading9">
    <w:name w:val="heading 9"/>
    <w:basedOn w:val="Normal"/>
    <w:semiHidden/>
    <w:unhideWhenUsed/>
    <w:qFormat/>
    <w:rsid w:val="009D0E6B"/>
    <w:pPr>
      <w:spacing w:after="24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eredHeading">
    <w:name w:val="Centered Heading"/>
    <w:basedOn w:val="Normal"/>
    <w:next w:val="BodyTextFirstIndent"/>
    <w:semiHidden/>
    <w:unhideWhenUsed/>
    <w:rsid w:val="00AF5CF5"/>
    <w:pPr>
      <w:spacing w:after="240"/>
      <w:jc w:val="center"/>
    </w:pPr>
    <w:rPr>
      <w:b/>
    </w:rPr>
  </w:style>
  <w:style w:type="paragraph" w:styleId="BlockText">
    <w:name w:val="Block Text"/>
    <w:basedOn w:val="Normal"/>
    <w:qFormat/>
    <w:rsid w:val="009D0E6B"/>
    <w:pPr>
      <w:spacing w:after="240"/>
      <w:ind w:left="1440" w:right="1440"/>
    </w:pPr>
  </w:style>
  <w:style w:type="paragraph" w:customStyle="1" w:styleId="BlockTextJustified">
    <w:name w:val="Block Text Justified"/>
    <w:basedOn w:val="Normal"/>
    <w:qFormat/>
    <w:rsid w:val="009D0E6B"/>
    <w:pPr>
      <w:spacing w:after="240"/>
      <w:ind w:left="720" w:right="720"/>
      <w:jc w:val="both"/>
    </w:pPr>
  </w:style>
  <w:style w:type="paragraph" w:customStyle="1" w:styleId="BlockTextDouble">
    <w:name w:val="Block Text Double"/>
    <w:basedOn w:val="Normal"/>
    <w:qFormat/>
    <w:rsid w:val="009D0E6B"/>
    <w:pPr>
      <w:spacing w:line="480" w:lineRule="auto"/>
      <w:ind w:left="1440" w:right="1440"/>
    </w:pPr>
  </w:style>
  <w:style w:type="paragraph" w:customStyle="1" w:styleId="BlockTextDoubleJustified">
    <w:name w:val="Block Text Double Justified"/>
    <w:basedOn w:val="Normal"/>
    <w:qFormat/>
    <w:rsid w:val="009D0E6B"/>
    <w:pPr>
      <w:spacing w:line="480" w:lineRule="auto"/>
      <w:ind w:left="1440" w:right="1440"/>
      <w:jc w:val="both"/>
    </w:pPr>
  </w:style>
  <w:style w:type="paragraph" w:styleId="BodyText">
    <w:name w:val="Body Text"/>
    <w:basedOn w:val="Normal"/>
    <w:qFormat/>
    <w:rsid w:val="009D0E6B"/>
    <w:pPr>
      <w:spacing w:after="240"/>
    </w:pPr>
  </w:style>
  <w:style w:type="paragraph" w:customStyle="1" w:styleId="BodyTextJustified">
    <w:name w:val="Body Text Justified"/>
    <w:basedOn w:val="Normal"/>
    <w:qFormat/>
    <w:rsid w:val="009D0E6B"/>
    <w:pPr>
      <w:spacing w:after="240"/>
      <w:jc w:val="both"/>
    </w:pPr>
  </w:style>
  <w:style w:type="paragraph" w:customStyle="1" w:styleId="BodyTextDouble">
    <w:name w:val="Body Text Double"/>
    <w:basedOn w:val="Normal"/>
    <w:qFormat/>
    <w:rsid w:val="009D0E6B"/>
    <w:pPr>
      <w:spacing w:line="480" w:lineRule="auto"/>
    </w:pPr>
  </w:style>
  <w:style w:type="paragraph" w:customStyle="1" w:styleId="BodyTextDoubleJustified">
    <w:name w:val="Body Text Double Justified"/>
    <w:basedOn w:val="Normal"/>
    <w:qFormat/>
    <w:rsid w:val="009D0E6B"/>
    <w:pPr>
      <w:spacing w:line="480" w:lineRule="auto"/>
      <w:jc w:val="both"/>
    </w:pPr>
  </w:style>
  <w:style w:type="paragraph" w:styleId="BodyTextFirstIndent">
    <w:name w:val="Body Text First Indent"/>
    <w:basedOn w:val="Normal"/>
    <w:qFormat/>
    <w:rsid w:val="009D0E6B"/>
    <w:pPr>
      <w:spacing w:after="240"/>
      <w:ind w:firstLine="720"/>
    </w:pPr>
  </w:style>
  <w:style w:type="paragraph" w:customStyle="1" w:styleId="BodyTextFirstIndentJustified">
    <w:name w:val="Body Text First Indent Justified"/>
    <w:basedOn w:val="Normal"/>
    <w:qFormat/>
    <w:rsid w:val="009D0E6B"/>
    <w:pPr>
      <w:spacing w:after="240"/>
      <w:ind w:firstLine="720"/>
      <w:jc w:val="both"/>
    </w:pPr>
  </w:style>
  <w:style w:type="paragraph" w:customStyle="1" w:styleId="BodyTextFirstIndentDouble">
    <w:name w:val="Body Text First Indent Double"/>
    <w:basedOn w:val="Normal"/>
    <w:qFormat/>
    <w:rsid w:val="009D0E6B"/>
    <w:pPr>
      <w:spacing w:line="480" w:lineRule="auto"/>
      <w:ind w:firstLine="720"/>
    </w:pPr>
  </w:style>
  <w:style w:type="paragraph" w:customStyle="1" w:styleId="BodyTextFirstIndentDoubleJustified">
    <w:name w:val="Body Text First Indent Double Justified"/>
    <w:basedOn w:val="Normal"/>
    <w:qFormat/>
    <w:rsid w:val="00097B0F"/>
    <w:pPr>
      <w:spacing w:line="480" w:lineRule="auto"/>
      <w:ind w:firstLine="720"/>
      <w:jc w:val="both"/>
    </w:pPr>
  </w:style>
  <w:style w:type="paragraph" w:styleId="Footer">
    <w:name w:val="footer"/>
    <w:basedOn w:val="Normal"/>
    <w:unhideWhenUsed/>
    <w:rsid w:val="009D0E6B"/>
    <w:pPr>
      <w:tabs>
        <w:tab w:val="center" w:pos="4680"/>
        <w:tab w:val="right" w:pos="9360"/>
      </w:tabs>
    </w:pPr>
  </w:style>
  <w:style w:type="paragraph" w:styleId="Header">
    <w:name w:val="header"/>
    <w:basedOn w:val="Normal"/>
    <w:link w:val="HeaderChar"/>
    <w:uiPriority w:val="99"/>
    <w:unhideWhenUsed/>
    <w:rsid w:val="009D0E6B"/>
    <w:pPr>
      <w:tabs>
        <w:tab w:val="center" w:pos="4680"/>
        <w:tab w:val="right" w:pos="9360"/>
      </w:tabs>
    </w:pPr>
  </w:style>
  <w:style w:type="character" w:styleId="FootnoteReference">
    <w:name w:val="footnote reference"/>
    <w:basedOn w:val="DefaultParagraphFont"/>
    <w:semiHidden/>
    <w:unhideWhenUsed/>
    <w:rsid w:val="004E7146"/>
    <w:rPr>
      <w:vertAlign w:val="superscript"/>
    </w:rPr>
  </w:style>
  <w:style w:type="paragraph" w:styleId="FootnoteText">
    <w:name w:val="footnote text"/>
    <w:basedOn w:val="Normal"/>
    <w:semiHidden/>
    <w:unhideWhenUsed/>
    <w:rsid w:val="009D0E6B"/>
    <w:rPr>
      <w:szCs w:val="20"/>
    </w:rPr>
  </w:style>
  <w:style w:type="paragraph" w:styleId="ListNumber">
    <w:name w:val="List Number"/>
    <w:basedOn w:val="Normal"/>
    <w:semiHidden/>
    <w:unhideWhenUsed/>
    <w:rsid w:val="00D668C4"/>
    <w:pPr>
      <w:numPr>
        <w:numId w:val="1"/>
      </w:numPr>
    </w:pPr>
  </w:style>
  <w:style w:type="paragraph" w:styleId="ListBullet">
    <w:name w:val="List Bullet"/>
    <w:basedOn w:val="Normal"/>
    <w:semiHidden/>
    <w:unhideWhenUsed/>
    <w:rsid w:val="00D668C4"/>
    <w:pPr>
      <w:numPr>
        <w:numId w:val="2"/>
      </w:numPr>
    </w:pPr>
  </w:style>
  <w:style w:type="paragraph" w:customStyle="1" w:styleId="TableText">
    <w:name w:val="Table Text"/>
    <w:basedOn w:val="Normal"/>
    <w:qFormat/>
    <w:rsid w:val="00D668C4"/>
  </w:style>
  <w:style w:type="paragraph" w:customStyle="1" w:styleId="TitleBoldUnderlined">
    <w:name w:val="Title Bold Underlined"/>
    <w:basedOn w:val="Normal"/>
    <w:next w:val="BodyTextFirstIndent"/>
    <w:qFormat/>
    <w:rsid w:val="00D668C4"/>
    <w:pPr>
      <w:keepNext/>
      <w:spacing w:after="240"/>
      <w:jc w:val="center"/>
    </w:pPr>
    <w:rPr>
      <w:b/>
      <w:caps/>
      <w:u w:val="single"/>
    </w:rPr>
  </w:style>
  <w:style w:type="paragraph" w:customStyle="1" w:styleId="TitleBold">
    <w:name w:val="Title Bold"/>
    <w:basedOn w:val="Normal"/>
    <w:next w:val="BodyTextFirstIndent"/>
    <w:qFormat/>
    <w:rsid w:val="00D668C4"/>
    <w:pPr>
      <w:keepNext/>
      <w:spacing w:after="240"/>
      <w:jc w:val="center"/>
    </w:pPr>
    <w:rPr>
      <w:b/>
      <w:caps/>
    </w:rPr>
  </w:style>
  <w:style w:type="paragraph" w:customStyle="1" w:styleId="TitleUnderlined">
    <w:name w:val="Title Underlined"/>
    <w:basedOn w:val="Normal"/>
    <w:next w:val="BodyTextFirstIndent"/>
    <w:qFormat/>
    <w:rsid w:val="00D668C4"/>
    <w:pPr>
      <w:keepNext/>
      <w:spacing w:after="240"/>
      <w:jc w:val="center"/>
    </w:pPr>
    <w:rPr>
      <w:caps/>
      <w:u w:val="single"/>
    </w:rPr>
  </w:style>
  <w:style w:type="paragraph" w:styleId="Subtitle">
    <w:name w:val="Subtitle"/>
    <w:basedOn w:val="Normal"/>
    <w:next w:val="BodyTextFirstIndent"/>
    <w:semiHidden/>
    <w:unhideWhenUsed/>
    <w:qFormat/>
    <w:rsid w:val="00D668C4"/>
    <w:pPr>
      <w:spacing w:after="240"/>
      <w:jc w:val="center"/>
      <w:outlineLvl w:val="1"/>
    </w:pPr>
    <w:rPr>
      <w:rFonts w:cs="Arial"/>
    </w:rPr>
  </w:style>
  <w:style w:type="paragraph" w:styleId="Signature">
    <w:name w:val="Signature"/>
    <w:basedOn w:val="Normal"/>
    <w:qFormat/>
    <w:rsid w:val="00D668C4"/>
    <w:pPr>
      <w:ind w:left="4320"/>
    </w:pPr>
  </w:style>
  <w:style w:type="character" w:styleId="PageNumber">
    <w:name w:val="page number"/>
    <w:basedOn w:val="DefaultParagraphFont"/>
    <w:semiHidden/>
    <w:unhideWhenUsed/>
    <w:rsid w:val="00C124CD"/>
  </w:style>
  <w:style w:type="paragraph" w:customStyle="1" w:styleId="BlockTextSingleJustified">
    <w:name w:val="Block Text Single Justified"/>
    <w:basedOn w:val="BlockTextDoubleJustified"/>
    <w:qFormat/>
    <w:rsid w:val="00602A39"/>
    <w:pPr>
      <w:spacing w:after="24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3122"/>
    <w:rPr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DF7B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F7BE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723A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6175F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Esquire%20Innovations\iCreate\iTemplates\iBlank%20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iBlank Portrait</Template>
  <TotalTime>3</TotalTime>
  <Pages>4</Pages>
  <Words>1017</Words>
  <Characters>6016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Jenner &amp; Block</dc:creator>
  <cp:lastModifiedBy>Sanquist, Christine N.</cp:lastModifiedBy>
  <cp:revision>2</cp:revision>
  <cp:lastPrinted>2018-02-05T20:33:00Z</cp:lastPrinted>
  <dcterms:created xsi:type="dcterms:W3CDTF">2018-02-05T21:04:00Z</dcterms:created>
  <dcterms:modified xsi:type="dcterms:W3CDTF">2018-02-05T21:04:00Z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ersion">
    <vt:lpwstr>V3/EP2</vt:lpwstr>
  </property>
</Properties>
</file>