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E1D996" w14:textId="6DCC9113" w:rsidR="0091352A" w:rsidRDefault="00006E1F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332D8D28" wp14:editId="5120AE53">
            <wp:extent cx="5943600" cy="1109345"/>
            <wp:effectExtent l="0" t="0" r="0" b="0"/>
            <wp:docPr id="2" name="Picture 2" descr="http://www.smallcompanycoalition.com/images/head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mallcompanycoalition.com/images/head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4296" w14:textId="502055AD" w:rsidR="0091352A" w:rsidRPr="00D54A1A" w:rsidRDefault="0091352A" w:rsidP="00962A77">
      <w:pPr>
        <w:jc w:val="center"/>
        <w:rPr>
          <w:b/>
          <w:sz w:val="24"/>
          <w:szCs w:val="24"/>
          <w:u w:val="single"/>
        </w:rPr>
      </w:pPr>
    </w:p>
    <w:p w14:paraId="5DB827F7" w14:textId="488585A7" w:rsidR="0091352A" w:rsidRPr="006C28E1" w:rsidRDefault="00FD558A" w:rsidP="00684F48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February </w:t>
      </w:r>
      <w:r w:rsidR="00AA0CDA">
        <w:rPr>
          <w:rFonts w:asciiTheme="majorHAnsi" w:hAnsiTheme="majorHAnsi" w:cstheme="majorHAnsi"/>
          <w:sz w:val="24"/>
          <w:szCs w:val="24"/>
        </w:rPr>
        <w:t>6</w:t>
      </w:r>
      <w:bookmarkStart w:id="0" w:name="_GoBack"/>
      <w:bookmarkEnd w:id="0"/>
      <w:r>
        <w:rPr>
          <w:rFonts w:asciiTheme="majorHAnsi" w:hAnsiTheme="majorHAnsi" w:cstheme="majorHAnsi"/>
          <w:sz w:val="24"/>
          <w:szCs w:val="24"/>
        </w:rPr>
        <w:t>, 2018</w:t>
      </w:r>
    </w:p>
    <w:p w14:paraId="7CE226C3" w14:textId="77777777" w:rsidR="0091352A" w:rsidRPr="006C28E1" w:rsidRDefault="0091352A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AF60699" w14:textId="77777777" w:rsidR="0091352A" w:rsidRPr="006C28E1" w:rsidRDefault="0091352A" w:rsidP="006C28E1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6C28E1">
        <w:rPr>
          <w:rFonts w:asciiTheme="majorHAnsi" w:hAnsiTheme="majorHAnsi" w:cstheme="majorHAnsi"/>
          <w:b/>
          <w:sz w:val="24"/>
          <w:szCs w:val="24"/>
        </w:rPr>
        <w:t>Via ECFS</w:t>
      </w:r>
    </w:p>
    <w:p w14:paraId="1B67C385" w14:textId="77777777" w:rsidR="0091352A" w:rsidRPr="006C28E1" w:rsidRDefault="0091352A" w:rsidP="006C28E1">
      <w:pPr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76C49809" w14:textId="77777777" w:rsidR="0091352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Marlene Dortch, Secretary</w:t>
      </w:r>
    </w:p>
    <w:p w14:paraId="6F097F7D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Federal Communications Commission</w:t>
      </w:r>
    </w:p>
    <w:p w14:paraId="5A6CBFBE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445 12</w:t>
      </w:r>
      <w:r w:rsidRPr="006C28E1">
        <w:rPr>
          <w:rFonts w:asciiTheme="majorHAnsi" w:hAnsiTheme="majorHAnsi" w:cstheme="majorHAnsi"/>
          <w:sz w:val="24"/>
          <w:szCs w:val="24"/>
          <w:vertAlign w:val="superscript"/>
        </w:rPr>
        <w:t>th</w:t>
      </w:r>
      <w:r w:rsidRPr="006C28E1">
        <w:rPr>
          <w:rFonts w:asciiTheme="majorHAnsi" w:hAnsiTheme="majorHAnsi" w:cstheme="majorHAnsi"/>
          <w:sz w:val="24"/>
          <w:szCs w:val="24"/>
        </w:rPr>
        <w:t xml:space="preserve"> Street, SW</w:t>
      </w:r>
    </w:p>
    <w:p w14:paraId="1904B411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Washington, DC 20554</w:t>
      </w:r>
    </w:p>
    <w:p w14:paraId="647CB40F" w14:textId="77777777" w:rsidR="00C80010" w:rsidRPr="006C28E1" w:rsidRDefault="00C80010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F149305" w14:textId="3734CC76" w:rsidR="00C80010" w:rsidRPr="006C28E1" w:rsidRDefault="00C80010" w:rsidP="006C28E1">
      <w:pPr>
        <w:jc w:val="both"/>
        <w:rPr>
          <w:rFonts w:asciiTheme="majorHAnsi" w:hAnsiTheme="majorHAnsi" w:cstheme="majorHAnsi"/>
          <w:b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="00684F48">
        <w:rPr>
          <w:rFonts w:asciiTheme="majorHAnsi" w:hAnsiTheme="majorHAnsi" w:cstheme="majorHAnsi"/>
          <w:b/>
          <w:sz w:val="24"/>
          <w:szCs w:val="24"/>
        </w:rPr>
        <w:t xml:space="preserve">Re:   </w:t>
      </w:r>
      <w:r w:rsidR="00FD558A">
        <w:rPr>
          <w:rFonts w:asciiTheme="majorHAnsi" w:hAnsiTheme="majorHAnsi" w:cstheme="majorHAnsi"/>
          <w:b/>
          <w:sz w:val="24"/>
          <w:szCs w:val="24"/>
        </w:rPr>
        <w:t xml:space="preserve">Proposed Rural Broadband Order and NPRM </w:t>
      </w:r>
    </w:p>
    <w:p w14:paraId="7358EC0C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5648245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Dear Ms. Dortch:</w:t>
      </w:r>
    </w:p>
    <w:p w14:paraId="6BE658EC" w14:textId="77777777" w:rsidR="0068177A" w:rsidRPr="006C28E1" w:rsidRDefault="0068177A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EEE36FD" w14:textId="5C9641F7" w:rsidR="0068177A" w:rsidRDefault="00A320D8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 xml:space="preserve">On </w:t>
      </w:r>
      <w:r w:rsidR="00D60AC9">
        <w:rPr>
          <w:rFonts w:asciiTheme="majorHAnsi" w:hAnsiTheme="majorHAnsi" w:cstheme="majorHAnsi"/>
          <w:sz w:val="24"/>
          <w:szCs w:val="24"/>
        </w:rPr>
        <w:t>Thursday, January 25, 2018</w:t>
      </w:r>
      <w:r w:rsidRPr="006C28E1">
        <w:rPr>
          <w:rFonts w:asciiTheme="majorHAnsi" w:hAnsiTheme="majorHAnsi" w:cstheme="majorHAnsi"/>
          <w:sz w:val="24"/>
          <w:szCs w:val="24"/>
        </w:rPr>
        <w:t>, James</w:t>
      </w:r>
      <w:r w:rsidR="002A7D2F" w:rsidRPr="006C28E1">
        <w:rPr>
          <w:rFonts w:asciiTheme="majorHAnsi" w:hAnsiTheme="majorHAnsi" w:cstheme="majorHAnsi"/>
          <w:sz w:val="24"/>
          <w:szCs w:val="24"/>
        </w:rPr>
        <w:t xml:space="preserve"> J. Kail </w:t>
      </w:r>
      <w:r w:rsidR="008B458D">
        <w:rPr>
          <w:rFonts w:asciiTheme="majorHAnsi" w:hAnsiTheme="majorHAnsi" w:cstheme="majorHAnsi"/>
          <w:sz w:val="24"/>
          <w:szCs w:val="24"/>
        </w:rPr>
        <w:t xml:space="preserve">and Luke Kail </w:t>
      </w:r>
      <w:r w:rsidR="002A7D2F" w:rsidRPr="006C28E1">
        <w:rPr>
          <w:rFonts w:asciiTheme="majorHAnsi" w:hAnsiTheme="majorHAnsi" w:cstheme="majorHAnsi"/>
          <w:sz w:val="24"/>
          <w:szCs w:val="24"/>
        </w:rPr>
        <w:t>with Laurel Highland Telephone Company</w:t>
      </w:r>
      <w:r w:rsidR="0068177A" w:rsidRPr="006C28E1">
        <w:rPr>
          <w:rFonts w:asciiTheme="majorHAnsi" w:hAnsiTheme="majorHAnsi" w:cstheme="majorHAnsi"/>
          <w:sz w:val="24"/>
          <w:szCs w:val="24"/>
        </w:rPr>
        <w:t xml:space="preserve">, </w:t>
      </w:r>
      <w:r w:rsidR="008B458D">
        <w:rPr>
          <w:rFonts w:asciiTheme="majorHAnsi" w:hAnsiTheme="majorHAnsi" w:cstheme="majorHAnsi"/>
          <w:sz w:val="24"/>
          <w:szCs w:val="24"/>
        </w:rPr>
        <w:t xml:space="preserve">Doug Kitch </w:t>
      </w:r>
      <w:r w:rsidR="00F76B58">
        <w:rPr>
          <w:rFonts w:asciiTheme="majorHAnsi" w:hAnsiTheme="majorHAnsi" w:cstheme="majorHAnsi"/>
          <w:sz w:val="24"/>
          <w:szCs w:val="24"/>
        </w:rPr>
        <w:t>of Alexicon, and Keith Nelson—</w:t>
      </w:r>
      <w:r w:rsidR="008B458D">
        <w:rPr>
          <w:rFonts w:asciiTheme="majorHAnsi" w:hAnsiTheme="majorHAnsi" w:cstheme="majorHAnsi"/>
          <w:sz w:val="24"/>
          <w:szCs w:val="24"/>
        </w:rPr>
        <w:t xml:space="preserve">collectively </w:t>
      </w:r>
      <w:r w:rsidR="00D60AC9">
        <w:rPr>
          <w:rFonts w:asciiTheme="majorHAnsi" w:hAnsiTheme="majorHAnsi" w:cstheme="majorHAnsi"/>
          <w:sz w:val="24"/>
          <w:szCs w:val="24"/>
        </w:rPr>
        <w:t>representatives of</w:t>
      </w:r>
      <w:r w:rsidR="00946033" w:rsidRPr="006C28E1">
        <w:rPr>
          <w:rFonts w:asciiTheme="majorHAnsi" w:hAnsiTheme="majorHAnsi" w:cstheme="majorHAnsi"/>
          <w:sz w:val="24"/>
          <w:szCs w:val="24"/>
        </w:rPr>
        <w:t xml:space="preserve"> the </w:t>
      </w:r>
      <w:r w:rsidR="00946033" w:rsidRPr="00684F48">
        <w:rPr>
          <w:rFonts w:asciiTheme="majorHAnsi" w:hAnsiTheme="majorHAnsi" w:cstheme="majorHAnsi"/>
          <w:b/>
          <w:i/>
          <w:sz w:val="24"/>
          <w:szCs w:val="24"/>
        </w:rPr>
        <w:t>Small Company Coalition</w:t>
      </w:r>
      <w:r w:rsidR="00D60AC9">
        <w:rPr>
          <w:rFonts w:asciiTheme="majorHAnsi" w:hAnsiTheme="majorHAnsi" w:cstheme="majorHAnsi"/>
          <w:sz w:val="24"/>
          <w:szCs w:val="24"/>
        </w:rPr>
        <w:t xml:space="preserve"> (SCC)</w:t>
      </w:r>
      <w:r w:rsidR="00F76B58">
        <w:rPr>
          <w:rFonts w:asciiTheme="majorHAnsi" w:hAnsiTheme="majorHAnsi" w:cstheme="majorHAnsi"/>
          <w:sz w:val="24"/>
          <w:szCs w:val="24"/>
        </w:rPr>
        <w:t>—</w:t>
      </w:r>
      <w:r w:rsidR="00D60AC9">
        <w:rPr>
          <w:rFonts w:asciiTheme="majorHAnsi" w:hAnsiTheme="majorHAnsi" w:cstheme="majorHAnsi"/>
          <w:sz w:val="24"/>
          <w:szCs w:val="24"/>
        </w:rPr>
        <w:t xml:space="preserve">conducted a teleconference with </w:t>
      </w:r>
      <w:r w:rsidR="002A7D2F" w:rsidRPr="006C28E1">
        <w:rPr>
          <w:rFonts w:asciiTheme="majorHAnsi" w:hAnsiTheme="majorHAnsi" w:cstheme="majorHAnsi"/>
          <w:sz w:val="24"/>
          <w:szCs w:val="24"/>
        </w:rPr>
        <w:t>Jay Schwarz</w:t>
      </w:r>
      <w:r w:rsidR="003F2759">
        <w:rPr>
          <w:rFonts w:asciiTheme="majorHAnsi" w:hAnsiTheme="majorHAnsi" w:cstheme="majorHAnsi"/>
          <w:sz w:val="24"/>
          <w:szCs w:val="24"/>
        </w:rPr>
        <w:t xml:space="preserve">, </w:t>
      </w:r>
      <w:r w:rsidR="00922DFF">
        <w:rPr>
          <w:rFonts w:asciiTheme="majorHAnsi" w:hAnsiTheme="majorHAnsi" w:cstheme="majorHAnsi"/>
          <w:sz w:val="24"/>
          <w:szCs w:val="24"/>
        </w:rPr>
        <w:t>C</w:t>
      </w:r>
      <w:r w:rsidR="00D60AC9">
        <w:rPr>
          <w:rFonts w:asciiTheme="majorHAnsi" w:hAnsiTheme="majorHAnsi" w:cstheme="majorHAnsi"/>
          <w:sz w:val="24"/>
          <w:szCs w:val="24"/>
        </w:rPr>
        <w:t>hairman Pai’s</w:t>
      </w:r>
      <w:r w:rsidR="002A7D2F" w:rsidRPr="006C28E1">
        <w:rPr>
          <w:rFonts w:asciiTheme="majorHAnsi" w:hAnsiTheme="majorHAnsi" w:cstheme="majorHAnsi"/>
          <w:sz w:val="24"/>
          <w:szCs w:val="24"/>
        </w:rPr>
        <w:t xml:space="preserve"> Wireline</w:t>
      </w:r>
      <w:r w:rsidR="00D60AC9">
        <w:rPr>
          <w:rFonts w:asciiTheme="majorHAnsi" w:hAnsiTheme="majorHAnsi" w:cstheme="majorHAnsi"/>
          <w:sz w:val="24"/>
          <w:szCs w:val="24"/>
        </w:rPr>
        <w:t xml:space="preserve"> Advisor</w:t>
      </w:r>
      <w:r w:rsidR="002A7D2F" w:rsidRPr="006C28E1">
        <w:rPr>
          <w:rFonts w:asciiTheme="majorHAnsi" w:hAnsiTheme="majorHAnsi" w:cstheme="majorHAnsi"/>
          <w:sz w:val="24"/>
          <w:szCs w:val="24"/>
        </w:rPr>
        <w:t xml:space="preserve">. </w:t>
      </w:r>
      <w:r w:rsidR="00862854" w:rsidRPr="006C28E1">
        <w:rPr>
          <w:rFonts w:asciiTheme="majorHAnsi" w:hAnsiTheme="majorHAnsi" w:cstheme="majorHAnsi"/>
          <w:sz w:val="24"/>
          <w:szCs w:val="24"/>
        </w:rPr>
        <w:t xml:space="preserve">The </w:t>
      </w:r>
      <w:r w:rsidR="00D60AC9">
        <w:rPr>
          <w:rFonts w:asciiTheme="majorHAnsi" w:hAnsiTheme="majorHAnsi" w:cstheme="majorHAnsi"/>
          <w:sz w:val="24"/>
          <w:szCs w:val="24"/>
        </w:rPr>
        <w:t xml:space="preserve">purpose of the discussion was to acquire a better understanding of the details of a recently-reported draft </w:t>
      </w:r>
      <w:r w:rsidR="00450A48">
        <w:rPr>
          <w:rFonts w:asciiTheme="majorHAnsi" w:hAnsiTheme="majorHAnsi" w:cstheme="majorHAnsi"/>
          <w:sz w:val="24"/>
          <w:szCs w:val="24"/>
        </w:rPr>
        <w:t>O</w:t>
      </w:r>
      <w:r w:rsidR="00D60AC9">
        <w:rPr>
          <w:rFonts w:asciiTheme="majorHAnsi" w:hAnsiTheme="majorHAnsi" w:cstheme="majorHAnsi"/>
          <w:sz w:val="24"/>
          <w:szCs w:val="24"/>
        </w:rPr>
        <w:t xml:space="preserve">rder from Chairman Pai adding $500 million in </w:t>
      </w:r>
      <w:r w:rsidR="00450A48">
        <w:rPr>
          <w:rFonts w:asciiTheme="majorHAnsi" w:hAnsiTheme="majorHAnsi" w:cstheme="majorHAnsi"/>
          <w:sz w:val="24"/>
          <w:szCs w:val="24"/>
        </w:rPr>
        <w:t xml:space="preserve">added </w:t>
      </w:r>
      <w:r w:rsidR="00D60AC9">
        <w:rPr>
          <w:rFonts w:asciiTheme="majorHAnsi" w:hAnsiTheme="majorHAnsi" w:cstheme="majorHAnsi"/>
          <w:sz w:val="24"/>
          <w:szCs w:val="24"/>
        </w:rPr>
        <w:t>f</w:t>
      </w:r>
      <w:r w:rsidR="00A83905">
        <w:rPr>
          <w:rFonts w:asciiTheme="majorHAnsi" w:hAnsiTheme="majorHAnsi" w:cstheme="majorHAnsi"/>
          <w:sz w:val="24"/>
          <w:szCs w:val="24"/>
        </w:rPr>
        <w:t>u</w:t>
      </w:r>
      <w:r w:rsidR="00D60AC9">
        <w:rPr>
          <w:rFonts w:asciiTheme="majorHAnsi" w:hAnsiTheme="majorHAnsi" w:cstheme="majorHAnsi"/>
          <w:sz w:val="24"/>
          <w:szCs w:val="24"/>
        </w:rPr>
        <w:t xml:space="preserve">nding for </w:t>
      </w:r>
      <w:r w:rsidR="00450A48">
        <w:rPr>
          <w:rFonts w:asciiTheme="majorHAnsi" w:hAnsiTheme="majorHAnsi" w:cstheme="majorHAnsi"/>
          <w:sz w:val="24"/>
          <w:szCs w:val="24"/>
        </w:rPr>
        <w:t xml:space="preserve">broadband deployment by </w:t>
      </w:r>
      <w:r w:rsidR="00D60AC9">
        <w:rPr>
          <w:rFonts w:asciiTheme="majorHAnsi" w:hAnsiTheme="majorHAnsi" w:cstheme="majorHAnsi"/>
          <w:sz w:val="24"/>
          <w:szCs w:val="24"/>
        </w:rPr>
        <w:t>rural</w:t>
      </w:r>
      <w:r w:rsidR="00177259">
        <w:rPr>
          <w:rFonts w:asciiTheme="majorHAnsi" w:hAnsiTheme="majorHAnsi" w:cstheme="majorHAnsi"/>
          <w:sz w:val="24"/>
          <w:szCs w:val="24"/>
        </w:rPr>
        <w:t xml:space="preserve"> and small</w:t>
      </w:r>
      <w:r w:rsidR="00D60AC9">
        <w:rPr>
          <w:rFonts w:asciiTheme="majorHAnsi" w:hAnsiTheme="majorHAnsi" w:cstheme="majorHAnsi"/>
          <w:sz w:val="24"/>
          <w:szCs w:val="24"/>
        </w:rPr>
        <w:t xml:space="preserve"> carriers</w:t>
      </w:r>
      <w:r w:rsidR="00A83905">
        <w:rPr>
          <w:rFonts w:asciiTheme="majorHAnsi" w:hAnsiTheme="majorHAnsi" w:cstheme="majorHAnsi"/>
          <w:sz w:val="24"/>
          <w:szCs w:val="24"/>
        </w:rPr>
        <w:t xml:space="preserve">, and to </w:t>
      </w:r>
      <w:r w:rsidR="00450A48">
        <w:rPr>
          <w:rFonts w:asciiTheme="majorHAnsi" w:hAnsiTheme="majorHAnsi" w:cstheme="majorHAnsi"/>
          <w:sz w:val="24"/>
          <w:szCs w:val="24"/>
        </w:rPr>
        <w:t>discuss</w:t>
      </w:r>
      <w:r w:rsidR="00A83905">
        <w:rPr>
          <w:rFonts w:asciiTheme="majorHAnsi" w:hAnsiTheme="majorHAnsi" w:cstheme="majorHAnsi"/>
          <w:sz w:val="24"/>
          <w:szCs w:val="24"/>
        </w:rPr>
        <w:t xml:space="preserve"> additional areas of concern to the SCC.</w:t>
      </w:r>
    </w:p>
    <w:p w14:paraId="1D5DD5C1" w14:textId="33DE0323" w:rsidR="00D60AC9" w:rsidRDefault="00D60AC9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0D23118" w14:textId="3F1F72D8" w:rsidR="006163D5" w:rsidRPr="001A090B" w:rsidRDefault="008B458D" w:rsidP="00DB69FB">
      <w:pPr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Both the proposed </w:t>
      </w:r>
      <w:r w:rsidR="00450A48">
        <w:rPr>
          <w:rFonts w:asciiTheme="majorHAnsi" w:hAnsiTheme="majorHAnsi" w:cstheme="majorHAnsi"/>
          <w:sz w:val="24"/>
          <w:szCs w:val="24"/>
        </w:rPr>
        <w:t>O</w:t>
      </w:r>
      <w:r>
        <w:rPr>
          <w:rFonts w:asciiTheme="majorHAnsi" w:hAnsiTheme="majorHAnsi" w:cstheme="majorHAnsi"/>
          <w:sz w:val="24"/>
          <w:szCs w:val="24"/>
        </w:rPr>
        <w:t xml:space="preserve">rder and an upcoming NPRM were discussed. </w:t>
      </w:r>
      <w:r w:rsidR="00450A48">
        <w:rPr>
          <w:rFonts w:asciiTheme="majorHAnsi" w:hAnsiTheme="majorHAnsi" w:cstheme="majorHAnsi"/>
          <w:sz w:val="24"/>
          <w:szCs w:val="24"/>
        </w:rPr>
        <w:t>We were informed that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="00450A48">
        <w:rPr>
          <w:rFonts w:asciiTheme="majorHAnsi" w:hAnsiTheme="majorHAnsi" w:cstheme="majorHAnsi"/>
          <w:sz w:val="24"/>
          <w:szCs w:val="24"/>
        </w:rPr>
        <w:t>o</w:t>
      </w:r>
      <w:r w:rsidR="003A50AA">
        <w:rPr>
          <w:rFonts w:asciiTheme="majorHAnsi" w:hAnsiTheme="majorHAnsi" w:cstheme="majorHAnsi"/>
          <w:sz w:val="24"/>
          <w:szCs w:val="24"/>
        </w:rPr>
        <w:t>f the $500M, $180M is desig</w:t>
      </w:r>
      <w:r w:rsidR="00DB69FB">
        <w:rPr>
          <w:rFonts w:asciiTheme="majorHAnsi" w:hAnsiTheme="majorHAnsi" w:cstheme="majorHAnsi"/>
          <w:sz w:val="24"/>
          <w:szCs w:val="24"/>
        </w:rPr>
        <w:t xml:space="preserve">ned to mitigate the effects of the budget control mechanism (BCM) on 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legacy 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Rate of Return (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RoR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)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carriers for 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year ending June 30, 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201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8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 </w:t>
      </w:r>
      <w:r w:rsidR="002A553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This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would be</w:t>
      </w:r>
      <w:r w:rsidR="002A553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a </w:t>
      </w:r>
      <w:r w:rsidR="00DB69FB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one-time payment</w:t>
      </w:r>
      <w:r w:rsidR="002A553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 </w:t>
      </w:r>
      <w:r w:rsidR="006163D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The remaining $320M is designated for ACAM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model takers</w:t>
      </w:r>
      <w:r w:rsidR="006163D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, to be distributed over a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n approximate</w:t>
      </w:r>
      <w:r w:rsidR="006163D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ten year period in total</w:t>
      </w:r>
      <w:r w:rsidR="00450A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retroactive to July 1, 2017</w:t>
      </w:r>
      <w:r w:rsidR="006163D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1348A21B" w14:textId="77777777" w:rsidR="006163D5" w:rsidRDefault="006163D5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9637F92" w14:textId="63DB9C88" w:rsidR="00DB69FB" w:rsidRDefault="002A5535" w:rsidP="00DB69F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Going forward, BCM review will be part of the upcoming NPRM. </w:t>
      </w:r>
      <w:r w:rsidR="006163D5">
        <w:rPr>
          <w:rFonts w:asciiTheme="majorHAnsi" w:hAnsiTheme="majorHAnsi" w:cstheme="majorHAnsi"/>
          <w:sz w:val="24"/>
          <w:szCs w:val="24"/>
        </w:rPr>
        <w:t xml:space="preserve">The FCC anticipates establishing a threshold for legacy RoR carriers, where </w:t>
      </w:r>
      <w:r w:rsidR="00450A48">
        <w:rPr>
          <w:rFonts w:asciiTheme="majorHAnsi" w:hAnsiTheme="majorHAnsi" w:cstheme="majorHAnsi"/>
          <w:sz w:val="24"/>
          <w:szCs w:val="24"/>
        </w:rPr>
        <w:t xml:space="preserve">operating </w:t>
      </w:r>
      <w:r w:rsidR="006163D5">
        <w:rPr>
          <w:rFonts w:asciiTheme="majorHAnsi" w:hAnsiTheme="majorHAnsi" w:cstheme="majorHAnsi"/>
          <w:sz w:val="24"/>
          <w:szCs w:val="24"/>
        </w:rPr>
        <w:t>expenses</w:t>
      </w:r>
      <w:r w:rsidR="00DC1FB4">
        <w:rPr>
          <w:rFonts w:asciiTheme="majorHAnsi" w:hAnsiTheme="majorHAnsi" w:cstheme="majorHAnsi"/>
          <w:sz w:val="24"/>
          <w:szCs w:val="24"/>
        </w:rPr>
        <w:t xml:space="preserve"> (OpEx)</w:t>
      </w:r>
      <w:r w:rsidR="006163D5">
        <w:rPr>
          <w:rFonts w:asciiTheme="majorHAnsi" w:hAnsiTheme="majorHAnsi" w:cstheme="majorHAnsi"/>
          <w:sz w:val="24"/>
          <w:szCs w:val="24"/>
        </w:rPr>
        <w:t xml:space="preserve"> up to a certain amount </w:t>
      </w:r>
      <w:r w:rsidR="00450A48">
        <w:rPr>
          <w:rFonts w:asciiTheme="majorHAnsi" w:hAnsiTheme="majorHAnsi" w:cstheme="majorHAnsi"/>
          <w:sz w:val="24"/>
          <w:szCs w:val="24"/>
        </w:rPr>
        <w:t>would</w:t>
      </w:r>
      <w:r w:rsidR="006163D5">
        <w:rPr>
          <w:rFonts w:asciiTheme="majorHAnsi" w:hAnsiTheme="majorHAnsi" w:cstheme="majorHAnsi"/>
          <w:sz w:val="24"/>
          <w:szCs w:val="24"/>
        </w:rPr>
        <w:t xml:space="preserve"> not be subject to the BCM.</w:t>
      </w:r>
    </w:p>
    <w:p w14:paraId="3F1C5686" w14:textId="3D301D89" w:rsidR="006163D5" w:rsidRDefault="006163D5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9E9D5DA" w14:textId="4CE0FDCD" w:rsidR="006163D5" w:rsidRDefault="006163D5" w:rsidP="00DB69FB">
      <w:pPr>
        <w:jc w:val="both"/>
        <w:rPr>
          <w:rFonts w:asciiTheme="majorHAnsi" w:hAnsiTheme="majorHAnsi" w:cstheme="majorHAnsi"/>
          <w:sz w:val="24"/>
          <w:szCs w:val="24"/>
        </w:rPr>
      </w:pPr>
      <w:r w:rsidRPr="006163D5">
        <w:rPr>
          <w:rFonts w:asciiTheme="majorHAnsi" w:hAnsiTheme="majorHAnsi" w:cstheme="majorHAnsi"/>
          <w:sz w:val="24"/>
          <w:szCs w:val="24"/>
        </w:rPr>
        <w:t>The NPRM will</w:t>
      </w:r>
      <w:r>
        <w:rPr>
          <w:rFonts w:asciiTheme="majorHAnsi" w:hAnsiTheme="majorHAnsi" w:cstheme="majorHAnsi"/>
          <w:sz w:val="24"/>
          <w:szCs w:val="24"/>
        </w:rPr>
        <w:t xml:space="preserve"> also</w:t>
      </w:r>
      <w:r w:rsidRPr="006163D5">
        <w:rPr>
          <w:rFonts w:asciiTheme="majorHAnsi" w:hAnsiTheme="majorHAnsi" w:cstheme="majorHAnsi"/>
          <w:sz w:val="24"/>
          <w:szCs w:val="24"/>
        </w:rPr>
        <w:t xml:space="preserve"> contain an open review of the budget, and will seek industry input on a variety of issues, including a proposed additional model for legacy RoR carriers.   </w:t>
      </w:r>
      <w:r w:rsidR="003B4752">
        <w:rPr>
          <w:rFonts w:asciiTheme="majorHAnsi" w:hAnsiTheme="majorHAnsi" w:cstheme="majorHAnsi"/>
          <w:sz w:val="24"/>
          <w:szCs w:val="24"/>
        </w:rPr>
        <w:t xml:space="preserve">The $2B cap on the </w:t>
      </w:r>
      <w:r w:rsidR="00DF13F8">
        <w:rPr>
          <w:rFonts w:asciiTheme="majorHAnsi" w:hAnsiTheme="majorHAnsi" w:cstheme="majorHAnsi"/>
          <w:sz w:val="24"/>
          <w:szCs w:val="24"/>
        </w:rPr>
        <w:t>Universal Service Fund (</w:t>
      </w:r>
      <w:r w:rsidR="003B4752">
        <w:rPr>
          <w:rFonts w:asciiTheme="majorHAnsi" w:hAnsiTheme="majorHAnsi" w:cstheme="majorHAnsi"/>
          <w:sz w:val="24"/>
          <w:szCs w:val="24"/>
        </w:rPr>
        <w:t>USF</w:t>
      </w:r>
      <w:r w:rsidR="00DF13F8">
        <w:rPr>
          <w:rFonts w:asciiTheme="majorHAnsi" w:hAnsiTheme="majorHAnsi" w:cstheme="majorHAnsi"/>
          <w:sz w:val="24"/>
          <w:szCs w:val="24"/>
        </w:rPr>
        <w:t>)</w:t>
      </w:r>
      <w:r w:rsidR="003B4752">
        <w:rPr>
          <w:rFonts w:asciiTheme="majorHAnsi" w:hAnsiTheme="majorHAnsi" w:cstheme="majorHAnsi"/>
          <w:sz w:val="24"/>
          <w:szCs w:val="24"/>
        </w:rPr>
        <w:t xml:space="preserve"> program will be part of this review.</w:t>
      </w:r>
    </w:p>
    <w:p w14:paraId="6FE9D7AE" w14:textId="77777777" w:rsidR="006163D5" w:rsidRDefault="006163D5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44EAF53" w14:textId="35EE2770" w:rsidR="006163D5" w:rsidRPr="00A83905" w:rsidRDefault="006163D5" w:rsidP="00DB69F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A83905">
        <w:rPr>
          <w:rFonts w:asciiTheme="majorHAnsi" w:hAnsiTheme="majorHAnsi" w:cstheme="majorHAnsi"/>
          <w:sz w:val="24"/>
          <w:szCs w:val="24"/>
          <w:u w:val="single"/>
        </w:rPr>
        <w:t>R</w:t>
      </w:r>
      <w:r w:rsidR="003B4752" w:rsidRPr="00A83905">
        <w:rPr>
          <w:rFonts w:asciiTheme="majorHAnsi" w:hAnsiTheme="majorHAnsi" w:cstheme="majorHAnsi"/>
          <w:sz w:val="24"/>
          <w:szCs w:val="24"/>
          <w:u w:val="single"/>
        </w:rPr>
        <w:t xml:space="preserve">ural </w:t>
      </w:r>
      <w:r w:rsidRPr="00A83905">
        <w:rPr>
          <w:rFonts w:asciiTheme="majorHAnsi" w:hAnsiTheme="majorHAnsi" w:cstheme="majorHAnsi"/>
          <w:sz w:val="24"/>
          <w:szCs w:val="24"/>
          <w:u w:val="single"/>
        </w:rPr>
        <w:t>G</w:t>
      </w:r>
      <w:r w:rsidR="003B4752" w:rsidRPr="00A83905">
        <w:rPr>
          <w:rFonts w:asciiTheme="majorHAnsi" w:hAnsiTheme="majorHAnsi" w:cstheme="majorHAnsi"/>
          <w:sz w:val="24"/>
          <w:szCs w:val="24"/>
          <w:u w:val="single"/>
        </w:rPr>
        <w:t xml:space="preserve">rowth </w:t>
      </w:r>
      <w:r w:rsidRPr="00A83905">
        <w:rPr>
          <w:rFonts w:asciiTheme="majorHAnsi" w:hAnsiTheme="majorHAnsi" w:cstheme="majorHAnsi"/>
          <w:sz w:val="24"/>
          <w:szCs w:val="24"/>
          <w:u w:val="single"/>
        </w:rPr>
        <w:t>F</w:t>
      </w:r>
      <w:r w:rsidR="003B4752" w:rsidRPr="00A83905">
        <w:rPr>
          <w:rFonts w:asciiTheme="majorHAnsi" w:hAnsiTheme="majorHAnsi" w:cstheme="majorHAnsi"/>
          <w:sz w:val="24"/>
          <w:szCs w:val="24"/>
          <w:u w:val="single"/>
        </w:rPr>
        <w:t>actor</w:t>
      </w:r>
    </w:p>
    <w:p w14:paraId="0C6BCC7B" w14:textId="77777777" w:rsidR="003B4752" w:rsidRDefault="003B4752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BF0D5D0" w14:textId="051EAD9B" w:rsidR="003B4752" w:rsidRDefault="003B4752" w:rsidP="00DB69F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Due to the </w:t>
      </w:r>
      <w:r w:rsidR="00A83905">
        <w:rPr>
          <w:rFonts w:asciiTheme="majorHAnsi" w:hAnsiTheme="majorHAnsi" w:cstheme="majorHAnsi"/>
          <w:sz w:val="24"/>
          <w:szCs w:val="24"/>
        </w:rPr>
        <w:t xml:space="preserve">way in </w:t>
      </w:r>
      <w:r>
        <w:rPr>
          <w:rFonts w:asciiTheme="majorHAnsi" w:hAnsiTheme="majorHAnsi" w:cstheme="majorHAnsi"/>
          <w:sz w:val="24"/>
          <w:szCs w:val="24"/>
        </w:rPr>
        <w:t>which high cost loop</w:t>
      </w:r>
      <w:r w:rsidR="00A83905">
        <w:rPr>
          <w:rFonts w:asciiTheme="majorHAnsi" w:hAnsiTheme="majorHAnsi" w:cstheme="majorHAnsi"/>
          <w:sz w:val="24"/>
          <w:szCs w:val="24"/>
        </w:rPr>
        <w:t xml:space="preserve"> support is structured, payments are dependent upon the growth in voice access lines in rural areas.  Wireless and broadband have effectively eclipsed voice lines, however, leading to reductions in the </w:t>
      </w:r>
      <w:r w:rsidR="00A8390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>growth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in these lines</w:t>
      </w:r>
      <w:r w:rsidR="00A83905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.  </w:t>
      </w:r>
      <w:r w:rsidR="00A83905">
        <w:rPr>
          <w:rFonts w:asciiTheme="majorHAnsi" w:hAnsiTheme="majorHAnsi" w:cstheme="majorHAnsi"/>
          <w:sz w:val="24"/>
          <w:szCs w:val="24"/>
        </w:rPr>
        <w:t xml:space="preserve">The voice line bias built into the payment formula </w:t>
      </w:r>
      <w:r w:rsidR="00251CED">
        <w:rPr>
          <w:rFonts w:asciiTheme="majorHAnsi" w:hAnsiTheme="majorHAnsi" w:cstheme="majorHAnsi"/>
          <w:sz w:val="24"/>
          <w:szCs w:val="24"/>
        </w:rPr>
        <w:t>needs to be corrected.</w:t>
      </w:r>
      <w:r w:rsidR="00DF13F8">
        <w:rPr>
          <w:rFonts w:asciiTheme="majorHAnsi" w:hAnsiTheme="majorHAnsi" w:cstheme="majorHAnsi"/>
          <w:sz w:val="24"/>
          <w:szCs w:val="24"/>
        </w:rPr>
        <w:t xml:space="preserve"> It was agreed that the SCC would develop and bring forth ideas and recommendations</w:t>
      </w:r>
      <w:r w:rsidR="00F2335B">
        <w:rPr>
          <w:rFonts w:asciiTheme="majorHAnsi" w:hAnsiTheme="majorHAnsi" w:cstheme="majorHAnsi"/>
          <w:sz w:val="24"/>
          <w:szCs w:val="24"/>
        </w:rPr>
        <w:t xml:space="preserve"> on how this problem can </w:t>
      </w:r>
      <w:r w:rsidR="00DF13F8">
        <w:rPr>
          <w:rFonts w:asciiTheme="majorHAnsi" w:hAnsiTheme="majorHAnsi" w:cstheme="majorHAnsi"/>
          <w:sz w:val="24"/>
          <w:szCs w:val="24"/>
        </w:rPr>
        <w:t>be resolved.</w:t>
      </w:r>
    </w:p>
    <w:p w14:paraId="0C964347" w14:textId="77777777" w:rsidR="00C128B3" w:rsidRDefault="00C128B3" w:rsidP="00DB69F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</w:p>
    <w:p w14:paraId="7B9FB682" w14:textId="77777777" w:rsidR="00C128B3" w:rsidRDefault="00C128B3" w:rsidP="00DB69F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</w:p>
    <w:p w14:paraId="43C903CD" w14:textId="67A298B3" w:rsidR="006163D5" w:rsidRPr="00251CED" w:rsidRDefault="003B4752" w:rsidP="00DB69FB">
      <w:pPr>
        <w:jc w:val="both"/>
        <w:rPr>
          <w:rFonts w:asciiTheme="majorHAnsi" w:hAnsiTheme="majorHAnsi" w:cstheme="majorHAnsi"/>
          <w:sz w:val="24"/>
          <w:szCs w:val="24"/>
          <w:u w:val="single"/>
        </w:rPr>
      </w:pPr>
      <w:r w:rsidRPr="00251CED">
        <w:rPr>
          <w:rFonts w:asciiTheme="majorHAnsi" w:hAnsiTheme="majorHAnsi" w:cstheme="majorHAnsi"/>
          <w:sz w:val="24"/>
          <w:szCs w:val="24"/>
          <w:u w:val="single"/>
        </w:rPr>
        <w:lastRenderedPageBreak/>
        <w:t xml:space="preserve">USAC </w:t>
      </w:r>
      <w:r w:rsidR="006163D5" w:rsidRPr="00251CED">
        <w:rPr>
          <w:rFonts w:asciiTheme="majorHAnsi" w:hAnsiTheme="majorHAnsi" w:cstheme="majorHAnsi"/>
          <w:sz w:val="24"/>
          <w:szCs w:val="24"/>
          <w:u w:val="single"/>
        </w:rPr>
        <w:t>S</w:t>
      </w:r>
      <w:r w:rsidRPr="00251CED">
        <w:rPr>
          <w:rFonts w:asciiTheme="majorHAnsi" w:hAnsiTheme="majorHAnsi" w:cstheme="majorHAnsi"/>
          <w:sz w:val="24"/>
          <w:szCs w:val="24"/>
          <w:u w:val="single"/>
        </w:rPr>
        <w:t>urplus</w:t>
      </w:r>
    </w:p>
    <w:p w14:paraId="63C8EC82" w14:textId="77777777" w:rsidR="003B4752" w:rsidRDefault="003B4752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0CB1AE7" w14:textId="51425B2C" w:rsidR="006163D5" w:rsidRDefault="003B4752" w:rsidP="00DB69F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The SCC has previously raised the issue of an apparent surplus in the USF, as identified in USAC</w:t>
      </w:r>
    </w:p>
    <w:p w14:paraId="51678922" w14:textId="350D119C" w:rsidR="006163D5" w:rsidRDefault="003B4752" w:rsidP="00DB69F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Audit reports.  The FCC indicated that while this surplus may appear to be in excess of $8B, the bulk of these funds is actually committed to other FCC </w:t>
      </w:r>
      <w:r w:rsidR="00DF13F8">
        <w:rPr>
          <w:rFonts w:asciiTheme="majorHAnsi" w:hAnsiTheme="majorHAnsi" w:cstheme="majorHAnsi"/>
          <w:sz w:val="24"/>
          <w:szCs w:val="24"/>
        </w:rPr>
        <w:t xml:space="preserve">USF </w:t>
      </w:r>
      <w:r>
        <w:rPr>
          <w:rFonts w:asciiTheme="majorHAnsi" w:hAnsiTheme="majorHAnsi" w:cstheme="majorHAnsi"/>
          <w:sz w:val="24"/>
          <w:szCs w:val="24"/>
        </w:rPr>
        <w:t xml:space="preserve">obligations.  </w:t>
      </w:r>
      <w:r w:rsidR="00DF13F8">
        <w:rPr>
          <w:rFonts w:asciiTheme="majorHAnsi" w:hAnsiTheme="majorHAnsi" w:cstheme="majorHAnsi"/>
          <w:sz w:val="24"/>
          <w:szCs w:val="24"/>
        </w:rPr>
        <w:t>We were informed that w</w:t>
      </w:r>
      <w:r>
        <w:rPr>
          <w:rFonts w:asciiTheme="majorHAnsi" w:hAnsiTheme="majorHAnsi" w:cstheme="majorHAnsi"/>
          <w:sz w:val="24"/>
          <w:szCs w:val="24"/>
        </w:rPr>
        <w:t>hile the USF does maintain a surplus, it is likely in the dozens of millions, not the billions apparent from the USAC reports.</w:t>
      </w:r>
      <w:r w:rsidR="00DF13F8">
        <w:rPr>
          <w:rFonts w:asciiTheme="majorHAnsi" w:hAnsiTheme="majorHAnsi" w:cstheme="majorHAnsi"/>
          <w:sz w:val="24"/>
          <w:szCs w:val="24"/>
        </w:rPr>
        <w:t xml:space="preserve">  However, the SCC pointed</w:t>
      </w:r>
      <w:r w:rsidR="00F2335B">
        <w:rPr>
          <w:rFonts w:asciiTheme="majorHAnsi" w:hAnsiTheme="majorHAnsi" w:cstheme="majorHAnsi"/>
          <w:sz w:val="24"/>
          <w:szCs w:val="24"/>
        </w:rPr>
        <w:t xml:space="preserve"> out</w:t>
      </w:r>
      <w:r w:rsidR="00DF13F8">
        <w:rPr>
          <w:rFonts w:asciiTheme="majorHAnsi" w:hAnsiTheme="majorHAnsi" w:cstheme="majorHAnsi"/>
          <w:sz w:val="24"/>
          <w:szCs w:val="24"/>
        </w:rPr>
        <w:t xml:space="preserve"> that this commitment or earmarking of the funds was not identified or made clear in USAC’s audited financial statements.</w:t>
      </w:r>
    </w:p>
    <w:p w14:paraId="1A41BFAC" w14:textId="6762E6C6" w:rsidR="00251CED" w:rsidRDefault="00251CED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727D7B4" w14:textId="77777777" w:rsidR="00251CED" w:rsidRPr="00251CED" w:rsidRDefault="00251CED" w:rsidP="00251CED">
      <w:pPr>
        <w:rPr>
          <w:rFonts w:asciiTheme="majorHAnsi" w:hAnsiTheme="majorHAnsi" w:cstheme="majorHAnsi"/>
          <w:sz w:val="24"/>
          <w:szCs w:val="24"/>
          <w:u w:val="single"/>
        </w:rPr>
      </w:pPr>
      <w:r w:rsidRPr="00251CED">
        <w:rPr>
          <w:rFonts w:asciiTheme="majorHAnsi" w:hAnsiTheme="majorHAnsi" w:cstheme="majorHAnsi"/>
          <w:sz w:val="24"/>
          <w:szCs w:val="24"/>
          <w:u w:val="single"/>
        </w:rPr>
        <w:t xml:space="preserve">Other Data Points </w:t>
      </w:r>
    </w:p>
    <w:p w14:paraId="583C2A19" w14:textId="77777777" w:rsidR="00251CED" w:rsidRPr="00251CED" w:rsidRDefault="00251CED" w:rsidP="00DB69F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D11D6DC" w14:textId="77777777" w:rsidR="00251CED" w:rsidRPr="00251CED" w:rsidRDefault="00251CED" w:rsidP="002A5535">
      <w:pPr>
        <w:rPr>
          <w:rFonts w:asciiTheme="majorHAnsi" w:hAnsiTheme="majorHAnsi" w:cstheme="majorHAnsi"/>
          <w:sz w:val="24"/>
          <w:szCs w:val="24"/>
        </w:rPr>
      </w:pPr>
      <w:r w:rsidRPr="00251CED">
        <w:rPr>
          <w:rFonts w:asciiTheme="majorHAnsi" w:hAnsiTheme="majorHAnsi" w:cstheme="majorHAnsi"/>
          <w:sz w:val="24"/>
          <w:szCs w:val="24"/>
        </w:rPr>
        <w:t>Several other noteworthy issues were discussed, including:</w:t>
      </w:r>
    </w:p>
    <w:p w14:paraId="0E305066" w14:textId="77777777" w:rsidR="00251CED" w:rsidRPr="00251CED" w:rsidRDefault="00251CED" w:rsidP="002A5535">
      <w:pPr>
        <w:rPr>
          <w:rFonts w:asciiTheme="majorHAnsi" w:hAnsiTheme="majorHAnsi" w:cstheme="majorHAnsi"/>
          <w:sz w:val="24"/>
          <w:szCs w:val="24"/>
        </w:rPr>
      </w:pPr>
    </w:p>
    <w:p w14:paraId="2DAA77C8" w14:textId="29DED409" w:rsidR="00251CED" w:rsidRPr="00251CED" w:rsidRDefault="002A5535" w:rsidP="002A553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251CED">
        <w:rPr>
          <w:rFonts w:asciiTheme="majorHAnsi" w:hAnsiTheme="majorHAnsi" w:cstheme="majorHAnsi"/>
          <w:sz w:val="24"/>
          <w:szCs w:val="24"/>
        </w:rPr>
        <w:t>Quarterly collections</w:t>
      </w:r>
      <w:r w:rsidRPr="00572148">
        <w:rPr>
          <w:rFonts w:asciiTheme="majorHAnsi" w:hAnsiTheme="majorHAnsi" w:cstheme="majorHAnsi"/>
          <w:color w:val="FF0000"/>
          <w:sz w:val="24"/>
          <w:szCs w:val="24"/>
        </w:rPr>
        <w:t xml:space="preserve"> 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ultimately equating to </w:t>
      </w:r>
      <w:r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$4.5B </w:t>
      </w:r>
      <w:r w:rsidR="00572148"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annually </w:t>
      </w:r>
      <w:r w:rsidRPr="001A090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will </w:t>
      </w:r>
      <w:r w:rsidRPr="00251CED">
        <w:rPr>
          <w:rFonts w:asciiTheme="majorHAnsi" w:hAnsiTheme="majorHAnsi" w:cstheme="majorHAnsi"/>
          <w:sz w:val="24"/>
          <w:szCs w:val="24"/>
        </w:rPr>
        <w:t>continue.</w:t>
      </w:r>
    </w:p>
    <w:p w14:paraId="4FB55387" w14:textId="77777777" w:rsidR="00251CED" w:rsidRPr="00251CED" w:rsidRDefault="00251CED" w:rsidP="00251CED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14:paraId="1DFC9EE4" w14:textId="5769752C" w:rsidR="00251CED" w:rsidRPr="00251CED" w:rsidRDefault="002A5535" w:rsidP="002A553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251CED">
        <w:rPr>
          <w:rFonts w:asciiTheme="majorHAnsi" w:hAnsiTheme="majorHAnsi" w:cstheme="majorHAnsi"/>
          <w:sz w:val="24"/>
          <w:szCs w:val="24"/>
        </w:rPr>
        <w:t xml:space="preserve">While not changing any FCC policies, the </w:t>
      </w:r>
      <w:r w:rsidR="00DF13F8">
        <w:rPr>
          <w:rFonts w:asciiTheme="majorHAnsi" w:hAnsiTheme="majorHAnsi" w:cstheme="majorHAnsi"/>
          <w:sz w:val="24"/>
          <w:szCs w:val="24"/>
        </w:rPr>
        <w:t>O</w:t>
      </w:r>
      <w:r w:rsidRPr="00251CED">
        <w:rPr>
          <w:rFonts w:asciiTheme="majorHAnsi" w:hAnsiTheme="majorHAnsi" w:cstheme="majorHAnsi"/>
          <w:sz w:val="24"/>
          <w:szCs w:val="24"/>
        </w:rPr>
        <w:t>rder will make explicit the rules on eligible deductible expenses</w:t>
      </w:r>
      <w:r w:rsidR="00251CED" w:rsidRPr="00251CED">
        <w:rPr>
          <w:rFonts w:asciiTheme="majorHAnsi" w:hAnsiTheme="majorHAnsi" w:cstheme="majorHAnsi"/>
          <w:sz w:val="24"/>
          <w:szCs w:val="24"/>
        </w:rPr>
        <w:t>.</w:t>
      </w:r>
    </w:p>
    <w:p w14:paraId="7F6840B4" w14:textId="77777777" w:rsidR="00251CED" w:rsidRPr="00251CED" w:rsidRDefault="00251CED" w:rsidP="00251CED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14:paraId="4B8335A0" w14:textId="7AC9778F" w:rsidR="00251CED" w:rsidRPr="00251CED" w:rsidRDefault="002A5535" w:rsidP="002A553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251CED">
        <w:rPr>
          <w:rFonts w:asciiTheme="majorHAnsi" w:hAnsiTheme="majorHAnsi" w:cstheme="majorHAnsi"/>
          <w:sz w:val="24"/>
          <w:szCs w:val="24"/>
        </w:rPr>
        <w:t xml:space="preserve">OpEx limitations will be adjusted for inflation going forward. </w:t>
      </w:r>
    </w:p>
    <w:p w14:paraId="03AD28C0" w14:textId="7AC9778F" w:rsidR="00251CED" w:rsidRPr="00251CED" w:rsidRDefault="00251CED" w:rsidP="00251CED">
      <w:pPr>
        <w:pStyle w:val="ListParagraph"/>
        <w:rPr>
          <w:rFonts w:asciiTheme="majorHAnsi" w:hAnsiTheme="majorHAnsi" w:cstheme="majorHAnsi"/>
          <w:sz w:val="24"/>
          <w:szCs w:val="24"/>
        </w:rPr>
      </w:pPr>
    </w:p>
    <w:p w14:paraId="185CD762" w14:textId="45F2AA6F" w:rsidR="00DB69FB" w:rsidRPr="00251CED" w:rsidRDefault="00251CED" w:rsidP="002A5535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24"/>
          <w:szCs w:val="24"/>
        </w:rPr>
      </w:pPr>
      <w:r w:rsidRPr="00251CED">
        <w:rPr>
          <w:rFonts w:asciiTheme="majorHAnsi" w:hAnsiTheme="majorHAnsi" w:cstheme="majorHAnsi"/>
          <w:sz w:val="24"/>
          <w:szCs w:val="24"/>
        </w:rPr>
        <w:t>Additional t</w:t>
      </w:r>
      <w:r w:rsidR="002A5535" w:rsidRPr="00251CED">
        <w:rPr>
          <w:rFonts w:asciiTheme="majorHAnsi" w:hAnsiTheme="majorHAnsi" w:cstheme="majorHAnsi"/>
          <w:sz w:val="24"/>
          <w:szCs w:val="24"/>
        </w:rPr>
        <w:t>ribal</w:t>
      </w:r>
      <w:r w:rsidRPr="00251CED">
        <w:rPr>
          <w:rFonts w:asciiTheme="majorHAnsi" w:hAnsiTheme="majorHAnsi" w:cstheme="majorHAnsi"/>
          <w:sz w:val="24"/>
          <w:szCs w:val="24"/>
        </w:rPr>
        <w:t xml:space="preserve"> issues will be addressed</w:t>
      </w:r>
      <w:r w:rsidR="002A5535" w:rsidRPr="00251CED">
        <w:rPr>
          <w:rFonts w:asciiTheme="majorHAnsi" w:hAnsiTheme="majorHAnsi" w:cstheme="majorHAnsi"/>
          <w:sz w:val="24"/>
          <w:szCs w:val="24"/>
        </w:rPr>
        <w:t xml:space="preserve">.  </w:t>
      </w:r>
    </w:p>
    <w:p w14:paraId="7795FB3F" w14:textId="77777777" w:rsidR="00DB69FB" w:rsidRPr="00251CED" w:rsidRDefault="00DB69FB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5AE52148" w14:textId="35DCC6CB" w:rsidR="00946033" w:rsidRPr="006C28E1" w:rsidRDefault="00001914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>Pursuant to Section 1.1206(b) of the Commission’s Rules, this submission is being filed for inclusion in the public record.</w:t>
      </w:r>
    </w:p>
    <w:p w14:paraId="233AB933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1EDF9E8A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  <w:t>Sincerely,</w:t>
      </w:r>
    </w:p>
    <w:p w14:paraId="03D1D2C7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533A9EA" w14:textId="77777777" w:rsidR="0077166A" w:rsidRDefault="00A31850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</w:p>
    <w:p w14:paraId="238FCA14" w14:textId="1CA68F2E" w:rsidR="006C28E1" w:rsidRDefault="006C28E1" w:rsidP="00F4449A">
      <w:pPr>
        <w:ind w:left="4320" w:firstLine="720"/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 xml:space="preserve">Keith Nelson </w:t>
      </w:r>
    </w:p>
    <w:p w14:paraId="5E481411" w14:textId="77777777" w:rsidR="00046D0B" w:rsidRPr="006C28E1" w:rsidRDefault="006C28E1" w:rsidP="006C28E1">
      <w:pPr>
        <w:ind w:left="4320" w:firstLine="720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Executive Vice President</w:t>
      </w:r>
      <w:r w:rsidR="00046D0B" w:rsidRPr="006C28E1">
        <w:rPr>
          <w:rFonts w:asciiTheme="majorHAnsi" w:hAnsiTheme="majorHAnsi" w:cstheme="majorHAnsi"/>
          <w:sz w:val="24"/>
          <w:szCs w:val="24"/>
        </w:rPr>
        <w:tab/>
      </w:r>
      <w:r w:rsidR="00046D0B" w:rsidRPr="006C28E1">
        <w:rPr>
          <w:rFonts w:asciiTheme="majorHAnsi" w:hAnsiTheme="majorHAnsi" w:cstheme="majorHAnsi"/>
          <w:sz w:val="24"/>
          <w:szCs w:val="24"/>
        </w:rPr>
        <w:tab/>
      </w:r>
      <w:r w:rsidR="00046D0B" w:rsidRPr="006C28E1">
        <w:rPr>
          <w:rFonts w:asciiTheme="majorHAnsi" w:hAnsiTheme="majorHAnsi" w:cstheme="majorHAnsi"/>
          <w:sz w:val="24"/>
          <w:szCs w:val="24"/>
        </w:rPr>
        <w:tab/>
      </w:r>
      <w:r w:rsidR="00046D0B" w:rsidRPr="006C28E1"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>Lobbyit.com</w:t>
      </w:r>
    </w:p>
    <w:p w14:paraId="0E36AFDD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="00684F48">
        <w:rPr>
          <w:rFonts w:asciiTheme="majorHAnsi" w:hAnsiTheme="majorHAnsi" w:cstheme="majorHAnsi"/>
          <w:sz w:val="24"/>
          <w:szCs w:val="24"/>
        </w:rPr>
        <w:t>430</w:t>
      </w:r>
      <w:r w:rsidRPr="006C28E1">
        <w:rPr>
          <w:rFonts w:asciiTheme="majorHAnsi" w:hAnsiTheme="majorHAnsi" w:cstheme="majorHAnsi"/>
          <w:sz w:val="24"/>
          <w:szCs w:val="24"/>
        </w:rPr>
        <w:t xml:space="preserve"> </w:t>
      </w:r>
      <w:r w:rsidR="00684F48">
        <w:rPr>
          <w:rFonts w:asciiTheme="majorHAnsi" w:hAnsiTheme="majorHAnsi" w:cstheme="majorHAnsi"/>
          <w:sz w:val="24"/>
          <w:szCs w:val="24"/>
        </w:rPr>
        <w:t xml:space="preserve">New Jersey </w:t>
      </w:r>
      <w:r w:rsidRPr="006C28E1">
        <w:rPr>
          <w:rFonts w:asciiTheme="majorHAnsi" w:hAnsiTheme="majorHAnsi" w:cstheme="majorHAnsi"/>
          <w:sz w:val="24"/>
          <w:szCs w:val="24"/>
        </w:rPr>
        <w:t>Ave., SE</w:t>
      </w:r>
    </w:p>
    <w:p w14:paraId="63056309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  <w:t>Washington, DC 20003</w:t>
      </w:r>
    </w:p>
    <w:p w14:paraId="60B5417C" w14:textId="77777777" w:rsidR="00046D0B" w:rsidRPr="006C28E1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  <w:t>202-</w:t>
      </w:r>
      <w:r w:rsidR="00684F48">
        <w:rPr>
          <w:rFonts w:asciiTheme="majorHAnsi" w:hAnsiTheme="majorHAnsi" w:cstheme="majorHAnsi"/>
          <w:sz w:val="24"/>
          <w:szCs w:val="24"/>
        </w:rPr>
        <w:t>587</w:t>
      </w:r>
      <w:r w:rsidRPr="006C28E1">
        <w:rPr>
          <w:rFonts w:asciiTheme="majorHAnsi" w:hAnsiTheme="majorHAnsi" w:cstheme="majorHAnsi"/>
          <w:sz w:val="24"/>
          <w:szCs w:val="24"/>
        </w:rPr>
        <w:t>-</w:t>
      </w:r>
      <w:r w:rsidR="006C28E1">
        <w:rPr>
          <w:rFonts w:asciiTheme="majorHAnsi" w:hAnsiTheme="majorHAnsi" w:cstheme="majorHAnsi"/>
          <w:sz w:val="24"/>
          <w:szCs w:val="24"/>
        </w:rPr>
        <w:t>2</w:t>
      </w:r>
      <w:r w:rsidR="00684F48">
        <w:rPr>
          <w:rFonts w:asciiTheme="majorHAnsi" w:hAnsiTheme="majorHAnsi" w:cstheme="majorHAnsi"/>
          <w:sz w:val="24"/>
          <w:szCs w:val="24"/>
        </w:rPr>
        <w:t>736</w:t>
      </w:r>
    </w:p>
    <w:p w14:paraId="249E1D7F" w14:textId="77777777" w:rsidR="00046D0B" w:rsidRDefault="00046D0B" w:rsidP="006C28E1">
      <w:pPr>
        <w:jc w:val="both"/>
        <w:rPr>
          <w:rFonts w:asciiTheme="majorHAnsi" w:hAnsiTheme="majorHAnsi" w:cstheme="majorHAnsi"/>
          <w:sz w:val="24"/>
          <w:szCs w:val="24"/>
        </w:rPr>
      </w:pP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  <w:r w:rsidRPr="006C28E1">
        <w:rPr>
          <w:rFonts w:asciiTheme="majorHAnsi" w:hAnsiTheme="majorHAnsi" w:cstheme="majorHAnsi"/>
          <w:sz w:val="24"/>
          <w:szCs w:val="24"/>
        </w:rPr>
        <w:tab/>
      </w:r>
    </w:p>
    <w:p w14:paraId="60DE56BE" w14:textId="77777777" w:rsidR="00684F48" w:rsidRDefault="00684F48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CB2AD69" w14:textId="77777777" w:rsidR="00684F48" w:rsidRDefault="00684F48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DB36EAE" w14:textId="77777777" w:rsidR="00684F48" w:rsidRDefault="00684F48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1911553" w14:textId="77777777" w:rsidR="00862854" w:rsidRPr="006C28E1" w:rsidRDefault="00862854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35EBC574" w14:textId="77777777" w:rsidR="00862854" w:rsidRPr="006C28E1" w:rsidRDefault="00862854" w:rsidP="006C28E1">
      <w:pPr>
        <w:jc w:val="both"/>
        <w:rPr>
          <w:rFonts w:asciiTheme="majorHAnsi" w:hAnsiTheme="majorHAnsi" w:cstheme="majorHAnsi"/>
          <w:sz w:val="24"/>
          <w:szCs w:val="24"/>
        </w:rPr>
      </w:pPr>
    </w:p>
    <w:sectPr w:rsidR="00862854" w:rsidRPr="006C28E1" w:rsidSect="002A7D2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51EA3"/>
    <w:multiLevelType w:val="hybridMultilevel"/>
    <w:tmpl w:val="EF7AC6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352A"/>
    <w:rsid w:val="00001914"/>
    <w:rsid w:val="00006E1F"/>
    <w:rsid w:val="000361C1"/>
    <w:rsid w:val="00046D0B"/>
    <w:rsid w:val="00046DA5"/>
    <w:rsid w:val="00177259"/>
    <w:rsid w:val="001A090B"/>
    <w:rsid w:val="001E5BD7"/>
    <w:rsid w:val="001E7B81"/>
    <w:rsid w:val="002223F2"/>
    <w:rsid w:val="00251CED"/>
    <w:rsid w:val="002751F2"/>
    <w:rsid w:val="002A5535"/>
    <w:rsid w:val="002A7D2F"/>
    <w:rsid w:val="002D02D2"/>
    <w:rsid w:val="003329B6"/>
    <w:rsid w:val="00375E7C"/>
    <w:rsid w:val="003A50AA"/>
    <w:rsid w:val="003B4752"/>
    <w:rsid w:val="003C2841"/>
    <w:rsid w:val="003F2759"/>
    <w:rsid w:val="00404092"/>
    <w:rsid w:val="004250EC"/>
    <w:rsid w:val="004264F2"/>
    <w:rsid w:val="00450A48"/>
    <w:rsid w:val="004C3D56"/>
    <w:rsid w:val="004E04DD"/>
    <w:rsid w:val="005536A4"/>
    <w:rsid w:val="00572148"/>
    <w:rsid w:val="00576D2A"/>
    <w:rsid w:val="005B412A"/>
    <w:rsid w:val="005E0B9B"/>
    <w:rsid w:val="005F1141"/>
    <w:rsid w:val="006163D5"/>
    <w:rsid w:val="0068016D"/>
    <w:rsid w:val="0068177A"/>
    <w:rsid w:val="00684A60"/>
    <w:rsid w:val="00684F48"/>
    <w:rsid w:val="0069538D"/>
    <w:rsid w:val="006B0FC5"/>
    <w:rsid w:val="006C28E1"/>
    <w:rsid w:val="0071044C"/>
    <w:rsid w:val="0077166A"/>
    <w:rsid w:val="00793089"/>
    <w:rsid w:val="007B4466"/>
    <w:rsid w:val="00820ECB"/>
    <w:rsid w:val="00862854"/>
    <w:rsid w:val="00874A2D"/>
    <w:rsid w:val="00875E9A"/>
    <w:rsid w:val="00897597"/>
    <w:rsid w:val="008B458D"/>
    <w:rsid w:val="0091352A"/>
    <w:rsid w:val="00922DFF"/>
    <w:rsid w:val="00946033"/>
    <w:rsid w:val="00954033"/>
    <w:rsid w:val="00962A77"/>
    <w:rsid w:val="009D49AB"/>
    <w:rsid w:val="00A27290"/>
    <w:rsid w:val="00A30365"/>
    <w:rsid w:val="00A31850"/>
    <w:rsid w:val="00A320D8"/>
    <w:rsid w:val="00A83905"/>
    <w:rsid w:val="00AA0CDA"/>
    <w:rsid w:val="00AA763C"/>
    <w:rsid w:val="00B034D5"/>
    <w:rsid w:val="00B27770"/>
    <w:rsid w:val="00B918B5"/>
    <w:rsid w:val="00BE6F46"/>
    <w:rsid w:val="00C128B3"/>
    <w:rsid w:val="00C54CC3"/>
    <w:rsid w:val="00C80010"/>
    <w:rsid w:val="00CB35D5"/>
    <w:rsid w:val="00D25B2A"/>
    <w:rsid w:val="00D54A1A"/>
    <w:rsid w:val="00D60AC9"/>
    <w:rsid w:val="00DB69FB"/>
    <w:rsid w:val="00DC1FB4"/>
    <w:rsid w:val="00DD13BB"/>
    <w:rsid w:val="00DF13F8"/>
    <w:rsid w:val="00DF2A70"/>
    <w:rsid w:val="00EA1AD2"/>
    <w:rsid w:val="00ED6B0B"/>
    <w:rsid w:val="00EF30B2"/>
    <w:rsid w:val="00F04005"/>
    <w:rsid w:val="00F2335B"/>
    <w:rsid w:val="00F4449A"/>
    <w:rsid w:val="00F735E7"/>
    <w:rsid w:val="00F76B58"/>
    <w:rsid w:val="00FA3462"/>
    <w:rsid w:val="00FD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6090E"/>
  <w15:chartTrackingRefBased/>
  <w15:docId w15:val="{073A1D09-A981-4760-904F-0054812FD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46D0B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18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5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1C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5580A8-A780-4AD9-8604-57210CC42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Tyree</dc:creator>
  <cp:keywords/>
  <dc:description/>
  <cp:lastModifiedBy>Keith Nelson</cp:lastModifiedBy>
  <cp:revision>2</cp:revision>
  <cp:lastPrinted>2018-02-05T18:11:00Z</cp:lastPrinted>
  <dcterms:created xsi:type="dcterms:W3CDTF">2018-02-06T22:02:00Z</dcterms:created>
  <dcterms:modified xsi:type="dcterms:W3CDTF">2018-02-06T22:02:00Z</dcterms:modified>
</cp:coreProperties>
</file>