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685E9" w14:textId="77777777" w:rsidR="00EE700C" w:rsidRDefault="00C90D1C">
      <w:pPr>
        <w:widowControl w:val="0"/>
        <w:jc w:val="center"/>
        <w:rPr>
          <w:sz w:val="22"/>
          <w:szCs w:val="22"/>
        </w:rPr>
      </w:pPr>
      <w:r>
        <w:rPr>
          <w:rFonts w:ascii="Times New Roman Bold" w:eastAsia="Times New Roman Bold" w:hAnsi="Times New Roman Bold" w:cs="Times New Roman Bold"/>
          <w:b/>
          <w:bCs/>
          <w:sz w:val="22"/>
          <w:szCs w:val="22"/>
        </w:rPr>
        <w:t>B</w:t>
      </w:r>
      <w:bookmarkStart w:id="0" w:name="_Ref516833167"/>
      <w:bookmarkEnd w:id="0"/>
      <w:r>
        <w:rPr>
          <w:rFonts w:ascii="Times New Roman Bold" w:eastAsia="Times New Roman Bold" w:hAnsi="Times New Roman Bold" w:cs="Times New Roman Bold"/>
          <w:b/>
          <w:bCs/>
          <w:sz w:val="22"/>
          <w:szCs w:val="22"/>
        </w:rPr>
        <w:t>efore</w:t>
      </w:r>
      <w:r>
        <w:rPr>
          <w:b/>
          <w:bCs/>
          <w:sz w:val="22"/>
          <w:szCs w:val="22"/>
        </w:rPr>
        <w:t xml:space="preserve"> the</w:t>
      </w:r>
    </w:p>
    <w:p w14:paraId="72AC1555" w14:textId="77777777" w:rsidR="00EE700C" w:rsidRDefault="00C90D1C">
      <w:pPr>
        <w:widowControl w:val="0"/>
        <w:jc w:val="center"/>
        <w:rPr>
          <w:sz w:val="22"/>
          <w:szCs w:val="22"/>
        </w:rPr>
      </w:pPr>
      <w:r>
        <w:rPr>
          <w:rFonts w:ascii="Times New Roman Bold" w:eastAsia="Times New Roman Bold" w:hAnsi="Times New Roman Bold" w:cs="Times New Roman Bold"/>
          <w:b/>
          <w:bCs/>
          <w:caps/>
          <w:sz w:val="22"/>
          <w:szCs w:val="22"/>
        </w:rPr>
        <w:t>F</w:t>
      </w:r>
      <w:r>
        <w:rPr>
          <w:rFonts w:ascii="Times New Roman Bold" w:eastAsia="Times New Roman Bold" w:hAnsi="Times New Roman Bold" w:cs="Times New Roman Bold"/>
          <w:b/>
          <w:bCs/>
          <w:sz w:val="22"/>
          <w:szCs w:val="22"/>
        </w:rPr>
        <w:t>ederal Communications Commission</w:t>
      </w:r>
    </w:p>
    <w:p w14:paraId="4EBB47FA" w14:textId="77777777" w:rsidR="00EE700C" w:rsidRDefault="00C90D1C">
      <w:pPr>
        <w:widowControl w:val="0"/>
        <w:jc w:val="center"/>
        <w:rPr>
          <w:sz w:val="22"/>
          <w:szCs w:val="22"/>
        </w:rPr>
      </w:pPr>
      <w:r>
        <w:rPr>
          <w:rFonts w:ascii="Times New Roman Bold" w:eastAsia="Times New Roman Bold" w:hAnsi="Times New Roman Bold" w:cs="Times New Roman Bold"/>
          <w:b/>
          <w:bCs/>
          <w:sz w:val="22"/>
          <w:szCs w:val="22"/>
        </w:rPr>
        <w:t>Washington, D.C. 20554</w:t>
      </w:r>
    </w:p>
    <w:p w14:paraId="01C52375" w14:textId="77777777" w:rsidR="00EE700C" w:rsidRDefault="00EE700C">
      <w:pPr>
        <w:widowControl w:val="0"/>
        <w:rPr>
          <w:sz w:val="22"/>
          <w:szCs w:val="22"/>
        </w:rPr>
      </w:pPr>
    </w:p>
    <w:tbl>
      <w:tblPr>
        <w:tblW w:w="0" w:type="auto"/>
        <w:tblInd w:w="231" w:type="dxa"/>
        <w:tblCellMar>
          <w:left w:w="0" w:type="dxa"/>
          <w:right w:w="0" w:type="dxa"/>
        </w:tblCellMar>
        <w:tblLook w:val="04A0" w:firstRow="1" w:lastRow="0" w:firstColumn="1" w:lastColumn="0" w:noHBand="0" w:noVBand="1"/>
      </w:tblPr>
      <w:tblGrid>
        <w:gridCol w:w="4621"/>
        <w:gridCol w:w="623"/>
        <w:gridCol w:w="4173"/>
      </w:tblGrid>
      <w:tr w:rsidR="00EE700C" w14:paraId="0378CC24" w14:textId="77777777">
        <w:tc>
          <w:tcPr>
            <w:tcW w:w="4698" w:type="dxa"/>
            <w:tcMar>
              <w:top w:w="10" w:type="dxa"/>
              <w:left w:w="118" w:type="dxa"/>
              <w:bottom w:w="10" w:type="dxa"/>
              <w:right w:w="118" w:type="dxa"/>
            </w:tcMar>
            <w:hideMark/>
          </w:tcPr>
          <w:p w14:paraId="02EDE69F" w14:textId="77777777" w:rsidR="00EE700C" w:rsidRDefault="00C90D1C">
            <w:pPr>
              <w:widowControl w:val="0"/>
              <w:rPr>
                <w:color w:val="000000"/>
                <w:sz w:val="22"/>
                <w:szCs w:val="22"/>
              </w:rPr>
            </w:pPr>
            <w:r>
              <w:rPr>
                <w:color w:val="000000"/>
                <w:sz w:val="22"/>
                <w:szCs w:val="22"/>
              </w:rPr>
              <w:t>In the Matter of</w:t>
            </w:r>
          </w:p>
          <w:p w14:paraId="7BB50E31" w14:textId="77777777" w:rsidR="00EE700C" w:rsidRDefault="00EE700C">
            <w:pPr>
              <w:widowControl w:val="0"/>
              <w:rPr>
                <w:color w:val="000000"/>
                <w:sz w:val="22"/>
                <w:szCs w:val="22"/>
              </w:rPr>
            </w:pPr>
          </w:p>
          <w:p w14:paraId="6BEE79FC" w14:textId="77777777" w:rsidR="00EE700C" w:rsidRDefault="00C90D1C">
            <w:pPr>
              <w:widowControl w:val="0"/>
              <w:rPr>
                <w:color w:val="000000"/>
                <w:sz w:val="22"/>
                <w:szCs w:val="22"/>
              </w:rPr>
            </w:pPr>
            <w:r>
              <w:rPr>
                <w:color w:val="000000"/>
                <w:sz w:val="22"/>
                <w:szCs w:val="22"/>
              </w:rPr>
              <w:t>Unlicensed Use of the 6 GHz Band</w:t>
            </w:r>
          </w:p>
          <w:p w14:paraId="36CAAB6A" w14:textId="77777777" w:rsidR="00EE700C" w:rsidRDefault="00EE700C">
            <w:pPr>
              <w:widowControl w:val="0"/>
              <w:rPr>
                <w:color w:val="000000"/>
                <w:sz w:val="22"/>
                <w:szCs w:val="22"/>
              </w:rPr>
            </w:pPr>
          </w:p>
          <w:p w14:paraId="181EC685" w14:textId="77777777" w:rsidR="00EE700C" w:rsidRDefault="00C90D1C">
            <w:pPr>
              <w:widowControl w:val="0"/>
              <w:rPr>
                <w:color w:val="000000"/>
                <w:sz w:val="22"/>
                <w:szCs w:val="22"/>
              </w:rPr>
            </w:pPr>
            <w:r>
              <w:rPr>
                <w:color w:val="000000"/>
                <w:sz w:val="22"/>
                <w:szCs w:val="22"/>
              </w:rPr>
              <w:t xml:space="preserve">Expanding Flexible Use in Mid-Band Spectrum Between 3.7 and 24 GHz </w:t>
            </w:r>
          </w:p>
          <w:p w14:paraId="6FB29AF4" w14:textId="77777777" w:rsidR="00EE700C" w:rsidRDefault="00EE700C">
            <w:pPr>
              <w:widowControl w:val="0"/>
              <w:rPr>
                <w:color w:val="000000"/>
                <w:sz w:val="22"/>
                <w:szCs w:val="22"/>
              </w:rPr>
            </w:pPr>
          </w:p>
          <w:p w14:paraId="31EF7D26" w14:textId="77777777" w:rsidR="00EE700C" w:rsidRDefault="00EE700C">
            <w:pPr>
              <w:widowControl w:val="0"/>
              <w:rPr>
                <w:color w:val="000000"/>
                <w:sz w:val="22"/>
                <w:szCs w:val="22"/>
              </w:rPr>
            </w:pPr>
          </w:p>
        </w:tc>
        <w:tc>
          <w:tcPr>
            <w:tcW w:w="630" w:type="dxa"/>
            <w:tcMar>
              <w:top w:w="10" w:type="dxa"/>
              <w:left w:w="118" w:type="dxa"/>
              <w:bottom w:w="10" w:type="dxa"/>
              <w:right w:w="118" w:type="dxa"/>
            </w:tcMar>
            <w:hideMark/>
          </w:tcPr>
          <w:p w14:paraId="4BA0F40B" w14:textId="77777777" w:rsidR="00EE700C" w:rsidRDefault="00C90D1C">
            <w:pPr>
              <w:widowControl w:val="0"/>
              <w:rPr>
                <w:color w:val="000000"/>
                <w:sz w:val="22"/>
                <w:szCs w:val="22"/>
              </w:rPr>
            </w:pPr>
            <w:r>
              <w:rPr>
                <w:b/>
                <w:bCs/>
                <w:color w:val="000000"/>
                <w:sz w:val="22"/>
                <w:szCs w:val="22"/>
              </w:rPr>
              <w:t>)</w:t>
            </w:r>
          </w:p>
          <w:p w14:paraId="78BF30A5" w14:textId="77777777" w:rsidR="00EE700C" w:rsidRDefault="00C90D1C">
            <w:pPr>
              <w:widowControl w:val="0"/>
              <w:rPr>
                <w:color w:val="000000"/>
                <w:sz w:val="22"/>
                <w:szCs w:val="22"/>
              </w:rPr>
            </w:pPr>
            <w:r>
              <w:rPr>
                <w:b/>
                <w:bCs/>
                <w:color w:val="000000"/>
                <w:sz w:val="22"/>
                <w:szCs w:val="22"/>
              </w:rPr>
              <w:t>)</w:t>
            </w:r>
          </w:p>
          <w:p w14:paraId="59BA244C" w14:textId="77777777" w:rsidR="00EE700C" w:rsidRDefault="00C90D1C">
            <w:pPr>
              <w:widowControl w:val="0"/>
              <w:rPr>
                <w:color w:val="000000"/>
                <w:sz w:val="22"/>
                <w:szCs w:val="22"/>
              </w:rPr>
            </w:pPr>
            <w:r>
              <w:rPr>
                <w:b/>
                <w:bCs/>
                <w:color w:val="000000"/>
                <w:sz w:val="22"/>
                <w:szCs w:val="22"/>
              </w:rPr>
              <w:t>)</w:t>
            </w:r>
          </w:p>
          <w:p w14:paraId="550F6946" w14:textId="77777777" w:rsidR="00EE700C" w:rsidRDefault="00C90D1C">
            <w:pPr>
              <w:widowControl w:val="0"/>
              <w:rPr>
                <w:color w:val="000000"/>
                <w:sz w:val="22"/>
                <w:szCs w:val="22"/>
              </w:rPr>
            </w:pPr>
            <w:r>
              <w:rPr>
                <w:b/>
                <w:bCs/>
                <w:color w:val="000000"/>
                <w:sz w:val="22"/>
                <w:szCs w:val="22"/>
              </w:rPr>
              <w:t>)</w:t>
            </w:r>
          </w:p>
          <w:p w14:paraId="4B469153" w14:textId="77777777" w:rsidR="00EE700C" w:rsidRDefault="00C90D1C">
            <w:pPr>
              <w:widowControl w:val="0"/>
              <w:rPr>
                <w:color w:val="000000"/>
                <w:sz w:val="22"/>
                <w:szCs w:val="22"/>
              </w:rPr>
            </w:pPr>
            <w:r>
              <w:rPr>
                <w:b/>
                <w:bCs/>
                <w:color w:val="000000"/>
                <w:sz w:val="22"/>
                <w:szCs w:val="22"/>
              </w:rPr>
              <w:t>)</w:t>
            </w:r>
          </w:p>
          <w:p w14:paraId="6D41F065" w14:textId="77777777" w:rsidR="00EE700C" w:rsidRDefault="00C90D1C">
            <w:pPr>
              <w:widowControl w:val="0"/>
              <w:rPr>
                <w:color w:val="000000"/>
                <w:sz w:val="22"/>
                <w:szCs w:val="22"/>
              </w:rPr>
            </w:pPr>
            <w:r>
              <w:rPr>
                <w:b/>
                <w:bCs/>
                <w:color w:val="000000"/>
                <w:sz w:val="22"/>
                <w:szCs w:val="22"/>
              </w:rPr>
              <w:t>)</w:t>
            </w:r>
          </w:p>
          <w:p w14:paraId="15B04B54" w14:textId="77777777" w:rsidR="00EE700C" w:rsidRDefault="00EE700C">
            <w:pPr>
              <w:widowControl w:val="0"/>
              <w:rPr>
                <w:color w:val="000000"/>
                <w:sz w:val="22"/>
                <w:szCs w:val="22"/>
              </w:rPr>
            </w:pPr>
          </w:p>
        </w:tc>
        <w:tc>
          <w:tcPr>
            <w:tcW w:w="4248" w:type="dxa"/>
            <w:tcMar>
              <w:top w:w="10" w:type="dxa"/>
              <w:left w:w="118" w:type="dxa"/>
              <w:bottom w:w="10" w:type="dxa"/>
              <w:right w:w="118" w:type="dxa"/>
            </w:tcMar>
            <w:hideMark/>
          </w:tcPr>
          <w:p w14:paraId="27469A14" w14:textId="77777777" w:rsidR="00EE700C" w:rsidRDefault="00EE700C">
            <w:pPr>
              <w:widowControl w:val="0"/>
              <w:rPr>
                <w:color w:val="000000"/>
                <w:sz w:val="22"/>
                <w:szCs w:val="22"/>
              </w:rPr>
            </w:pPr>
          </w:p>
          <w:p w14:paraId="5A91AC75" w14:textId="77777777" w:rsidR="00EE700C" w:rsidRDefault="00EE700C">
            <w:pPr>
              <w:widowControl w:val="0"/>
              <w:rPr>
                <w:color w:val="000000"/>
                <w:sz w:val="22"/>
                <w:szCs w:val="22"/>
              </w:rPr>
            </w:pPr>
          </w:p>
          <w:p w14:paraId="2191F160" w14:textId="77777777" w:rsidR="00EE700C" w:rsidRDefault="00C90D1C">
            <w:pPr>
              <w:widowControl w:val="0"/>
              <w:rPr>
                <w:color w:val="000000"/>
                <w:sz w:val="22"/>
                <w:szCs w:val="22"/>
              </w:rPr>
            </w:pPr>
            <w:bookmarkStart w:id="1" w:name="_Hlk535327685"/>
            <w:r>
              <w:rPr>
                <w:color w:val="000000"/>
                <w:sz w:val="22"/>
                <w:szCs w:val="22"/>
              </w:rPr>
              <w:t>ET Docket No. 18-295</w:t>
            </w:r>
          </w:p>
          <w:bookmarkEnd w:id="1"/>
          <w:p w14:paraId="76E5C6CA" w14:textId="77777777" w:rsidR="00EE700C" w:rsidRDefault="00EE700C">
            <w:pPr>
              <w:widowControl w:val="0"/>
              <w:rPr>
                <w:color w:val="000000"/>
                <w:sz w:val="22"/>
                <w:szCs w:val="22"/>
              </w:rPr>
            </w:pPr>
          </w:p>
          <w:p w14:paraId="68082832" w14:textId="77777777" w:rsidR="00EE700C" w:rsidRDefault="00C90D1C">
            <w:pPr>
              <w:widowControl w:val="0"/>
              <w:rPr>
                <w:color w:val="000000"/>
                <w:sz w:val="22"/>
                <w:szCs w:val="22"/>
              </w:rPr>
            </w:pPr>
            <w:r>
              <w:rPr>
                <w:color w:val="000000"/>
                <w:sz w:val="22"/>
                <w:szCs w:val="22"/>
              </w:rPr>
              <w:t xml:space="preserve">GN Docket No. 17-183 </w:t>
            </w:r>
            <w:r>
              <w:rPr>
                <w:color w:val="000000"/>
                <w:sz w:val="22"/>
                <w:szCs w:val="22"/>
              </w:rPr>
              <w:br/>
            </w:r>
          </w:p>
          <w:p w14:paraId="1BFAE6E6" w14:textId="77777777" w:rsidR="00EE700C" w:rsidRDefault="00EE700C">
            <w:pPr>
              <w:widowControl w:val="0"/>
              <w:rPr>
                <w:color w:val="000000"/>
                <w:sz w:val="22"/>
                <w:szCs w:val="22"/>
              </w:rPr>
            </w:pPr>
          </w:p>
        </w:tc>
      </w:tr>
    </w:tbl>
    <w:p w14:paraId="4C3C3899" w14:textId="2F41C88D" w:rsidR="00EE700C" w:rsidRDefault="00C90D1C">
      <w:pPr>
        <w:widowControl w:val="0"/>
        <w:jc w:val="center"/>
        <w:rPr>
          <w:sz w:val="22"/>
          <w:szCs w:val="22"/>
        </w:rPr>
      </w:pPr>
      <w:r>
        <w:rPr>
          <w:b/>
          <w:bCs/>
          <w:sz w:val="22"/>
          <w:szCs w:val="22"/>
        </w:rPr>
        <w:t>COMMENTS OF THE UTILITIES TECHNOLOGY COUNCIL, THE EDISON ELECTRIC INSTITUTE, THE AMERICAN PUBLIC POWER ASSOCIATION, THE NATIONAL RURAL ELECTRIC COOPERATIVE ASSOCIATION</w:t>
      </w:r>
      <w:r w:rsidR="002753FF">
        <w:rPr>
          <w:b/>
          <w:bCs/>
          <w:sz w:val="22"/>
          <w:szCs w:val="22"/>
        </w:rPr>
        <w:t>,</w:t>
      </w:r>
      <w:r>
        <w:rPr>
          <w:b/>
          <w:bCs/>
          <w:sz w:val="22"/>
          <w:szCs w:val="22"/>
        </w:rPr>
        <w:t xml:space="preserve"> THE AMERICAN PETROLEUM INSTITUTE AND THE AMERICAN WATER WORKS ASSOCIATION</w:t>
      </w:r>
    </w:p>
    <w:p w14:paraId="3D543646" w14:textId="77777777" w:rsidR="00EE700C" w:rsidRDefault="00EE700C">
      <w:pPr>
        <w:widowControl w:val="0"/>
        <w:jc w:val="center"/>
        <w:rPr>
          <w:sz w:val="22"/>
          <w:szCs w:val="22"/>
        </w:rPr>
      </w:pPr>
    </w:p>
    <w:p w14:paraId="225537DE" w14:textId="77777777" w:rsidR="00EE700C" w:rsidRDefault="00C90D1C">
      <w:pPr>
        <w:widowControl w:val="0"/>
        <w:rPr>
          <w:sz w:val="22"/>
          <w:szCs w:val="22"/>
        </w:rPr>
        <w:sectPr w:rsidR="00EE700C">
          <w:headerReference w:type="default" r:id="rId7"/>
          <w:footerReference w:type="default" r:id="rId8"/>
          <w:pgSz w:w="12240" w:h="15840"/>
          <w:pgMar w:top="1152" w:right="1296" w:bottom="1152" w:left="1296" w:header="708" w:footer="708" w:gutter="0"/>
          <w:cols w:space="708"/>
        </w:sectPr>
      </w:pPr>
      <w:r>
        <w:rPr>
          <w:sz w:val="22"/>
          <w:szCs w:val="22"/>
        </w:rPr>
        <w:tab/>
      </w:r>
    </w:p>
    <w:p w14:paraId="3A4D0B2D" w14:textId="77777777" w:rsidR="00EE700C" w:rsidRDefault="00C90D1C">
      <w:pPr>
        <w:widowControl w:val="0"/>
        <w:spacing w:after="200" w:line="276" w:lineRule="auto"/>
        <w:rPr>
          <w:sz w:val="22"/>
          <w:szCs w:val="22"/>
        </w:rPr>
      </w:pPr>
      <w:r>
        <w:rPr>
          <w:sz w:val="22"/>
          <w:szCs w:val="22"/>
        </w:rPr>
        <w:t>UTILITIES TECHNOLOGY COUNCIL</w:t>
      </w:r>
      <w:r>
        <w:rPr>
          <w:sz w:val="22"/>
          <w:szCs w:val="22"/>
        </w:rPr>
        <w:tab/>
      </w:r>
    </w:p>
    <w:p w14:paraId="38B29AC9" w14:textId="77777777" w:rsidR="00EE700C" w:rsidRDefault="00C90D1C">
      <w:pPr>
        <w:widowControl w:val="0"/>
        <w:rPr>
          <w:sz w:val="22"/>
          <w:szCs w:val="22"/>
        </w:rPr>
      </w:pPr>
      <w:r>
        <w:rPr>
          <w:sz w:val="22"/>
          <w:szCs w:val="22"/>
        </w:rPr>
        <w:t xml:space="preserve">Brett Kilbourne </w:t>
      </w:r>
    </w:p>
    <w:p w14:paraId="36E8D7E7" w14:textId="77777777" w:rsidR="00EE700C" w:rsidRDefault="00C90D1C">
      <w:pPr>
        <w:widowControl w:val="0"/>
        <w:rPr>
          <w:sz w:val="22"/>
          <w:szCs w:val="22"/>
        </w:rPr>
      </w:pPr>
      <w:r>
        <w:rPr>
          <w:sz w:val="22"/>
          <w:szCs w:val="22"/>
        </w:rPr>
        <w:t>Vice President, Policy, and General Counsel</w:t>
      </w:r>
    </w:p>
    <w:p w14:paraId="1DAF8C51" w14:textId="77777777" w:rsidR="00EE700C" w:rsidRDefault="00C90D1C">
      <w:pPr>
        <w:widowControl w:val="0"/>
        <w:rPr>
          <w:sz w:val="22"/>
          <w:szCs w:val="22"/>
        </w:rPr>
      </w:pPr>
      <w:r>
        <w:rPr>
          <w:sz w:val="22"/>
          <w:szCs w:val="22"/>
        </w:rPr>
        <w:t>Utilities Technology Council</w:t>
      </w:r>
    </w:p>
    <w:p w14:paraId="72A6B945" w14:textId="77777777" w:rsidR="00EE700C" w:rsidRDefault="00C90D1C">
      <w:pPr>
        <w:widowControl w:val="0"/>
        <w:rPr>
          <w:sz w:val="22"/>
          <w:szCs w:val="22"/>
        </w:rPr>
      </w:pPr>
      <w:r>
        <w:rPr>
          <w:sz w:val="22"/>
          <w:szCs w:val="22"/>
        </w:rPr>
        <w:t>2511 Jefferson Davis Highway</w:t>
      </w:r>
    </w:p>
    <w:p w14:paraId="011E6E9A" w14:textId="77777777" w:rsidR="00EE700C" w:rsidRDefault="00C90D1C">
      <w:pPr>
        <w:widowControl w:val="0"/>
        <w:rPr>
          <w:sz w:val="22"/>
          <w:szCs w:val="22"/>
        </w:rPr>
      </w:pPr>
      <w:r>
        <w:rPr>
          <w:sz w:val="22"/>
          <w:szCs w:val="22"/>
        </w:rPr>
        <w:t>Suite 960</w:t>
      </w:r>
    </w:p>
    <w:p w14:paraId="0785B808" w14:textId="77777777" w:rsidR="00EE700C" w:rsidRDefault="00C90D1C">
      <w:pPr>
        <w:widowControl w:val="0"/>
        <w:rPr>
          <w:sz w:val="22"/>
          <w:szCs w:val="22"/>
        </w:rPr>
      </w:pPr>
      <w:r>
        <w:rPr>
          <w:sz w:val="22"/>
          <w:szCs w:val="22"/>
        </w:rPr>
        <w:t>Arlington, VA 22202</w:t>
      </w:r>
    </w:p>
    <w:p w14:paraId="2FF1B338" w14:textId="77777777" w:rsidR="00EE700C" w:rsidRDefault="00C90D1C">
      <w:pPr>
        <w:widowControl w:val="0"/>
        <w:rPr>
          <w:sz w:val="22"/>
          <w:szCs w:val="22"/>
        </w:rPr>
      </w:pPr>
      <w:r>
        <w:rPr>
          <w:sz w:val="22"/>
          <w:szCs w:val="22"/>
        </w:rPr>
        <w:t>202-872-0030</w:t>
      </w:r>
    </w:p>
    <w:p w14:paraId="6675460B" w14:textId="77777777" w:rsidR="00EE700C" w:rsidRDefault="00EE700C">
      <w:pPr>
        <w:widowControl w:val="0"/>
        <w:rPr>
          <w:sz w:val="22"/>
          <w:szCs w:val="22"/>
        </w:rPr>
      </w:pPr>
    </w:p>
    <w:p w14:paraId="3C0CFC42" w14:textId="77777777" w:rsidR="00EE700C" w:rsidRDefault="00EE700C">
      <w:pPr>
        <w:widowControl w:val="0"/>
        <w:rPr>
          <w:sz w:val="22"/>
          <w:szCs w:val="22"/>
        </w:rPr>
      </w:pPr>
    </w:p>
    <w:p w14:paraId="5936537B" w14:textId="77777777" w:rsidR="00EE700C" w:rsidRDefault="00C90D1C">
      <w:pPr>
        <w:widowControl w:val="0"/>
        <w:rPr>
          <w:sz w:val="22"/>
          <w:szCs w:val="22"/>
        </w:rPr>
      </w:pPr>
      <w:r>
        <w:rPr>
          <w:sz w:val="22"/>
          <w:szCs w:val="22"/>
        </w:rPr>
        <w:t>EDISON ELECTRIC INSTITUTE</w:t>
      </w:r>
    </w:p>
    <w:p w14:paraId="142D77EB" w14:textId="77777777" w:rsidR="00EE700C" w:rsidRDefault="00EE700C">
      <w:pPr>
        <w:widowControl w:val="0"/>
        <w:ind w:left="4320"/>
        <w:rPr>
          <w:sz w:val="22"/>
          <w:szCs w:val="22"/>
        </w:rPr>
      </w:pPr>
    </w:p>
    <w:p w14:paraId="2F5E2ADE" w14:textId="77777777" w:rsidR="00EE700C" w:rsidRDefault="00C90D1C">
      <w:pPr>
        <w:widowControl w:val="0"/>
        <w:rPr>
          <w:sz w:val="22"/>
          <w:szCs w:val="22"/>
        </w:rPr>
      </w:pPr>
      <w:r>
        <w:rPr>
          <w:sz w:val="22"/>
          <w:szCs w:val="22"/>
        </w:rPr>
        <w:t>Aryeh B. Fishman</w:t>
      </w:r>
    </w:p>
    <w:p w14:paraId="4A9F5ED7" w14:textId="77777777" w:rsidR="00EE700C" w:rsidRDefault="00C90D1C">
      <w:pPr>
        <w:widowControl w:val="0"/>
        <w:rPr>
          <w:sz w:val="22"/>
          <w:szCs w:val="22"/>
        </w:rPr>
      </w:pPr>
      <w:r>
        <w:rPr>
          <w:sz w:val="22"/>
          <w:szCs w:val="22"/>
        </w:rPr>
        <w:t>Associate General Counsel, Regulatory Legal Affairs</w:t>
      </w:r>
    </w:p>
    <w:p w14:paraId="5F062FED" w14:textId="77777777" w:rsidR="00EE700C" w:rsidRDefault="00C90D1C">
      <w:pPr>
        <w:widowControl w:val="0"/>
        <w:rPr>
          <w:sz w:val="22"/>
          <w:szCs w:val="22"/>
        </w:rPr>
      </w:pPr>
      <w:r>
        <w:rPr>
          <w:sz w:val="22"/>
          <w:szCs w:val="22"/>
        </w:rPr>
        <w:t>Edison Electric Institute</w:t>
      </w:r>
    </w:p>
    <w:p w14:paraId="0B697E6D" w14:textId="77777777" w:rsidR="00EE700C" w:rsidRDefault="00C90D1C">
      <w:pPr>
        <w:widowControl w:val="0"/>
        <w:rPr>
          <w:sz w:val="22"/>
          <w:szCs w:val="22"/>
        </w:rPr>
      </w:pPr>
      <w:r>
        <w:rPr>
          <w:sz w:val="22"/>
          <w:szCs w:val="22"/>
        </w:rPr>
        <w:t>Washington, D.C. 20004</w:t>
      </w:r>
    </w:p>
    <w:p w14:paraId="6923E194" w14:textId="77777777" w:rsidR="00EE700C" w:rsidRDefault="00C90D1C">
      <w:pPr>
        <w:widowControl w:val="0"/>
        <w:spacing w:after="240"/>
        <w:rPr>
          <w:sz w:val="22"/>
          <w:szCs w:val="22"/>
        </w:rPr>
      </w:pPr>
      <w:r>
        <w:rPr>
          <w:sz w:val="22"/>
          <w:szCs w:val="22"/>
        </w:rPr>
        <w:t>(202) 508-5023</w:t>
      </w:r>
      <w:r>
        <w:rPr>
          <w:sz w:val="22"/>
          <w:szCs w:val="22"/>
        </w:rPr>
        <w:br/>
      </w:r>
    </w:p>
    <w:p w14:paraId="2091DDA2" w14:textId="77777777" w:rsidR="00EE700C" w:rsidRDefault="00C90D1C">
      <w:pPr>
        <w:widowControl w:val="0"/>
        <w:spacing w:after="240"/>
        <w:rPr>
          <w:sz w:val="22"/>
          <w:szCs w:val="22"/>
        </w:rPr>
      </w:pPr>
      <w:bookmarkStart w:id="2" w:name="_Hlk1061493"/>
      <w:r>
        <w:rPr>
          <w:sz w:val="22"/>
          <w:szCs w:val="22"/>
        </w:rPr>
        <w:t>AMERICAN PUBLIC POWER ASSOCIATION</w:t>
      </w:r>
    </w:p>
    <w:bookmarkEnd w:id="2"/>
    <w:p w14:paraId="6C292B7C" w14:textId="77777777" w:rsidR="00EE700C" w:rsidRDefault="00C90D1C">
      <w:pPr>
        <w:widowControl w:val="0"/>
        <w:rPr>
          <w:sz w:val="22"/>
          <w:szCs w:val="22"/>
        </w:rPr>
      </w:pPr>
      <w:r>
        <w:rPr>
          <w:sz w:val="22"/>
          <w:szCs w:val="22"/>
        </w:rPr>
        <w:t>Andrew Wills</w:t>
      </w:r>
    </w:p>
    <w:p w14:paraId="02761755" w14:textId="77777777" w:rsidR="00EE700C" w:rsidRDefault="00C90D1C">
      <w:pPr>
        <w:widowControl w:val="0"/>
        <w:rPr>
          <w:sz w:val="22"/>
          <w:szCs w:val="22"/>
        </w:rPr>
      </w:pPr>
      <w:r>
        <w:rPr>
          <w:sz w:val="22"/>
          <w:szCs w:val="22"/>
        </w:rPr>
        <w:t>Government Relations Director and Counsel</w:t>
      </w:r>
    </w:p>
    <w:p w14:paraId="0769BEEC" w14:textId="77777777" w:rsidR="00EE700C" w:rsidRDefault="00C90D1C">
      <w:pPr>
        <w:widowControl w:val="0"/>
        <w:rPr>
          <w:sz w:val="22"/>
          <w:szCs w:val="22"/>
        </w:rPr>
      </w:pPr>
      <w:r>
        <w:rPr>
          <w:sz w:val="22"/>
          <w:szCs w:val="22"/>
        </w:rPr>
        <w:t>American Public Power Association</w:t>
      </w:r>
    </w:p>
    <w:p w14:paraId="7ECE0933" w14:textId="77777777" w:rsidR="00EE700C" w:rsidRDefault="00C90D1C">
      <w:pPr>
        <w:widowControl w:val="0"/>
        <w:rPr>
          <w:sz w:val="22"/>
          <w:szCs w:val="22"/>
        </w:rPr>
      </w:pPr>
      <w:r>
        <w:rPr>
          <w:sz w:val="22"/>
          <w:szCs w:val="22"/>
        </w:rPr>
        <w:t>2451 Crystal Dr., Suite 1000</w:t>
      </w:r>
    </w:p>
    <w:p w14:paraId="4143D378" w14:textId="77777777" w:rsidR="00EE700C" w:rsidRDefault="00C90D1C">
      <w:pPr>
        <w:widowControl w:val="0"/>
        <w:rPr>
          <w:sz w:val="22"/>
          <w:szCs w:val="22"/>
        </w:rPr>
      </w:pPr>
      <w:r>
        <w:rPr>
          <w:sz w:val="22"/>
          <w:szCs w:val="22"/>
        </w:rPr>
        <w:t>Arlington, VA 22202</w:t>
      </w:r>
    </w:p>
    <w:p w14:paraId="62146727" w14:textId="77777777" w:rsidR="00EE700C" w:rsidRDefault="00C90D1C">
      <w:pPr>
        <w:widowControl w:val="0"/>
        <w:rPr>
          <w:sz w:val="22"/>
          <w:szCs w:val="22"/>
        </w:rPr>
      </w:pPr>
      <w:r>
        <w:rPr>
          <w:sz w:val="22"/>
          <w:szCs w:val="22"/>
        </w:rPr>
        <w:t>202-467-2959</w:t>
      </w:r>
    </w:p>
    <w:p w14:paraId="43C624BA" w14:textId="77777777" w:rsidR="00EE700C" w:rsidRDefault="00EE700C">
      <w:pPr>
        <w:spacing w:after="200" w:line="276" w:lineRule="auto"/>
        <w:rPr>
          <w:sz w:val="22"/>
          <w:szCs w:val="22"/>
        </w:rPr>
      </w:pPr>
    </w:p>
    <w:p w14:paraId="237BBA14" w14:textId="77777777" w:rsidR="00EE700C" w:rsidRDefault="00C90D1C">
      <w:pPr>
        <w:spacing w:after="200" w:line="276" w:lineRule="auto"/>
        <w:rPr>
          <w:sz w:val="22"/>
          <w:szCs w:val="22"/>
        </w:rPr>
      </w:pPr>
      <w:r>
        <w:rPr>
          <w:caps/>
          <w:sz w:val="22"/>
          <w:szCs w:val="22"/>
        </w:rPr>
        <w:t>National Rural Electric Cooperative Association</w:t>
      </w:r>
    </w:p>
    <w:p w14:paraId="5C9E682E" w14:textId="77777777" w:rsidR="00EE700C" w:rsidRDefault="00C90D1C">
      <w:pPr>
        <w:rPr>
          <w:sz w:val="22"/>
          <w:szCs w:val="22"/>
        </w:rPr>
      </w:pPr>
      <w:r>
        <w:rPr>
          <w:sz w:val="22"/>
          <w:szCs w:val="22"/>
        </w:rPr>
        <w:t>Brian O’Hara</w:t>
      </w:r>
    </w:p>
    <w:p w14:paraId="440FA186" w14:textId="77777777" w:rsidR="00EE700C" w:rsidRDefault="00C90D1C">
      <w:pPr>
        <w:rPr>
          <w:sz w:val="22"/>
          <w:szCs w:val="22"/>
        </w:rPr>
      </w:pPr>
      <w:r>
        <w:rPr>
          <w:sz w:val="22"/>
          <w:szCs w:val="22"/>
        </w:rPr>
        <w:t>Senior Director Regulatory Issues – Telecom &amp; Broadband</w:t>
      </w:r>
    </w:p>
    <w:p w14:paraId="26B47257" w14:textId="77777777" w:rsidR="00EE700C" w:rsidRDefault="00C90D1C">
      <w:pPr>
        <w:rPr>
          <w:sz w:val="22"/>
          <w:szCs w:val="22"/>
        </w:rPr>
      </w:pPr>
      <w:r>
        <w:rPr>
          <w:sz w:val="22"/>
          <w:szCs w:val="22"/>
        </w:rPr>
        <w:t xml:space="preserve">National Rural Electric Cooperative Association </w:t>
      </w:r>
    </w:p>
    <w:p w14:paraId="73933337" w14:textId="77777777" w:rsidR="00EE700C" w:rsidRDefault="00C90D1C">
      <w:pPr>
        <w:rPr>
          <w:sz w:val="22"/>
          <w:szCs w:val="22"/>
        </w:rPr>
      </w:pPr>
      <w:r>
        <w:rPr>
          <w:sz w:val="22"/>
          <w:szCs w:val="22"/>
        </w:rPr>
        <w:t xml:space="preserve">4301 Wilson Blvd. </w:t>
      </w:r>
    </w:p>
    <w:p w14:paraId="7120CD59" w14:textId="77777777" w:rsidR="00EE700C" w:rsidRDefault="00C90D1C">
      <w:pPr>
        <w:rPr>
          <w:sz w:val="22"/>
          <w:szCs w:val="22"/>
        </w:rPr>
      </w:pPr>
      <w:r>
        <w:rPr>
          <w:sz w:val="22"/>
          <w:szCs w:val="22"/>
        </w:rPr>
        <w:t>Arlington, VA 22203</w:t>
      </w:r>
    </w:p>
    <w:p w14:paraId="1272BFA7" w14:textId="77777777" w:rsidR="00EE700C" w:rsidRDefault="00C90D1C">
      <w:pPr>
        <w:widowControl w:val="0"/>
        <w:rPr>
          <w:sz w:val="22"/>
          <w:szCs w:val="22"/>
        </w:rPr>
      </w:pPr>
      <w:r>
        <w:rPr>
          <w:sz w:val="22"/>
          <w:szCs w:val="22"/>
        </w:rPr>
        <w:t>703-907-5798</w:t>
      </w:r>
    </w:p>
    <w:p w14:paraId="572F27EF" w14:textId="77777777" w:rsidR="00EE700C" w:rsidRDefault="00EE700C">
      <w:pPr>
        <w:widowControl w:val="0"/>
        <w:rPr>
          <w:sz w:val="22"/>
          <w:szCs w:val="22"/>
        </w:rPr>
      </w:pPr>
    </w:p>
    <w:p w14:paraId="471BD37D" w14:textId="77777777" w:rsidR="00EE700C" w:rsidRDefault="00EE700C">
      <w:pPr>
        <w:widowControl w:val="0"/>
        <w:ind w:left="3600" w:firstLine="720"/>
        <w:rPr>
          <w:sz w:val="22"/>
          <w:szCs w:val="22"/>
        </w:rPr>
      </w:pPr>
    </w:p>
    <w:p w14:paraId="118D502F" w14:textId="77777777" w:rsidR="00EE700C" w:rsidRDefault="00C90D1C">
      <w:pPr>
        <w:widowControl w:val="0"/>
        <w:rPr>
          <w:sz w:val="22"/>
          <w:szCs w:val="22"/>
        </w:rPr>
      </w:pPr>
      <w:r>
        <w:rPr>
          <w:sz w:val="22"/>
          <w:szCs w:val="22"/>
        </w:rPr>
        <w:t>AMERICAN PETROLEUM INSTITUTE</w:t>
      </w:r>
    </w:p>
    <w:p w14:paraId="7549D285" w14:textId="77777777" w:rsidR="00EE700C" w:rsidRDefault="00EE700C">
      <w:pPr>
        <w:widowControl w:val="0"/>
        <w:rPr>
          <w:sz w:val="22"/>
          <w:szCs w:val="22"/>
        </w:rPr>
      </w:pPr>
    </w:p>
    <w:p w14:paraId="2C1E220B" w14:textId="77777777" w:rsidR="00EE700C" w:rsidRDefault="00C90D1C">
      <w:pPr>
        <w:widowControl w:val="0"/>
        <w:rPr>
          <w:sz w:val="22"/>
          <w:szCs w:val="22"/>
        </w:rPr>
      </w:pPr>
      <w:r>
        <w:rPr>
          <w:sz w:val="22"/>
          <w:szCs w:val="22"/>
        </w:rPr>
        <w:t>James Crandall</w:t>
      </w:r>
    </w:p>
    <w:p w14:paraId="1B0CBEDD" w14:textId="77777777" w:rsidR="00EE700C" w:rsidRDefault="00C90D1C">
      <w:pPr>
        <w:widowControl w:val="0"/>
        <w:rPr>
          <w:sz w:val="22"/>
          <w:szCs w:val="22"/>
        </w:rPr>
      </w:pPr>
      <w:r>
        <w:rPr>
          <w:sz w:val="22"/>
          <w:szCs w:val="22"/>
        </w:rPr>
        <w:t>Policy Analyst</w:t>
      </w:r>
    </w:p>
    <w:p w14:paraId="5302E6F8" w14:textId="77777777" w:rsidR="00EE700C" w:rsidRDefault="00C90D1C">
      <w:pPr>
        <w:widowControl w:val="0"/>
        <w:rPr>
          <w:sz w:val="22"/>
          <w:szCs w:val="22"/>
        </w:rPr>
      </w:pPr>
      <w:r>
        <w:rPr>
          <w:sz w:val="22"/>
          <w:szCs w:val="22"/>
        </w:rPr>
        <w:t>American Petroleum Institute</w:t>
      </w:r>
    </w:p>
    <w:p w14:paraId="3163AB42" w14:textId="77777777" w:rsidR="00EE700C" w:rsidRDefault="00C90D1C">
      <w:pPr>
        <w:widowControl w:val="0"/>
        <w:rPr>
          <w:sz w:val="22"/>
          <w:szCs w:val="22"/>
        </w:rPr>
      </w:pPr>
      <w:r>
        <w:rPr>
          <w:sz w:val="22"/>
          <w:szCs w:val="22"/>
        </w:rPr>
        <w:t>200 Massachusetts Ave. NW</w:t>
      </w:r>
    </w:p>
    <w:p w14:paraId="57ADE3C8" w14:textId="77777777" w:rsidR="00EE700C" w:rsidRDefault="00C90D1C">
      <w:pPr>
        <w:widowControl w:val="0"/>
        <w:rPr>
          <w:sz w:val="22"/>
          <w:szCs w:val="22"/>
        </w:rPr>
      </w:pPr>
      <w:r>
        <w:rPr>
          <w:sz w:val="22"/>
          <w:szCs w:val="22"/>
        </w:rPr>
        <w:t>Washington, D.C. 20001</w:t>
      </w:r>
    </w:p>
    <w:p w14:paraId="45086392" w14:textId="77777777" w:rsidR="00EE700C" w:rsidRDefault="00C90D1C">
      <w:pPr>
        <w:widowControl w:val="0"/>
        <w:rPr>
          <w:sz w:val="22"/>
          <w:szCs w:val="22"/>
        </w:rPr>
      </w:pPr>
      <w:r>
        <w:rPr>
          <w:sz w:val="22"/>
          <w:szCs w:val="22"/>
        </w:rPr>
        <w:t>202-682-8357</w:t>
      </w:r>
    </w:p>
    <w:p w14:paraId="6DE0B1CD" w14:textId="77777777" w:rsidR="00EE700C" w:rsidRDefault="00EE700C">
      <w:pPr>
        <w:widowControl w:val="0"/>
        <w:ind w:firstLine="720"/>
        <w:rPr>
          <w:sz w:val="22"/>
          <w:szCs w:val="22"/>
        </w:rPr>
      </w:pPr>
    </w:p>
    <w:p w14:paraId="6011F68A" w14:textId="77777777" w:rsidR="00EE700C" w:rsidRDefault="00EE700C">
      <w:pPr>
        <w:widowControl w:val="0"/>
        <w:ind w:left="3600" w:firstLine="720"/>
        <w:rPr>
          <w:sz w:val="22"/>
          <w:szCs w:val="22"/>
        </w:rPr>
      </w:pPr>
    </w:p>
    <w:p w14:paraId="2C2BE9B8" w14:textId="77777777" w:rsidR="00EE700C" w:rsidRDefault="00C90D1C">
      <w:pPr>
        <w:spacing w:after="200" w:line="276" w:lineRule="auto"/>
        <w:rPr>
          <w:sz w:val="22"/>
          <w:szCs w:val="22"/>
        </w:rPr>
      </w:pPr>
      <w:bookmarkStart w:id="3" w:name="_Hlk1048215"/>
      <w:r>
        <w:rPr>
          <w:caps/>
          <w:sz w:val="22"/>
          <w:szCs w:val="22"/>
        </w:rPr>
        <w:t>American Water works association</w:t>
      </w:r>
    </w:p>
    <w:p w14:paraId="2BB20CAA" w14:textId="77777777" w:rsidR="00EE700C" w:rsidRDefault="00C90D1C">
      <w:pPr>
        <w:spacing w:line="276" w:lineRule="auto"/>
        <w:rPr>
          <w:sz w:val="22"/>
          <w:szCs w:val="22"/>
        </w:rPr>
      </w:pPr>
      <w:r>
        <w:rPr>
          <w:sz w:val="22"/>
          <w:szCs w:val="22"/>
        </w:rPr>
        <w:t>Kevin</w:t>
      </w:r>
      <w:r>
        <w:rPr>
          <w:caps/>
          <w:sz w:val="22"/>
          <w:szCs w:val="22"/>
        </w:rPr>
        <w:t xml:space="preserve"> M. </w:t>
      </w:r>
      <w:r>
        <w:rPr>
          <w:sz w:val="22"/>
          <w:szCs w:val="22"/>
        </w:rPr>
        <w:t>Morley, PhD</w:t>
      </w:r>
    </w:p>
    <w:p w14:paraId="689CA0E9" w14:textId="77777777" w:rsidR="00EE700C" w:rsidRDefault="00C90D1C">
      <w:pPr>
        <w:spacing w:line="276" w:lineRule="auto"/>
        <w:rPr>
          <w:sz w:val="22"/>
          <w:szCs w:val="22"/>
        </w:rPr>
      </w:pPr>
      <w:r>
        <w:rPr>
          <w:sz w:val="22"/>
          <w:szCs w:val="22"/>
        </w:rPr>
        <w:t>American Water Works Association</w:t>
      </w:r>
    </w:p>
    <w:p w14:paraId="5BD5EB9A" w14:textId="77777777" w:rsidR="00EE700C" w:rsidRDefault="00C90D1C">
      <w:pPr>
        <w:spacing w:line="276" w:lineRule="auto"/>
        <w:rPr>
          <w:sz w:val="22"/>
          <w:szCs w:val="22"/>
        </w:rPr>
      </w:pPr>
      <w:r>
        <w:rPr>
          <w:sz w:val="22"/>
          <w:szCs w:val="22"/>
        </w:rPr>
        <w:t>Manager, Federal Relations</w:t>
      </w:r>
    </w:p>
    <w:p w14:paraId="38BC4E6F" w14:textId="77777777" w:rsidR="00EE700C" w:rsidRDefault="00C90D1C">
      <w:pPr>
        <w:spacing w:line="276" w:lineRule="auto"/>
        <w:rPr>
          <w:sz w:val="22"/>
          <w:szCs w:val="22"/>
        </w:rPr>
      </w:pPr>
      <w:r>
        <w:rPr>
          <w:caps/>
          <w:sz w:val="22"/>
          <w:szCs w:val="22"/>
        </w:rPr>
        <w:t xml:space="preserve">1300 </w:t>
      </w:r>
      <w:r>
        <w:rPr>
          <w:sz w:val="22"/>
          <w:szCs w:val="22"/>
        </w:rPr>
        <w:t>Eye</w:t>
      </w:r>
      <w:r>
        <w:rPr>
          <w:caps/>
          <w:sz w:val="22"/>
          <w:szCs w:val="22"/>
        </w:rPr>
        <w:t xml:space="preserve"> S</w:t>
      </w:r>
      <w:r>
        <w:rPr>
          <w:sz w:val="22"/>
          <w:szCs w:val="22"/>
        </w:rPr>
        <w:t>treet</w:t>
      </w:r>
      <w:r>
        <w:rPr>
          <w:caps/>
          <w:sz w:val="22"/>
          <w:szCs w:val="22"/>
        </w:rPr>
        <w:t xml:space="preserve">, NW </w:t>
      </w:r>
      <w:r>
        <w:rPr>
          <w:sz w:val="22"/>
          <w:szCs w:val="22"/>
        </w:rPr>
        <w:t xml:space="preserve">Suite </w:t>
      </w:r>
      <w:r>
        <w:rPr>
          <w:caps/>
          <w:sz w:val="22"/>
          <w:szCs w:val="22"/>
        </w:rPr>
        <w:t>701W</w:t>
      </w:r>
    </w:p>
    <w:p w14:paraId="2B19C9D9" w14:textId="77777777" w:rsidR="00EE700C" w:rsidRDefault="00C90D1C">
      <w:pPr>
        <w:spacing w:line="276" w:lineRule="auto"/>
        <w:rPr>
          <w:sz w:val="22"/>
          <w:szCs w:val="22"/>
        </w:rPr>
      </w:pPr>
      <w:r>
        <w:rPr>
          <w:caps/>
          <w:sz w:val="22"/>
          <w:szCs w:val="22"/>
        </w:rPr>
        <w:t>W</w:t>
      </w:r>
      <w:r>
        <w:rPr>
          <w:sz w:val="22"/>
          <w:szCs w:val="22"/>
        </w:rPr>
        <w:t>ashington</w:t>
      </w:r>
      <w:r>
        <w:rPr>
          <w:caps/>
          <w:sz w:val="22"/>
          <w:szCs w:val="22"/>
        </w:rPr>
        <w:t>, DC 20005</w:t>
      </w:r>
    </w:p>
    <w:p w14:paraId="1761554A" w14:textId="77777777" w:rsidR="00EE700C" w:rsidRDefault="00C90D1C">
      <w:pPr>
        <w:spacing w:line="276" w:lineRule="auto"/>
        <w:rPr>
          <w:sz w:val="22"/>
          <w:szCs w:val="22"/>
        </w:rPr>
        <w:sectPr w:rsidR="00EE700C" w:rsidSect="004211FA">
          <w:type w:val="continuous"/>
          <w:pgSz w:w="12240" w:h="15840"/>
          <w:pgMar w:top="1152" w:right="1296" w:bottom="1152" w:left="1296" w:header="708" w:footer="708" w:gutter="0"/>
          <w:cols w:num="2" w:space="708"/>
        </w:sectPr>
      </w:pPr>
      <w:r>
        <w:rPr>
          <w:caps/>
          <w:sz w:val="22"/>
          <w:szCs w:val="22"/>
        </w:rPr>
        <w:t>202-326-6124</w:t>
      </w:r>
    </w:p>
    <w:bookmarkEnd w:id="3"/>
    <w:p w14:paraId="0C11A7FE" w14:textId="77777777" w:rsidR="00EE700C" w:rsidRDefault="00C90D1C">
      <w:pPr>
        <w:widowControl w:val="0"/>
        <w:spacing w:after="240"/>
        <w:rPr>
          <w:sz w:val="22"/>
          <w:szCs w:val="22"/>
        </w:rPr>
        <w:sectPr w:rsidR="00EE700C">
          <w:type w:val="continuous"/>
          <w:pgSz w:w="12240" w:h="15840"/>
          <w:pgMar w:top="1152" w:right="1296" w:bottom="1152" w:left="1296" w:header="708" w:footer="708" w:gutter="0"/>
          <w:cols w:space="708"/>
        </w:sectPr>
      </w:pPr>
      <w:r>
        <w:rPr>
          <w:sz w:val="22"/>
          <w:szCs w:val="22"/>
        </w:rPr>
        <w:t>February 15, 2019</w:t>
      </w:r>
    </w:p>
    <w:p w14:paraId="1C665FEA" w14:textId="77777777" w:rsidR="00EE700C" w:rsidRDefault="00EE700C">
      <w:pPr>
        <w:widowControl w:val="0"/>
        <w:rPr>
          <w:sz w:val="22"/>
          <w:szCs w:val="22"/>
        </w:rPr>
      </w:pPr>
    </w:p>
    <w:p w14:paraId="1E7A6708" w14:textId="77777777" w:rsidR="00EE700C" w:rsidRDefault="00C90D1C">
      <w:pPr>
        <w:spacing w:after="200" w:line="276" w:lineRule="auto"/>
        <w:jc w:val="center"/>
      </w:pPr>
      <w:r>
        <w:rPr>
          <w:b/>
          <w:bCs/>
        </w:rPr>
        <w:t>TABLE OF CONTENTS</w:t>
      </w:r>
    </w:p>
    <w:sdt>
      <w:sdtPr>
        <w:id w:val="1025266796"/>
        <w:placeholder>
          <w:docPart w:val="DefaultPlaceholder_22675703"/>
        </w:placeholder>
      </w:sdtPr>
      <w:sdtEndPr/>
      <w:sdtContent>
        <w:sdt>
          <w:sdtPr>
            <w:id w:val="1896428775"/>
            <w:placeholder>
              <w:docPart w:val="DefaultPlaceholder_22675703"/>
            </w:placeholder>
          </w:sdtPr>
          <w:sdtEndPr/>
          <w:sdtContent>
            <w:p w14:paraId="58CF5B45" w14:textId="77777777" w:rsidR="00EE700C" w:rsidRDefault="00EE700C">
              <w:pPr>
                <w:keepNext/>
                <w:keepLines/>
                <w:spacing w:before="240" w:line="259" w:lineRule="auto"/>
                <w:rPr>
                  <w:sz w:val="32"/>
                  <w:szCs w:val="32"/>
                </w:rPr>
              </w:pPr>
            </w:p>
            <w:p w14:paraId="25ED5D34" w14:textId="76210FD5" w:rsidR="00EE700C" w:rsidRPr="002753FF" w:rsidRDefault="00B5736D">
              <w:pPr>
                <w:tabs>
                  <w:tab w:val="left" w:pos="440"/>
                </w:tabs>
                <w:spacing w:after="100"/>
              </w:pPr>
              <w:hyperlink w:anchor="_Toc1065074" w:history="1">
                <w:r w:rsidR="00C90D1C" w:rsidRPr="002753FF">
                  <w:rPr>
                    <w:sz w:val="22"/>
                    <w:szCs w:val="22"/>
                    <w:u w:val="single" w:color="0563C1"/>
                  </w:rPr>
                  <w:t>I.</w:t>
                </w:r>
                <w:r w:rsidR="00C90D1C" w:rsidRPr="002753FF">
                  <w:rPr>
                    <w:u w:val="single" w:color="0563C1"/>
                  </w:rPr>
                  <w:tab/>
                </w:r>
                <w:r w:rsidR="00C90D1C" w:rsidRPr="002753FF">
                  <w:rPr>
                    <w:sz w:val="22"/>
                    <w:szCs w:val="22"/>
                    <w:u w:val="single" w:color="0563C1"/>
                  </w:rPr>
                  <w:t>Introduction and Description of CII Microwave Systems</w:t>
                </w:r>
              </w:hyperlink>
              <w:r w:rsidR="00FF2BAE">
                <w:rPr>
                  <w:sz w:val="22"/>
                  <w:szCs w:val="22"/>
                  <w:u w:val="single" w:color="0563C1"/>
                </w:rPr>
                <w:t>…………………………………………….3</w:t>
              </w:r>
            </w:p>
            <w:p w14:paraId="1E1D6664" w14:textId="013E1DA0" w:rsidR="00EE700C" w:rsidRPr="002753FF" w:rsidRDefault="00B5736D">
              <w:pPr>
                <w:tabs>
                  <w:tab w:val="left" w:pos="880"/>
                </w:tabs>
                <w:spacing w:after="100"/>
                <w:ind w:left="240"/>
              </w:pPr>
              <w:hyperlink w:anchor="_Toc1065076" w:history="1">
                <w:r w:rsidR="00C90D1C" w:rsidRPr="002753FF">
                  <w:rPr>
                    <w:sz w:val="22"/>
                    <w:szCs w:val="22"/>
                    <w:u w:val="single" w:color="0563C1"/>
                  </w:rPr>
                  <w:t>A.</w:t>
                </w:r>
                <w:r w:rsidR="00C90D1C" w:rsidRPr="002753FF">
                  <w:rPr>
                    <w:u w:val="single" w:color="0563C1"/>
                  </w:rPr>
                  <w:tab/>
                </w:r>
                <w:r w:rsidR="00C90D1C" w:rsidRPr="002753FF">
                  <w:rPr>
                    <w:sz w:val="22"/>
                    <w:szCs w:val="22"/>
                    <w:u w:val="single" w:color="0563C1"/>
                  </w:rPr>
                  <w:t>The 6 GHz band is uniquely suited for electric companies and CII bandwidth needs for point-to-point communications.</w:t>
                </w:r>
              </w:hyperlink>
              <w:r w:rsidR="00F25F8E">
                <w:rPr>
                  <w:sz w:val="22"/>
                  <w:szCs w:val="22"/>
                  <w:u w:val="single" w:color="0563C1"/>
                </w:rPr>
                <w:t>...............................................................................................................................</w:t>
              </w:r>
              <w:r w:rsidR="009D6AD3">
                <w:rPr>
                  <w:sz w:val="22"/>
                  <w:szCs w:val="22"/>
                  <w:u w:val="single" w:color="0563C1"/>
                </w:rPr>
                <w:t>3</w:t>
              </w:r>
            </w:p>
            <w:p w14:paraId="68EDBD47" w14:textId="455291AD" w:rsidR="00EE700C" w:rsidRPr="002753FF" w:rsidRDefault="00B5736D">
              <w:pPr>
                <w:tabs>
                  <w:tab w:val="left" w:pos="880"/>
                </w:tabs>
                <w:spacing w:after="100"/>
                <w:ind w:left="240"/>
              </w:pPr>
              <w:hyperlink w:anchor="_Toc1065077" w:history="1">
                <w:r w:rsidR="00C90D1C" w:rsidRPr="002753FF">
                  <w:rPr>
                    <w:sz w:val="22"/>
                    <w:szCs w:val="22"/>
                    <w:u w:val="single" w:color="0563C1"/>
                  </w:rPr>
                  <w:t>B.</w:t>
                </w:r>
                <w:r w:rsidR="00C90D1C" w:rsidRPr="002753FF">
                  <w:rPr>
                    <w:u w:val="single" w:color="0563C1"/>
                  </w:rPr>
                  <w:tab/>
                </w:r>
                <w:r w:rsidR="00C90D1C" w:rsidRPr="002753FF">
                  <w:rPr>
                    <w:sz w:val="22"/>
                    <w:szCs w:val="22"/>
                    <w:u w:val="single" w:color="0563C1"/>
                  </w:rPr>
                  <w:t>Electric companies and CII lack alternatives to operating in the 6 GHz band.</w:t>
                </w:r>
              </w:hyperlink>
              <w:r w:rsidR="0060271D">
                <w:rPr>
                  <w:sz w:val="22"/>
                  <w:szCs w:val="22"/>
                  <w:u w:val="single" w:color="0563C1"/>
                </w:rPr>
                <w:t>.............................4</w:t>
              </w:r>
            </w:p>
            <w:p w14:paraId="03833A6B" w14:textId="56676E3B" w:rsidR="00EE700C" w:rsidRPr="002753FF" w:rsidRDefault="00B5736D">
              <w:pPr>
                <w:spacing w:after="100"/>
              </w:pPr>
              <w:hyperlink w:anchor="_Toc1065078" w:history="1">
                <w:r w:rsidR="00C90D1C" w:rsidRPr="002753FF">
                  <w:rPr>
                    <w:sz w:val="22"/>
                    <w:szCs w:val="22"/>
                    <w:u w:val="single" w:color="0563C1"/>
                  </w:rPr>
                  <w:t>II. The Commission’s Proposal to Permit Unlicensed Operations in the 6 GHz Band Will Not Adequately Protect Against Interference to Microwave Operations and Should Not be Adopted.</w:t>
                </w:r>
              </w:hyperlink>
              <w:r w:rsidR="00E612EC">
                <w:rPr>
                  <w:sz w:val="22"/>
                  <w:szCs w:val="22"/>
                  <w:u w:val="single" w:color="0563C1"/>
                </w:rPr>
                <w:t>..................................5</w:t>
              </w:r>
            </w:p>
            <w:p w14:paraId="5C64C461" w14:textId="44CEF5CF" w:rsidR="00EE700C" w:rsidRPr="002753FF" w:rsidRDefault="00B5736D">
              <w:pPr>
                <w:tabs>
                  <w:tab w:val="left" w:pos="880"/>
                </w:tabs>
                <w:spacing w:after="100"/>
                <w:ind w:left="240"/>
              </w:pPr>
              <w:hyperlink w:anchor="_Toc1065080" w:history="1">
                <w:r w:rsidR="00C90D1C" w:rsidRPr="002753FF">
                  <w:rPr>
                    <w:sz w:val="22"/>
                    <w:szCs w:val="22"/>
                    <w:u w:val="single" w:color="0563C1"/>
                  </w:rPr>
                  <w:t>A.</w:t>
                </w:r>
                <w:r w:rsidR="00C90D1C" w:rsidRPr="002753FF">
                  <w:rPr>
                    <w:u w:val="single" w:color="0563C1"/>
                  </w:rPr>
                  <w:tab/>
                </w:r>
                <w:r w:rsidR="00C90D1C" w:rsidRPr="002753FF">
                  <w:rPr>
                    <w:sz w:val="22"/>
                    <w:szCs w:val="22"/>
                    <w:u w:val="single" w:color="0563C1"/>
                  </w:rPr>
                  <w:t>The record does not support allowing unlicensed operations in the 6 GHz band.</w:t>
                </w:r>
              </w:hyperlink>
              <w:r w:rsidR="00E612EC">
                <w:rPr>
                  <w:sz w:val="22"/>
                  <w:szCs w:val="22"/>
                  <w:u w:val="single" w:color="0563C1"/>
                </w:rPr>
                <w:t>.........................</w:t>
              </w:r>
              <w:r w:rsidR="00A3696B">
                <w:rPr>
                  <w:sz w:val="22"/>
                  <w:szCs w:val="22"/>
                  <w:u w:val="single" w:color="0563C1"/>
                </w:rPr>
                <w:t>5</w:t>
              </w:r>
            </w:p>
            <w:p w14:paraId="20CEAF35" w14:textId="07176AA9" w:rsidR="00EE700C" w:rsidRPr="002753FF" w:rsidRDefault="00B5736D">
              <w:pPr>
                <w:tabs>
                  <w:tab w:val="left" w:pos="880"/>
                </w:tabs>
                <w:spacing w:after="100"/>
                <w:ind w:left="240"/>
              </w:pPr>
              <w:hyperlink w:anchor="_Toc1065081" w:history="1">
                <w:r w:rsidR="00C90D1C" w:rsidRPr="002753FF">
                  <w:rPr>
                    <w:sz w:val="22"/>
                    <w:szCs w:val="22"/>
                    <w:u w:val="single" w:color="0563C1"/>
                  </w:rPr>
                  <w:t xml:space="preserve">B. </w:t>
                </w:r>
                <w:r w:rsidR="00C90D1C" w:rsidRPr="002753FF">
                  <w:rPr>
                    <w:u w:val="single" w:color="0563C1"/>
                  </w:rPr>
                  <w:tab/>
                </w:r>
                <w:r w:rsidR="00683D18" w:rsidRPr="002753FF">
                  <w:rPr>
                    <w:sz w:val="22"/>
                    <w:szCs w:val="22"/>
                    <w:u w:val="single" w:color="0563C1"/>
                  </w:rPr>
                  <w:t xml:space="preserve">Electric companies </w:t>
                </w:r>
                <w:r w:rsidR="00C90D1C" w:rsidRPr="002753FF">
                  <w:rPr>
                    <w:sz w:val="22"/>
                    <w:szCs w:val="22"/>
                    <w:u w:val="single" w:color="0563C1"/>
                  </w:rPr>
                  <w:t>and other CII are uniquely impacted by the potential for interference from unlicensed operations in the 6 GHz band.</w:t>
                </w:r>
              </w:hyperlink>
              <w:r w:rsidR="00A3696B">
                <w:rPr>
                  <w:sz w:val="22"/>
                  <w:szCs w:val="22"/>
                  <w:u w:val="single" w:color="0563C1"/>
                </w:rPr>
                <w:t>.................................................................................................</w:t>
              </w:r>
              <w:r w:rsidR="00E530C4">
                <w:rPr>
                  <w:sz w:val="22"/>
                  <w:szCs w:val="22"/>
                  <w:u w:val="single" w:color="0563C1"/>
                </w:rPr>
                <w:t>8</w:t>
              </w:r>
            </w:p>
            <w:p w14:paraId="3424424C" w14:textId="13E1EBE5" w:rsidR="00EE700C" w:rsidRPr="002753FF" w:rsidRDefault="00B5736D">
              <w:pPr>
                <w:tabs>
                  <w:tab w:val="left" w:pos="440"/>
                </w:tabs>
                <w:spacing w:after="100"/>
              </w:pPr>
              <w:hyperlink w:anchor="_Toc1065082" w:history="1">
                <w:r w:rsidR="00C90D1C" w:rsidRPr="002753FF">
                  <w:rPr>
                    <w:sz w:val="22"/>
                    <w:szCs w:val="22"/>
                    <w:u w:val="single" w:color="0563C1"/>
                  </w:rPr>
                  <w:t>III.</w:t>
                </w:r>
                <w:r w:rsidR="00C90D1C" w:rsidRPr="002753FF">
                  <w:rPr>
                    <w:u w:val="single" w:color="0563C1"/>
                  </w:rPr>
                  <w:tab/>
                </w:r>
                <w:r w:rsidR="00C90D1C" w:rsidRPr="002753FF">
                  <w:rPr>
                    <w:sz w:val="22"/>
                    <w:szCs w:val="22"/>
                    <w:u w:val="single" w:color="0563C1"/>
                  </w:rPr>
                  <w:t>Unlicensed Operations Should Not Be Permitted in the 6 GHz Band Unless the Commission Adopts More Stringent Interference Protections for Co-Channel and Adjacent Channel Microwave Systems, Including Prior Coordination for Indoor and Outdoor Unlicensed Operations.</w:t>
                </w:r>
              </w:hyperlink>
              <w:r w:rsidR="003A68F0">
                <w:rPr>
                  <w:sz w:val="22"/>
                  <w:szCs w:val="22"/>
                  <w:u w:val="single" w:color="0563C1"/>
                </w:rPr>
                <w:t>..........................................</w:t>
              </w:r>
              <w:r w:rsidR="00323815">
                <w:rPr>
                  <w:sz w:val="22"/>
                  <w:szCs w:val="22"/>
                  <w:u w:val="single" w:color="0563C1"/>
                </w:rPr>
                <w:t>1</w:t>
              </w:r>
              <w:r w:rsidR="00B01DEC">
                <w:rPr>
                  <w:sz w:val="22"/>
                  <w:szCs w:val="22"/>
                  <w:u w:val="single" w:color="0563C1"/>
                </w:rPr>
                <w:t>2</w:t>
              </w:r>
            </w:p>
            <w:p w14:paraId="7D95CD57" w14:textId="7B9706B8" w:rsidR="00511EF7" w:rsidRDefault="00B5736D" w:rsidP="00511EF7">
              <w:pPr>
                <w:tabs>
                  <w:tab w:val="left" w:pos="880"/>
                  <w:tab w:val="right" w:leader="dot" w:pos="9350"/>
                </w:tabs>
                <w:spacing w:after="100"/>
                <w:ind w:left="240"/>
                <w:rPr>
                  <w:rFonts w:ascii="Lucida Console" w:eastAsia="Lucida Console" w:hAnsi="Lucida Console" w:cs="Lucida Console"/>
                  <w:sz w:val="22"/>
                  <w:szCs w:val="22"/>
                  <w:u w:val="single" w:color="0563C1"/>
                </w:rPr>
              </w:pPr>
              <w:hyperlink w:anchor="_Toc1065083" w:history="1">
                <w:r w:rsidR="00C90D1C" w:rsidRPr="002753FF">
                  <w:rPr>
                    <w:sz w:val="22"/>
                    <w:szCs w:val="22"/>
                    <w:u w:val="single" w:color="0563C1"/>
                  </w:rPr>
                  <w:t>A.</w:t>
                </w:r>
                <w:r w:rsidR="00C90D1C" w:rsidRPr="002753FF">
                  <w:rPr>
                    <w:rFonts w:ascii="Lucida Console" w:eastAsia="Lucida Console" w:hAnsi="Lucida Console" w:cs="Lucida Console"/>
                    <w:sz w:val="22"/>
                    <w:szCs w:val="22"/>
                    <w:u w:val="single" w:color="0563C1"/>
                  </w:rPr>
                  <w:tab/>
                </w:r>
                <w:r w:rsidR="00C90D1C" w:rsidRPr="002753FF">
                  <w:rPr>
                    <w:sz w:val="22"/>
                    <w:szCs w:val="22"/>
                    <w:u w:val="single" w:color="0563C1"/>
                  </w:rPr>
                  <w:t>Prior coordination is necessary to prevent interference to licensed microwave systems</w:t>
                </w:r>
                <w:r w:rsidR="00511EF7">
                  <w:rPr>
                    <w:sz w:val="22"/>
                    <w:szCs w:val="22"/>
                    <w:u w:val="single" w:color="0563C1"/>
                  </w:rPr>
                  <w:t>………1</w:t>
                </w:r>
                <w:r w:rsidR="007438AB">
                  <w:rPr>
                    <w:sz w:val="22"/>
                    <w:szCs w:val="22"/>
                    <w:u w:val="single" w:color="0563C1"/>
                  </w:rPr>
                  <w:t>2</w:t>
                </w:r>
                <w:r w:rsidR="00C90D1C" w:rsidRPr="002753FF">
                  <w:rPr>
                    <w:sz w:val="22"/>
                    <w:szCs w:val="22"/>
                    <w:u w:val="single" w:color="0563C1"/>
                  </w:rPr>
                  <w:t xml:space="preserve">  </w:t>
                </w:r>
              </w:hyperlink>
            </w:p>
            <w:p w14:paraId="7BB6B047" w14:textId="0320E9C8" w:rsidR="00EE700C" w:rsidRPr="002753FF" w:rsidRDefault="00B5736D" w:rsidP="00511EF7">
              <w:pPr>
                <w:tabs>
                  <w:tab w:val="left" w:pos="880"/>
                  <w:tab w:val="right" w:leader="dot" w:pos="9350"/>
                </w:tabs>
                <w:spacing w:after="100"/>
                <w:ind w:left="240"/>
              </w:pPr>
              <w:hyperlink w:anchor="_Toc1065084" w:history="1">
                <w:r w:rsidR="00C90D1C" w:rsidRPr="002753FF">
                  <w:rPr>
                    <w:sz w:val="22"/>
                    <w:szCs w:val="22"/>
                    <w:u w:val="single" w:color="0563C1"/>
                  </w:rPr>
                  <w:t>B.</w:t>
                </w:r>
                <w:r w:rsidR="00C90D1C" w:rsidRPr="002753FF">
                  <w:rPr>
                    <w:u w:val="single" w:color="0563C1"/>
                  </w:rPr>
                  <w:tab/>
                </w:r>
                <w:r w:rsidR="00C90D1C" w:rsidRPr="002753FF">
                  <w:rPr>
                    <w:sz w:val="22"/>
                    <w:szCs w:val="22"/>
                    <w:u w:val="single" w:color="0563C1"/>
                  </w:rPr>
                  <w:t>Improvements are needed to the proposal for automatic frequency coordination to mitigate the potential for interference to licensed microwave systems in the 6 GHz band.</w:t>
                </w:r>
              </w:hyperlink>
              <w:r w:rsidR="00504319">
                <w:rPr>
                  <w:sz w:val="22"/>
                  <w:szCs w:val="22"/>
                  <w:u w:val="single" w:color="0563C1"/>
                </w:rPr>
                <w:t>........................................1</w:t>
              </w:r>
              <w:r w:rsidR="007438AB">
                <w:rPr>
                  <w:sz w:val="22"/>
                  <w:szCs w:val="22"/>
                  <w:u w:val="single" w:color="0563C1"/>
                </w:rPr>
                <w:t>3</w:t>
              </w:r>
            </w:p>
            <w:p w14:paraId="2A9596FE" w14:textId="65AEA5C4" w:rsidR="00EE700C" w:rsidRPr="002753FF" w:rsidRDefault="00B5736D">
              <w:pPr>
                <w:tabs>
                  <w:tab w:val="left" w:pos="880"/>
                </w:tabs>
                <w:spacing w:after="100"/>
                <w:ind w:left="240"/>
              </w:pPr>
              <w:hyperlink w:anchor="_Toc1065085" w:history="1">
                <w:r w:rsidR="00C90D1C" w:rsidRPr="002753FF">
                  <w:rPr>
                    <w:sz w:val="22"/>
                    <w:szCs w:val="22"/>
                    <w:u w:val="single" w:color="0563C1"/>
                  </w:rPr>
                  <w:t>C.</w:t>
                </w:r>
                <w:r w:rsidR="00C90D1C" w:rsidRPr="002753FF">
                  <w:rPr>
                    <w:u w:val="single" w:color="0563C1"/>
                  </w:rPr>
                  <w:tab/>
                </w:r>
                <w:r w:rsidR="00C90D1C" w:rsidRPr="002753FF">
                  <w:rPr>
                    <w:sz w:val="22"/>
                    <w:szCs w:val="22"/>
                    <w:u w:val="single" w:color="0563C1"/>
                  </w:rPr>
                  <w:t>The Commission must ensure protection against adjacent channel interference, as well as co-channel interference to licensed microwave systems in the 6 GHz band.</w:t>
                </w:r>
              </w:hyperlink>
              <w:r w:rsidR="00AE25A4">
                <w:rPr>
                  <w:sz w:val="22"/>
                  <w:szCs w:val="22"/>
                  <w:u w:val="single" w:color="0563C1"/>
                </w:rPr>
                <w:t>..............................................1</w:t>
              </w:r>
              <w:r w:rsidR="007438AB">
                <w:rPr>
                  <w:sz w:val="22"/>
                  <w:szCs w:val="22"/>
                  <w:u w:val="single" w:color="0563C1"/>
                </w:rPr>
                <w:t>3</w:t>
              </w:r>
            </w:p>
            <w:p w14:paraId="47CE6A36" w14:textId="20F2DCE1" w:rsidR="00EE700C" w:rsidRPr="002753FF" w:rsidRDefault="00B5736D">
              <w:pPr>
                <w:tabs>
                  <w:tab w:val="left" w:pos="880"/>
                </w:tabs>
                <w:spacing w:after="100"/>
                <w:ind w:left="240"/>
              </w:pPr>
              <w:hyperlink w:anchor="_Toc1065086" w:history="1">
                <w:r w:rsidR="00C90D1C" w:rsidRPr="002753FF">
                  <w:rPr>
                    <w:sz w:val="22"/>
                    <w:szCs w:val="22"/>
                    <w:u w:val="single" w:color="0563C1"/>
                  </w:rPr>
                  <w:t>D.</w:t>
                </w:r>
                <w:r w:rsidR="00C90D1C" w:rsidRPr="002753FF">
                  <w:rPr>
                    <w:u w:val="single" w:color="0563C1"/>
                  </w:rPr>
                  <w:tab/>
                </w:r>
                <w:r w:rsidR="00C90D1C" w:rsidRPr="002753FF">
                  <w:rPr>
                    <w:sz w:val="22"/>
                    <w:szCs w:val="22"/>
                    <w:u w:val="single" w:color="0563C1"/>
                  </w:rPr>
                  <w:t>The Commission must account for multipath fading and use stringent interference criteria and free space signal loss to ensure that AFC systems protect licensed microwave systems in the band.</w:t>
                </w:r>
              </w:hyperlink>
              <w:r w:rsidR="000733AE">
                <w:rPr>
                  <w:sz w:val="22"/>
                  <w:szCs w:val="22"/>
                  <w:u w:val="single" w:color="0563C1"/>
                </w:rPr>
                <w:t>...1</w:t>
              </w:r>
              <w:r w:rsidR="00257C83">
                <w:rPr>
                  <w:sz w:val="22"/>
                  <w:szCs w:val="22"/>
                  <w:u w:val="single" w:color="0563C1"/>
                </w:rPr>
                <w:t>4</w:t>
              </w:r>
            </w:p>
            <w:p w14:paraId="54CD6E96" w14:textId="2EC640F4" w:rsidR="00EE700C" w:rsidRPr="002753FF" w:rsidRDefault="00B5736D">
              <w:pPr>
                <w:tabs>
                  <w:tab w:val="left" w:pos="880"/>
                </w:tabs>
                <w:spacing w:after="100"/>
                <w:ind w:left="240"/>
              </w:pPr>
              <w:hyperlink w:anchor="_Toc1065087" w:history="1">
                <w:r w:rsidR="00C90D1C" w:rsidRPr="002753FF">
                  <w:rPr>
                    <w:sz w:val="22"/>
                    <w:szCs w:val="22"/>
                    <w:u w:val="single" w:color="0563C1"/>
                  </w:rPr>
                  <w:t>E.</w:t>
                </w:r>
                <w:r w:rsidR="00C90D1C" w:rsidRPr="002753FF">
                  <w:rPr>
                    <w:u w:val="single" w:color="0563C1"/>
                  </w:rPr>
                  <w:tab/>
                </w:r>
                <w:r w:rsidR="00C90D1C" w:rsidRPr="002753FF">
                  <w:rPr>
                    <w:sz w:val="22"/>
                    <w:szCs w:val="22"/>
                    <w:u w:val="single" w:color="0563C1"/>
                  </w:rPr>
                  <w:t xml:space="preserve">Enforcement mechanisms are needed </w:t>
                </w:r>
                <w:r w:rsidR="00242546" w:rsidRPr="002753FF">
                  <w:rPr>
                    <w:sz w:val="22"/>
                    <w:szCs w:val="22"/>
                    <w:u w:val="single" w:color="0563C1"/>
                  </w:rPr>
                  <w:t>if</w:t>
                </w:r>
                <w:r w:rsidR="00C90D1C" w:rsidRPr="002753FF">
                  <w:rPr>
                    <w:sz w:val="22"/>
                    <w:szCs w:val="22"/>
                    <w:u w:val="single" w:color="0563C1"/>
                  </w:rPr>
                  <w:t xml:space="preserve"> interference occurs to licensed microwave systems in the 6 GHz band, including minimum standards for updating AFC systems and Commission clarification that unlicensed operators or AFC system operators are legally liable for the consequences of interference to microwave systems in the band.</w:t>
                </w:r>
              </w:hyperlink>
              <w:r w:rsidR="0011345F">
                <w:rPr>
                  <w:sz w:val="22"/>
                  <w:szCs w:val="22"/>
                  <w:u w:val="single" w:color="0563C1"/>
                </w:rPr>
                <w:t>................................................................................1</w:t>
              </w:r>
              <w:r w:rsidR="00257C83">
                <w:rPr>
                  <w:sz w:val="22"/>
                  <w:szCs w:val="22"/>
                  <w:u w:val="single" w:color="0563C1"/>
                </w:rPr>
                <w:t>6</w:t>
              </w:r>
            </w:p>
            <w:p w14:paraId="68184994" w14:textId="77777777" w:rsidR="00EE700C" w:rsidRDefault="00C90D1C">
              <w:pPr>
                <w:rPr>
                  <w:sz w:val="22"/>
                  <w:szCs w:val="22"/>
                </w:rPr>
              </w:pPr>
              <w:r>
                <w:rPr>
                  <w:sz w:val="22"/>
                  <w:szCs w:val="22"/>
                </w:rPr>
                <w:t>APPENDIX:  Douglas McGinnis, “Spectrum and Utility Communications Networks: How Interference Threatens Reliability” (2019)</w:t>
              </w:r>
            </w:p>
          </w:sdtContent>
        </w:sdt>
        <w:p w14:paraId="06CBB1D9" w14:textId="77777777" w:rsidR="00EE700C" w:rsidRDefault="00EE700C">
          <w:pPr>
            <w:keepNext/>
            <w:keepLines/>
            <w:spacing w:before="240" w:line="259" w:lineRule="auto"/>
            <w:rPr>
              <w:sz w:val="22"/>
              <w:szCs w:val="22"/>
            </w:rPr>
          </w:pPr>
        </w:p>
        <w:p w14:paraId="4F7287B4" w14:textId="77777777" w:rsidR="00EE700C" w:rsidRDefault="00EE700C">
          <w:pPr>
            <w:widowControl w:val="0"/>
            <w:spacing w:after="100"/>
            <w:rPr>
              <w:sz w:val="22"/>
              <w:szCs w:val="22"/>
            </w:rPr>
          </w:pPr>
        </w:p>
        <w:p w14:paraId="77CCF53B" w14:textId="77777777" w:rsidR="00EE700C" w:rsidRDefault="00B5736D">
          <w:pPr>
            <w:widowControl w:val="0"/>
            <w:rPr>
              <w:sz w:val="22"/>
              <w:szCs w:val="22"/>
            </w:rPr>
          </w:pPr>
        </w:p>
      </w:sdtContent>
    </w:sdt>
    <w:p w14:paraId="0CE8C768" w14:textId="77777777" w:rsidR="00EE700C" w:rsidRDefault="00EE700C">
      <w:pPr>
        <w:widowControl w:val="0"/>
        <w:rPr>
          <w:sz w:val="22"/>
          <w:szCs w:val="22"/>
        </w:rPr>
      </w:pPr>
    </w:p>
    <w:p w14:paraId="515F9B71" w14:textId="77777777" w:rsidR="002753FF" w:rsidRDefault="002753FF">
      <w:pPr>
        <w:widowControl w:val="0"/>
        <w:jc w:val="center"/>
        <w:rPr>
          <w:b/>
          <w:bCs/>
          <w:sz w:val="22"/>
          <w:szCs w:val="22"/>
        </w:rPr>
        <w:sectPr w:rsidR="002753FF" w:rsidSect="002753FF">
          <w:footerReference w:type="default" r:id="rId9"/>
          <w:pgSz w:w="12240" w:h="15840"/>
          <w:pgMar w:top="1440" w:right="1440" w:bottom="1440" w:left="1440" w:header="708" w:footer="708" w:gutter="0"/>
          <w:pgNumType w:fmt="lowerRoman" w:start="1"/>
          <w:cols w:space="708"/>
        </w:sectPr>
      </w:pPr>
    </w:p>
    <w:p w14:paraId="593694B5" w14:textId="1521EBCC" w:rsidR="00EE700C" w:rsidRDefault="00C90D1C">
      <w:pPr>
        <w:widowControl w:val="0"/>
        <w:jc w:val="center"/>
        <w:rPr>
          <w:sz w:val="22"/>
          <w:szCs w:val="22"/>
        </w:rPr>
      </w:pPr>
      <w:r>
        <w:rPr>
          <w:b/>
          <w:bCs/>
          <w:sz w:val="22"/>
          <w:szCs w:val="22"/>
        </w:rPr>
        <w:lastRenderedPageBreak/>
        <w:t>SUMMARY</w:t>
      </w:r>
    </w:p>
    <w:p w14:paraId="1DF3B8E0" w14:textId="77777777" w:rsidR="00EE700C" w:rsidRDefault="00EE700C">
      <w:pPr>
        <w:widowControl w:val="0"/>
        <w:jc w:val="center"/>
        <w:rPr>
          <w:sz w:val="22"/>
          <w:szCs w:val="22"/>
        </w:rPr>
      </w:pPr>
    </w:p>
    <w:p w14:paraId="2A082A0A" w14:textId="77777777" w:rsidR="00EE700C" w:rsidRDefault="00EE700C">
      <w:pPr>
        <w:widowControl w:val="0"/>
        <w:rPr>
          <w:sz w:val="22"/>
          <w:szCs w:val="22"/>
        </w:rPr>
      </w:pPr>
    </w:p>
    <w:p w14:paraId="1641921C" w14:textId="51522FB4" w:rsidR="00EE700C" w:rsidRPr="002753FF" w:rsidRDefault="00C90D1C">
      <w:pPr>
        <w:widowControl w:val="0"/>
        <w:spacing w:line="480" w:lineRule="auto"/>
        <w:rPr>
          <w:sz w:val="22"/>
          <w:szCs w:val="22"/>
        </w:rPr>
      </w:pPr>
      <w:r>
        <w:rPr>
          <w:sz w:val="22"/>
          <w:szCs w:val="22"/>
        </w:rPr>
        <w:tab/>
      </w:r>
      <w:r w:rsidRPr="002753FF">
        <w:rPr>
          <w:sz w:val="22"/>
          <w:szCs w:val="22"/>
        </w:rPr>
        <w:t xml:space="preserve">The Federal Communications Commission (“FCC” or “Commission”) should not allow unlicensed operations in the 6 GHz band because the potential for interference is unreasonably high </w:t>
      </w:r>
      <w:r w:rsidR="004015BA" w:rsidRPr="002753FF">
        <w:rPr>
          <w:sz w:val="22"/>
          <w:szCs w:val="22"/>
        </w:rPr>
        <w:t xml:space="preserve">and </w:t>
      </w:r>
      <w:r w:rsidR="0023098E" w:rsidRPr="002753FF">
        <w:rPr>
          <w:sz w:val="22"/>
          <w:szCs w:val="22"/>
        </w:rPr>
        <w:t xml:space="preserve">therefore likely to </w:t>
      </w:r>
      <w:r w:rsidR="00F323F9" w:rsidRPr="002753FF">
        <w:rPr>
          <w:sz w:val="22"/>
          <w:szCs w:val="22"/>
        </w:rPr>
        <w:t xml:space="preserve">present significant </w:t>
      </w:r>
      <w:r w:rsidR="00AC1004" w:rsidRPr="002753FF">
        <w:rPr>
          <w:sz w:val="22"/>
          <w:szCs w:val="22"/>
        </w:rPr>
        <w:t>adverse</w:t>
      </w:r>
      <w:r w:rsidR="00F323F9" w:rsidRPr="002753FF">
        <w:rPr>
          <w:sz w:val="22"/>
          <w:szCs w:val="22"/>
        </w:rPr>
        <w:t xml:space="preserve"> </w:t>
      </w:r>
      <w:r w:rsidRPr="002753FF">
        <w:rPr>
          <w:sz w:val="22"/>
          <w:szCs w:val="22"/>
        </w:rPr>
        <w:t>impact to critical infrastructure communications</w:t>
      </w:r>
      <w:r w:rsidR="004015BA" w:rsidRPr="002753FF">
        <w:rPr>
          <w:sz w:val="22"/>
          <w:szCs w:val="22"/>
        </w:rPr>
        <w:t xml:space="preserve"> that </w:t>
      </w:r>
      <w:r w:rsidR="0070254E" w:rsidRPr="002753FF">
        <w:rPr>
          <w:sz w:val="22"/>
          <w:szCs w:val="22"/>
        </w:rPr>
        <w:t>would put at risk the safety of life, health and property that incumbent licensees help to protect</w:t>
      </w:r>
      <w:r w:rsidRPr="002753FF">
        <w:rPr>
          <w:sz w:val="22"/>
          <w:szCs w:val="22"/>
        </w:rPr>
        <w:t xml:space="preserve">.  The 6 GHz band is uniquely suited to supporting highly reliable communications and therefore is already heavily used by electric, oil, natural gas, and water companies for mission critical operations.  Moreover, these entities and other critical infrastructure industries (“CII”) lack reasonable alternatives to the 6 GHz band, while there are other spectrum bands that could be opened to support the unlicensed operations envisioned by the FCC that would not raise the same likelihood of interference nor the unnecessary risk to critical infrastructure.  Any benefit from the expansion </w:t>
      </w:r>
      <w:r w:rsidR="005C2B41">
        <w:rPr>
          <w:sz w:val="22"/>
          <w:szCs w:val="22"/>
        </w:rPr>
        <w:t xml:space="preserve">of </w:t>
      </w:r>
      <w:r w:rsidRPr="002753FF">
        <w:rPr>
          <w:sz w:val="22"/>
          <w:szCs w:val="22"/>
        </w:rPr>
        <w:t>unlicensed operations in the 6 GHz band is outweighed by risking interference to mission-critical communications and therefore is not in the public interest.</w:t>
      </w:r>
    </w:p>
    <w:p w14:paraId="7888C25B" w14:textId="5F7BE4E1" w:rsidR="00EE700C" w:rsidRPr="002753FF" w:rsidRDefault="00C90D1C">
      <w:pPr>
        <w:widowControl w:val="0"/>
        <w:spacing w:line="480" w:lineRule="auto"/>
        <w:ind w:firstLine="720"/>
        <w:rPr>
          <w:sz w:val="22"/>
          <w:szCs w:val="22"/>
        </w:rPr>
      </w:pPr>
      <w:r w:rsidRPr="002753FF">
        <w:rPr>
          <w:sz w:val="22"/>
          <w:szCs w:val="22"/>
        </w:rPr>
        <w:t xml:space="preserve">There are numerous reasons why the potential for interference cannot be sufficiently mitigated by </w:t>
      </w:r>
      <w:r w:rsidR="005C2B41">
        <w:rPr>
          <w:sz w:val="22"/>
          <w:szCs w:val="22"/>
        </w:rPr>
        <w:t xml:space="preserve">an </w:t>
      </w:r>
      <w:r w:rsidRPr="002753FF">
        <w:rPr>
          <w:sz w:val="22"/>
          <w:szCs w:val="22"/>
        </w:rPr>
        <w:t xml:space="preserve">automated frequency coordination (“AFC”) approach, as proposed by the FCC.  AFC is a purely conceptual approach that has not been proven to perform as promised.  The proposed AFC system is based upon false assumptions and inaccurate data about incumbent microwave systems in the band; and it does not account for sources of passive reflection and multipath fading that can increase the potential for interference.  The FCC’s AFC proposal fails to account for the fact that similar spectrum sharing approaches have experienced performance flaws that have led to interference in other bands.  Given that similar failures will occur with the proposed AFC approach, if the FCC goes forward with expanded unlicensed operations in the 6 GHz band, there must be a plan to address interference when the AFC system fails.  Additionally, interference from unlicensed operations is expected to be intermittent, which will make it more difficult to trace and mitigate against.  Moreover, it is unclear whether AFC will be centralized and whether the FCC will provide the enforcement mechanisms needed to enable incumbent licensees to remedy interference that is caused by unlicensed operations.  </w:t>
      </w:r>
    </w:p>
    <w:p w14:paraId="319514B8" w14:textId="2F087B4F" w:rsidR="00EE700C" w:rsidRPr="002753FF" w:rsidRDefault="00C90D1C">
      <w:pPr>
        <w:widowControl w:val="0"/>
        <w:spacing w:line="480" w:lineRule="auto"/>
        <w:ind w:firstLine="720"/>
        <w:rPr>
          <w:sz w:val="22"/>
          <w:szCs w:val="22"/>
        </w:rPr>
      </w:pPr>
      <w:r w:rsidRPr="002753FF">
        <w:rPr>
          <w:sz w:val="22"/>
          <w:szCs w:val="22"/>
        </w:rPr>
        <w:lastRenderedPageBreak/>
        <w:t>If the Commission opens the 6 GHz band for unlicensed operations, it is critical that its rule</w:t>
      </w:r>
      <w:r w:rsidR="005C2B41">
        <w:rPr>
          <w:sz w:val="22"/>
          <w:szCs w:val="22"/>
        </w:rPr>
        <w:t>s</w:t>
      </w:r>
      <w:r w:rsidRPr="002753FF">
        <w:rPr>
          <w:sz w:val="22"/>
          <w:szCs w:val="22"/>
        </w:rPr>
        <w:t xml:space="preserve"> will prevent interference </w:t>
      </w:r>
      <w:r w:rsidRPr="002753FF">
        <w:rPr>
          <w:i/>
          <w:iCs/>
          <w:sz w:val="22"/>
          <w:szCs w:val="22"/>
        </w:rPr>
        <w:t>a priori</w:t>
      </w:r>
      <w:r w:rsidRPr="002753FF">
        <w:rPr>
          <w:sz w:val="22"/>
          <w:szCs w:val="22"/>
        </w:rPr>
        <w:t xml:space="preserve"> rather than rely on </w:t>
      </w:r>
      <w:r w:rsidRPr="002753FF">
        <w:rPr>
          <w:i/>
          <w:iCs/>
          <w:sz w:val="22"/>
          <w:szCs w:val="22"/>
        </w:rPr>
        <w:t>post hoc</w:t>
      </w:r>
      <w:r w:rsidRPr="002753FF">
        <w:rPr>
          <w:sz w:val="22"/>
          <w:szCs w:val="22"/>
        </w:rPr>
        <w:t xml:space="preserve"> remedies that will be far too little too late to correct the consequences of interference to mission-critical communications microwave systems in the band.  The Commission should require unlicensed operations to comply with prior coordination, which has proven to be effective at avoiding interference and has maximized the effective use of the band by microwave systems.  Alternatively, the Commission must correct the underlying flaws in the AFC system, require AFC operators to be certified to comply with the FCC rules, and require unlicensed operators to register devices and provide identifying information to enable incumbent licensees to investigate interference and mitigate against it.  </w:t>
      </w:r>
    </w:p>
    <w:p w14:paraId="3B638F89" w14:textId="77777777" w:rsidR="00EE700C" w:rsidRPr="002753FF" w:rsidRDefault="00C90D1C">
      <w:pPr>
        <w:widowControl w:val="0"/>
        <w:spacing w:line="480" w:lineRule="auto"/>
        <w:ind w:firstLine="720"/>
        <w:rPr>
          <w:sz w:val="22"/>
          <w:szCs w:val="22"/>
        </w:rPr>
        <w:sectPr w:rsidR="00EE700C" w:rsidRPr="002753FF" w:rsidSect="002753FF">
          <w:footerReference w:type="default" r:id="rId10"/>
          <w:pgSz w:w="12240" w:h="15840"/>
          <w:pgMar w:top="1440" w:right="1440" w:bottom="1440" w:left="1440" w:header="708" w:footer="708" w:gutter="0"/>
          <w:pgNumType w:fmt="lowerRoman" w:start="1"/>
          <w:cols w:space="708"/>
        </w:sectPr>
      </w:pPr>
      <w:r w:rsidRPr="002753FF">
        <w:rPr>
          <w:sz w:val="22"/>
          <w:szCs w:val="22"/>
        </w:rPr>
        <w:t>To mitigate against interference, the Commission must also ensure that its rules protect incumbent operations against co-channel and adjacent channel interference from both indoor and outdoor unlicensed operations.  For the Commission to do otherwise raises an unacceptable risk of interference and creates a double standard compared to other parts of the Commission’s rules, which currently protect against co-channel and adjacent channel interference between licensed operations.</w:t>
      </w:r>
    </w:p>
    <w:p w14:paraId="75864C10" w14:textId="77777777" w:rsidR="00EE700C" w:rsidRPr="002753FF" w:rsidRDefault="00C90D1C">
      <w:pPr>
        <w:widowControl w:val="0"/>
        <w:jc w:val="center"/>
        <w:rPr>
          <w:sz w:val="22"/>
          <w:szCs w:val="22"/>
        </w:rPr>
      </w:pPr>
      <w:r w:rsidRPr="002753FF">
        <w:rPr>
          <w:rFonts w:ascii="Times New Roman Bold" w:eastAsia="Times New Roman Bold" w:hAnsi="Times New Roman Bold" w:cs="Times New Roman Bold"/>
          <w:b/>
          <w:bCs/>
          <w:sz w:val="22"/>
          <w:szCs w:val="22"/>
        </w:rPr>
        <w:lastRenderedPageBreak/>
        <w:t>Before</w:t>
      </w:r>
      <w:r w:rsidRPr="002753FF">
        <w:rPr>
          <w:b/>
          <w:bCs/>
          <w:sz w:val="22"/>
          <w:szCs w:val="22"/>
        </w:rPr>
        <w:t xml:space="preserve"> the</w:t>
      </w:r>
    </w:p>
    <w:p w14:paraId="3C210516" w14:textId="77777777" w:rsidR="00EE700C" w:rsidRPr="002753FF" w:rsidRDefault="00C90D1C">
      <w:pPr>
        <w:widowControl w:val="0"/>
        <w:jc w:val="center"/>
        <w:rPr>
          <w:sz w:val="22"/>
          <w:szCs w:val="22"/>
        </w:rPr>
      </w:pPr>
      <w:r w:rsidRPr="002753FF">
        <w:rPr>
          <w:rFonts w:ascii="Times New Roman Bold" w:eastAsia="Times New Roman Bold" w:hAnsi="Times New Roman Bold" w:cs="Times New Roman Bold"/>
          <w:b/>
          <w:bCs/>
          <w:caps/>
          <w:sz w:val="22"/>
          <w:szCs w:val="22"/>
        </w:rPr>
        <w:t>F</w:t>
      </w:r>
      <w:r w:rsidRPr="002753FF">
        <w:rPr>
          <w:rFonts w:ascii="Times New Roman Bold" w:eastAsia="Times New Roman Bold" w:hAnsi="Times New Roman Bold" w:cs="Times New Roman Bold"/>
          <w:b/>
          <w:bCs/>
          <w:sz w:val="22"/>
          <w:szCs w:val="22"/>
        </w:rPr>
        <w:t>ederal Communications Commission</w:t>
      </w:r>
    </w:p>
    <w:p w14:paraId="59CCFFD2" w14:textId="77777777" w:rsidR="00EE700C" w:rsidRPr="002753FF" w:rsidRDefault="00C90D1C">
      <w:pPr>
        <w:widowControl w:val="0"/>
        <w:jc w:val="center"/>
        <w:rPr>
          <w:sz w:val="22"/>
          <w:szCs w:val="22"/>
        </w:rPr>
      </w:pPr>
      <w:r w:rsidRPr="002753FF">
        <w:rPr>
          <w:rFonts w:ascii="Times New Roman Bold" w:eastAsia="Times New Roman Bold" w:hAnsi="Times New Roman Bold" w:cs="Times New Roman Bold"/>
          <w:b/>
          <w:bCs/>
          <w:sz w:val="22"/>
          <w:szCs w:val="22"/>
        </w:rPr>
        <w:t>Washington, D.C. 20554</w:t>
      </w:r>
    </w:p>
    <w:p w14:paraId="287F0B89" w14:textId="77777777" w:rsidR="00EE700C" w:rsidRPr="002753FF" w:rsidRDefault="00EE700C">
      <w:pPr>
        <w:widowControl w:val="0"/>
        <w:rPr>
          <w:sz w:val="22"/>
          <w:szCs w:val="22"/>
        </w:rPr>
      </w:pPr>
    </w:p>
    <w:tbl>
      <w:tblPr>
        <w:tblW w:w="0" w:type="auto"/>
        <w:tblInd w:w="231" w:type="dxa"/>
        <w:tblCellMar>
          <w:left w:w="0" w:type="dxa"/>
          <w:right w:w="0" w:type="dxa"/>
        </w:tblCellMar>
        <w:tblLook w:val="04A0" w:firstRow="1" w:lastRow="0" w:firstColumn="1" w:lastColumn="0" w:noHBand="0" w:noVBand="1"/>
      </w:tblPr>
      <w:tblGrid>
        <w:gridCol w:w="4482"/>
        <w:gridCol w:w="610"/>
        <w:gridCol w:w="4037"/>
      </w:tblGrid>
      <w:tr w:rsidR="002753FF" w:rsidRPr="002753FF" w14:paraId="5F80226A" w14:textId="77777777">
        <w:tc>
          <w:tcPr>
            <w:tcW w:w="4539" w:type="dxa"/>
            <w:tcMar>
              <w:top w:w="10" w:type="dxa"/>
              <w:left w:w="118" w:type="dxa"/>
              <w:bottom w:w="10" w:type="dxa"/>
              <w:right w:w="118" w:type="dxa"/>
            </w:tcMar>
            <w:hideMark/>
          </w:tcPr>
          <w:p w14:paraId="2CEA3DFE" w14:textId="77777777" w:rsidR="00EE700C" w:rsidRPr="002753FF" w:rsidRDefault="00C90D1C">
            <w:pPr>
              <w:widowControl w:val="0"/>
              <w:rPr>
                <w:sz w:val="22"/>
                <w:szCs w:val="22"/>
              </w:rPr>
            </w:pPr>
            <w:r w:rsidRPr="002753FF">
              <w:rPr>
                <w:sz w:val="22"/>
                <w:szCs w:val="22"/>
              </w:rPr>
              <w:t>In the Matter of</w:t>
            </w:r>
          </w:p>
          <w:p w14:paraId="31590E18" w14:textId="77777777" w:rsidR="00EE700C" w:rsidRPr="002753FF" w:rsidRDefault="00EE700C">
            <w:pPr>
              <w:widowControl w:val="0"/>
              <w:rPr>
                <w:sz w:val="22"/>
                <w:szCs w:val="22"/>
              </w:rPr>
            </w:pPr>
          </w:p>
          <w:p w14:paraId="407E79DF" w14:textId="77777777" w:rsidR="00EE700C" w:rsidRPr="002753FF" w:rsidRDefault="00C90D1C">
            <w:pPr>
              <w:widowControl w:val="0"/>
              <w:rPr>
                <w:sz w:val="22"/>
                <w:szCs w:val="22"/>
              </w:rPr>
            </w:pPr>
            <w:r w:rsidRPr="002753FF">
              <w:rPr>
                <w:sz w:val="22"/>
                <w:szCs w:val="22"/>
              </w:rPr>
              <w:t>Unlicensed Use of the 6 GHz Band</w:t>
            </w:r>
          </w:p>
          <w:p w14:paraId="4F1640F8" w14:textId="77777777" w:rsidR="00EE700C" w:rsidRPr="002753FF" w:rsidRDefault="00EE700C">
            <w:pPr>
              <w:widowControl w:val="0"/>
              <w:rPr>
                <w:sz w:val="22"/>
                <w:szCs w:val="22"/>
              </w:rPr>
            </w:pPr>
          </w:p>
          <w:p w14:paraId="23C74595" w14:textId="77777777" w:rsidR="00EE700C" w:rsidRPr="002753FF" w:rsidRDefault="00C90D1C">
            <w:pPr>
              <w:widowControl w:val="0"/>
              <w:rPr>
                <w:sz w:val="22"/>
                <w:szCs w:val="22"/>
              </w:rPr>
            </w:pPr>
            <w:r w:rsidRPr="002753FF">
              <w:rPr>
                <w:sz w:val="22"/>
                <w:szCs w:val="22"/>
              </w:rPr>
              <w:t xml:space="preserve">Expanding Flexible Use in Mid-Band Spectrum Between 3.7 and 24 GHz </w:t>
            </w:r>
          </w:p>
          <w:p w14:paraId="2EC536A7" w14:textId="77777777" w:rsidR="00EE700C" w:rsidRPr="002753FF" w:rsidRDefault="00EE700C">
            <w:pPr>
              <w:widowControl w:val="0"/>
              <w:rPr>
                <w:sz w:val="22"/>
                <w:szCs w:val="22"/>
              </w:rPr>
            </w:pPr>
          </w:p>
          <w:p w14:paraId="5ECE701F" w14:textId="77777777" w:rsidR="00EE700C" w:rsidRPr="002753FF" w:rsidRDefault="00EE700C">
            <w:pPr>
              <w:widowControl w:val="0"/>
              <w:rPr>
                <w:sz w:val="22"/>
                <w:szCs w:val="22"/>
              </w:rPr>
            </w:pPr>
          </w:p>
        </w:tc>
        <w:tc>
          <w:tcPr>
            <w:tcW w:w="615" w:type="dxa"/>
            <w:tcMar>
              <w:top w:w="10" w:type="dxa"/>
              <w:left w:w="118" w:type="dxa"/>
              <w:bottom w:w="10" w:type="dxa"/>
              <w:right w:w="118" w:type="dxa"/>
            </w:tcMar>
            <w:hideMark/>
          </w:tcPr>
          <w:p w14:paraId="30B02BBB" w14:textId="77777777" w:rsidR="00EE700C" w:rsidRPr="002753FF" w:rsidRDefault="00C90D1C">
            <w:pPr>
              <w:widowControl w:val="0"/>
              <w:rPr>
                <w:sz w:val="22"/>
                <w:szCs w:val="22"/>
              </w:rPr>
            </w:pPr>
            <w:r w:rsidRPr="002753FF">
              <w:rPr>
                <w:b/>
                <w:bCs/>
                <w:sz w:val="22"/>
                <w:szCs w:val="22"/>
              </w:rPr>
              <w:t>)</w:t>
            </w:r>
          </w:p>
          <w:p w14:paraId="718A6FEF" w14:textId="77777777" w:rsidR="00EE700C" w:rsidRPr="002753FF" w:rsidRDefault="00C90D1C">
            <w:pPr>
              <w:widowControl w:val="0"/>
              <w:rPr>
                <w:sz w:val="22"/>
                <w:szCs w:val="22"/>
              </w:rPr>
            </w:pPr>
            <w:r w:rsidRPr="002753FF">
              <w:rPr>
                <w:b/>
                <w:bCs/>
                <w:sz w:val="22"/>
                <w:szCs w:val="22"/>
              </w:rPr>
              <w:t>)</w:t>
            </w:r>
          </w:p>
          <w:p w14:paraId="66F51D35" w14:textId="77777777" w:rsidR="00EE700C" w:rsidRPr="002753FF" w:rsidRDefault="00C90D1C">
            <w:pPr>
              <w:widowControl w:val="0"/>
              <w:rPr>
                <w:sz w:val="22"/>
                <w:szCs w:val="22"/>
              </w:rPr>
            </w:pPr>
            <w:r w:rsidRPr="002753FF">
              <w:rPr>
                <w:b/>
                <w:bCs/>
                <w:sz w:val="22"/>
                <w:szCs w:val="22"/>
              </w:rPr>
              <w:t>)</w:t>
            </w:r>
          </w:p>
          <w:p w14:paraId="646E5DFB" w14:textId="77777777" w:rsidR="00EE700C" w:rsidRPr="002753FF" w:rsidRDefault="00C90D1C">
            <w:pPr>
              <w:widowControl w:val="0"/>
              <w:rPr>
                <w:sz w:val="22"/>
                <w:szCs w:val="22"/>
              </w:rPr>
            </w:pPr>
            <w:r w:rsidRPr="002753FF">
              <w:rPr>
                <w:b/>
                <w:bCs/>
                <w:sz w:val="22"/>
                <w:szCs w:val="22"/>
              </w:rPr>
              <w:t>)</w:t>
            </w:r>
          </w:p>
          <w:p w14:paraId="79185D51" w14:textId="77777777" w:rsidR="00EE700C" w:rsidRPr="002753FF" w:rsidRDefault="00C90D1C">
            <w:pPr>
              <w:widowControl w:val="0"/>
              <w:rPr>
                <w:sz w:val="22"/>
                <w:szCs w:val="22"/>
              </w:rPr>
            </w:pPr>
            <w:r w:rsidRPr="002753FF">
              <w:rPr>
                <w:b/>
                <w:bCs/>
                <w:sz w:val="22"/>
                <w:szCs w:val="22"/>
              </w:rPr>
              <w:t>)</w:t>
            </w:r>
          </w:p>
          <w:p w14:paraId="36C0E549" w14:textId="77777777" w:rsidR="00EE700C" w:rsidRPr="002753FF" w:rsidRDefault="00C90D1C">
            <w:pPr>
              <w:widowControl w:val="0"/>
              <w:rPr>
                <w:sz w:val="22"/>
                <w:szCs w:val="22"/>
              </w:rPr>
            </w:pPr>
            <w:r w:rsidRPr="002753FF">
              <w:rPr>
                <w:b/>
                <w:bCs/>
                <w:sz w:val="22"/>
                <w:szCs w:val="22"/>
              </w:rPr>
              <w:t>)</w:t>
            </w:r>
          </w:p>
          <w:p w14:paraId="2128FAE9" w14:textId="77777777" w:rsidR="00EE700C" w:rsidRPr="002753FF" w:rsidRDefault="00EE700C">
            <w:pPr>
              <w:widowControl w:val="0"/>
              <w:rPr>
                <w:sz w:val="22"/>
                <w:szCs w:val="22"/>
              </w:rPr>
            </w:pPr>
          </w:p>
        </w:tc>
        <w:tc>
          <w:tcPr>
            <w:tcW w:w="4093" w:type="dxa"/>
            <w:tcMar>
              <w:top w:w="10" w:type="dxa"/>
              <w:left w:w="118" w:type="dxa"/>
              <w:bottom w:w="10" w:type="dxa"/>
              <w:right w:w="118" w:type="dxa"/>
            </w:tcMar>
            <w:hideMark/>
          </w:tcPr>
          <w:p w14:paraId="3C2E8ADF" w14:textId="77777777" w:rsidR="00EE700C" w:rsidRPr="002753FF" w:rsidRDefault="00EE700C">
            <w:pPr>
              <w:widowControl w:val="0"/>
              <w:rPr>
                <w:sz w:val="22"/>
                <w:szCs w:val="22"/>
              </w:rPr>
            </w:pPr>
          </w:p>
          <w:p w14:paraId="609258C3" w14:textId="77777777" w:rsidR="00EE700C" w:rsidRPr="002753FF" w:rsidRDefault="00EE700C">
            <w:pPr>
              <w:widowControl w:val="0"/>
              <w:rPr>
                <w:sz w:val="22"/>
                <w:szCs w:val="22"/>
              </w:rPr>
            </w:pPr>
          </w:p>
          <w:p w14:paraId="6964232E" w14:textId="77777777" w:rsidR="00EE700C" w:rsidRPr="002753FF" w:rsidRDefault="00C90D1C">
            <w:pPr>
              <w:widowControl w:val="0"/>
              <w:rPr>
                <w:sz w:val="22"/>
                <w:szCs w:val="22"/>
              </w:rPr>
            </w:pPr>
            <w:r w:rsidRPr="002753FF">
              <w:rPr>
                <w:sz w:val="22"/>
                <w:szCs w:val="22"/>
              </w:rPr>
              <w:t>ET Docket No. 18-295</w:t>
            </w:r>
          </w:p>
          <w:p w14:paraId="41A67C98" w14:textId="77777777" w:rsidR="00EE700C" w:rsidRPr="002753FF" w:rsidRDefault="00EE700C">
            <w:pPr>
              <w:widowControl w:val="0"/>
              <w:rPr>
                <w:sz w:val="22"/>
                <w:szCs w:val="22"/>
              </w:rPr>
            </w:pPr>
          </w:p>
          <w:p w14:paraId="2B06A7BD" w14:textId="77777777" w:rsidR="00EE700C" w:rsidRPr="002753FF" w:rsidRDefault="00C90D1C">
            <w:pPr>
              <w:widowControl w:val="0"/>
              <w:rPr>
                <w:sz w:val="22"/>
                <w:szCs w:val="22"/>
              </w:rPr>
            </w:pPr>
            <w:r w:rsidRPr="002753FF">
              <w:rPr>
                <w:sz w:val="22"/>
                <w:szCs w:val="22"/>
              </w:rPr>
              <w:t xml:space="preserve">GN Docket No. 17-183 </w:t>
            </w:r>
            <w:r w:rsidRPr="002753FF">
              <w:rPr>
                <w:sz w:val="22"/>
                <w:szCs w:val="22"/>
              </w:rPr>
              <w:br/>
            </w:r>
          </w:p>
          <w:p w14:paraId="395DD34E" w14:textId="77777777" w:rsidR="00EE700C" w:rsidRPr="002753FF" w:rsidRDefault="00EE700C">
            <w:pPr>
              <w:widowControl w:val="0"/>
              <w:rPr>
                <w:sz w:val="22"/>
                <w:szCs w:val="22"/>
              </w:rPr>
            </w:pPr>
          </w:p>
        </w:tc>
      </w:tr>
    </w:tbl>
    <w:p w14:paraId="51B5167F" w14:textId="09B7876B" w:rsidR="00EE700C" w:rsidRPr="002753FF" w:rsidRDefault="00C90D1C">
      <w:pPr>
        <w:widowControl w:val="0"/>
        <w:jc w:val="center"/>
        <w:rPr>
          <w:sz w:val="22"/>
          <w:szCs w:val="22"/>
        </w:rPr>
      </w:pPr>
      <w:r w:rsidRPr="002753FF">
        <w:rPr>
          <w:b/>
          <w:bCs/>
          <w:sz w:val="22"/>
          <w:szCs w:val="22"/>
        </w:rPr>
        <w:t>COMMENTS OF THE UTILITIES TECHNOLOGY COUNCIL, THE EDISON ELECTRIC INSTITUTE, THE AMERICAN PUBLIC POWER ASSOCIATION, THE NATIONAL RURAL ELECTRIC COOPERATIVE ASSOCIATION</w:t>
      </w:r>
      <w:r w:rsidR="002753FF">
        <w:rPr>
          <w:b/>
          <w:bCs/>
          <w:sz w:val="22"/>
          <w:szCs w:val="22"/>
        </w:rPr>
        <w:t>,</w:t>
      </w:r>
      <w:r w:rsidRPr="002753FF">
        <w:rPr>
          <w:b/>
          <w:bCs/>
          <w:sz w:val="22"/>
          <w:szCs w:val="22"/>
        </w:rPr>
        <w:t xml:space="preserve"> THE AMERICAN PETROLEUM INSTITUTE AND THE AMERICAN WATER WORKS ASSOCIATION</w:t>
      </w:r>
    </w:p>
    <w:p w14:paraId="2B2CE5BF" w14:textId="77777777" w:rsidR="00EE700C" w:rsidRPr="002753FF" w:rsidRDefault="00EE700C">
      <w:pPr>
        <w:widowControl w:val="0"/>
        <w:jc w:val="center"/>
        <w:rPr>
          <w:sz w:val="22"/>
          <w:szCs w:val="22"/>
        </w:rPr>
      </w:pPr>
    </w:p>
    <w:p w14:paraId="7476A188" w14:textId="77777777" w:rsidR="00EE700C" w:rsidRPr="002753FF" w:rsidRDefault="00EE700C">
      <w:pPr>
        <w:widowControl w:val="0"/>
        <w:jc w:val="center"/>
        <w:rPr>
          <w:sz w:val="22"/>
          <w:szCs w:val="22"/>
        </w:rPr>
      </w:pPr>
    </w:p>
    <w:p w14:paraId="061FD3BF" w14:textId="0E5DBE15" w:rsidR="00EE700C" w:rsidRPr="002753FF" w:rsidRDefault="00C90D1C">
      <w:pPr>
        <w:widowControl w:val="0"/>
        <w:spacing w:line="480" w:lineRule="auto"/>
        <w:ind w:firstLine="720"/>
        <w:rPr>
          <w:sz w:val="22"/>
          <w:szCs w:val="22"/>
        </w:rPr>
      </w:pPr>
      <w:r w:rsidRPr="002753FF">
        <w:rPr>
          <w:sz w:val="22"/>
          <w:szCs w:val="22"/>
        </w:rPr>
        <w:t>The Utilities Technology Council (UTC), the Edison Electric Institute (EEI), the American Public Power Association (APPA), the National Rural Electric Cooperative Association (NRECA) the American Petroleum Institute (API), and the American Water Works Association (AWWA) hereby file the following comments in response to the Commission’s Notice of Proposed Rulemaking (</w:t>
      </w:r>
      <w:r w:rsidRPr="002753FF">
        <w:rPr>
          <w:i/>
          <w:iCs/>
          <w:sz w:val="22"/>
          <w:szCs w:val="22"/>
        </w:rPr>
        <w:t>NPRM</w:t>
      </w:r>
      <w:r w:rsidRPr="002753FF">
        <w:rPr>
          <w:sz w:val="22"/>
          <w:szCs w:val="22"/>
        </w:rPr>
        <w:t>) in the above-referenced proceeding.</w:t>
      </w:r>
      <w:r w:rsidRPr="002753FF">
        <w:rPr>
          <w:sz w:val="20"/>
          <w:szCs w:val="20"/>
          <w:vertAlign w:val="superscript"/>
        </w:rPr>
        <w:footnoteReference w:id="1"/>
      </w:r>
      <w:r w:rsidRPr="002753FF">
        <w:rPr>
          <w:sz w:val="22"/>
          <w:szCs w:val="22"/>
        </w:rPr>
        <w:t xml:space="preserve">   UTC, EEI, API, APPA, NRECA, and AWWA oppose the proposal to expand the 6 GHz band to include unlicensed operations, which threatens to cause harmful interference to microwave systems that electric companies and other critical infrastructure industries (“CII”) use to ensure the safe, reliable and secure delivery of essential energy and water services.  As described in more detail herein, the potential for radio frequency (“RF”) interference is unreasonably high.  Moreover, the probability of the risk of RF interference to microwave systems cannot be sufficiently mitigated and the proposed rules do not provide </w:t>
      </w:r>
      <w:r w:rsidR="00683D18" w:rsidRPr="002753FF">
        <w:rPr>
          <w:sz w:val="22"/>
          <w:szCs w:val="22"/>
        </w:rPr>
        <w:t xml:space="preserve">electric companies </w:t>
      </w:r>
      <w:r w:rsidRPr="002753FF">
        <w:rPr>
          <w:sz w:val="22"/>
          <w:szCs w:val="22"/>
        </w:rPr>
        <w:t xml:space="preserve">and other incumbent microwave licensees with the capability to investigate and resolve instances of interference that might occur.  Given that the magnitude of the risk of RF interference is high, essential services including mobile device data backhaul and other electric, oil, and gas applications that depend on these microwave systems will become less reliable.  Finally, it must be recognized that electric companies and CII lack reasonable alternatives to using the 6 </w:t>
      </w:r>
      <w:r w:rsidRPr="002753FF">
        <w:rPr>
          <w:sz w:val="22"/>
          <w:szCs w:val="22"/>
        </w:rPr>
        <w:lastRenderedPageBreak/>
        <w:t>GHz band, which is uniquely suitable for ensuring cost-effective communications reliability under rain-fade and other naturally occurring conditions.</w:t>
      </w:r>
      <w:r w:rsidRPr="002753FF">
        <w:rPr>
          <w:sz w:val="22"/>
          <w:szCs w:val="22"/>
          <w:vertAlign w:val="superscript"/>
        </w:rPr>
        <w:footnoteReference w:id="2"/>
      </w:r>
      <w:r w:rsidRPr="002753FF">
        <w:rPr>
          <w:sz w:val="22"/>
          <w:szCs w:val="22"/>
        </w:rPr>
        <w:t xml:space="preserve">  </w:t>
      </w:r>
    </w:p>
    <w:p w14:paraId="79E873F5" w14:textId="2FAD9B20" w:rsidR="00EE700C" w:rsidRPr="002753FF" w:rsidRDefault="00C90D1C">
      <w:pPr>
        <w:widowControl w:val="0"/>
        <w:spacing w:line="480" w:lineRule="auto"/>
        <w:ind w:firstLine="720"/>
        <w:rPr>
          <w:sz w:val="22"/>
          <w:szCs w:val="22"/>
        </w:rPr>
      </w:pPr>
      <w:r w:rsidRPr="002753FF">
        <w:rPr>
          <w:sz w:val="22"/>
          <w:szCs w:val="22"/>
        </w:rPr>
        <w:t>As UTC, EEI, NRECA, APPA, API and AWWA as well as many other CII users have previously explained to the Commission in comments on the record, the 6 GHz band – including the U-NII 5 and 7 bands at 5.925-6.425 GHz (U-NII-5) and 6.525-6.875 GHz (U-NII-7) – are heavily used by electric companies and other CII.</w:t>
      </w:r>
      <w:r w:rsidRPr="002753FF">
        <w:rPr>
          <w:sz w:val="20"/>
          <w:szCs w:val="20"/>
          <w:vertAlign w:val="superscript"/>
        </w:rPr>
        <w:footnoteReference w:id="3"/>
      </w:r>
      <w:r w:rsidRPr="002753FF">
        <w:rPr>
          <w:sz w:val="22"/>
          <w:szCs w:val="22"/>
        </w:rPr>
        <w:t xml:space="preserve">  Electric companies and CII entities are extremely concerned about the potential for interference from unlicensed operations in the band, because they rely on the 6 GHz band for mission-critical communications.</w:t>
      </w:r>
      <w:r w:rsidRPr="002753FF">
        <w:rPr>
          <w:sz w:val="20"/>
          <w:szCs w:val="20"/>
          <w:vertAlign w:val="superscript"/>
        </w:rPr>
        <w:footnoteReference w:id="4"/>
      </w:r>
      <w:r w:rsidRPr="002753FF">
        <w:rPr>
          <w:sz w:val="22"/>
          <w:szCs w:val="22"/>
        </w:rPr>
        <w:t xml:space="preserve">  Specifically, electric companies use the 6 GHz for supervisory control and data acquisition (“SCADA”) and teleprotection systems that monitor and control the balance of power on the grid, which must operate constantly in near real-time to avoid system instability and power disruptions.  Similarly, gas and water utilities use the 6 GHz band to monitor sensors and control valves to safely and effectively deliver essential energy and water services.  Moreover, oil and gas operations and electric companies use the 6 GHz band as the backbone for their communications networks, providing high-capacity data and voice all across their service territories – including rural and urbanized areas.  Usually, this is due to the lack of land-based telecommunications infrastructure, which becomes </w:t>
      </w:r>
      <w:r w:rsidRPr="002753FF">
        <w:rPr>
          <w:sz w:val="22"/>
          <w:szCs w:val="22"/>
        </w:rPr>
        <w:lastRenderedPageBreak/>
        <w:t xml:space="preserve">not only a concern for electric companies and CII, but also for cellular and other wireless operators.  Given wide recognition that these 6 GHz systems are highly important to supporting critical infrastructure, these networks are carefully coordinated to optimize their operations to avoid causing or suffering harmful interference.  Negating this careful coordination by adding the potential of interference from unlicensed operations would fundamentally alter the basis upon which these systems are designed and undermine their reliability. </w:t>
      </w:r>
    </w:p>
    <w:p w14:paraId="6C8B0288" w14:textId="77777777" w:rsidR="00EE700C" w:rsidRPr="002753FF" w:rsidRDefault="00C90D1C">
      <w:pPr>
        <w:pStyle w:val="Heading1"/>
        <w:spacing w:before="0" w:after="240"/>
        <w:ind w:left="720" w:hanging="360"/>
      </w:pPr>
      <w:r w:rsidRPr="002753FF">
        <w:rPr>
          <w:rFonts w:ascii="Times New Roman Bold" w:eastAsia="Times New Roman Bold" w:hAnsi="Times New Roman Bold" w:cs="Times New Roman Bold"/>
          <w:sz w:val="24"/>
          <w:szCs w:val="24"/>
        </w:rPr>
        <w:t>I.</w:t>
      </w:r>
      <w:r w:rsidRPr="002753FF">
        <w:rPr>
          <w:b w:val="0"/>
          <w:bCs w:val="0"/>
          <w:sz w:val="14"/>
          <w:szCs w:val="14"/>
        </w:rPr>
        <w:t xml:space="preserve">       </w:t>
      </w:r>
      <w:bookmarkStart w:id="5" w:name="_Toc768870"/>
      <w:bookmarkStart w:id="6" w:name="_Toc1065074"/>
      <w:r w:rsidRPr="002753FF">
        <w:rPr>
          <w:rFonts w:ascii="Times New Roman Bold" w:eastAsia="Times New Roman Bold" w:hAnsi="Times New Roman Bold" w:cs="Times New Roman Bold"/>
          <w:sz w:val="24"/>
          <w:szCs w:val="24"/>
        </w:rPr>
        <w:t>Introduction and Description of CII Microwave Systems</w:t>
      </w:r>
      <w:bookmarkEnd w:id="5"/>
      <w:bookmarkEnd w:id="6"/>
    </w:p>
    <w:p w14:paraId="2BECFFBD" w14:textId="77777777" w:rsidR="00EE700C" w:rsidRPr="002753FF" w:rsidRDefault="00C90D1C">
      <w:pPr>
        <w:pStyle w:val="Heading1"/>
        <w:spacing w:before="0" w:after="240"/>
        <w:ind w:left="720" w:hanging="360"/>
      </w:pPr>
      <w:r w:rsidRPr="002753FF">
        <w:rPr>
          <w:rFonts w:ascii="Times New Roman Bold" w:eastAsia="Times New Roman Bold" w:hAnsi="Times New Roman Bold" w:cs="Times New Roman Bold"/>
          <w:sz w:val="24"/>
          <w:szCs w:val="24"/>
        </w:rPr>
        <w:t>A.</w:t>
      </w:r>
      <w:r w:rsidRPr="002753FF">
        <w:rPr>
          <w:b w:val="0"/>
          <w:bCs w:val="0"/>
          <w:sz w:val="14"/>
          <w:szCs w:val="14"/>
        </w:rPr>
        <w:t xml:space="preserve">    </w:t>
      </w:r>
      <w:bookmarkStart w:id="7" w:name="_Toc1062845"/>
      <w:bookmarkStart w:id="8" w:name="_Toc1064970"/>
      <w:bookmarkStart w:id="9" w:name="_Toc1065008"/>
      <w:bookmarkStart w:id="10" w:name="_Toc1065075"/>
      <w:bookmarkStart w:id="11" w:name="_Toc1065076"/>
      <w:bookmarkEnd w:id="7"/>
      <w:bookmarkEnd w:id="8"/>
      <w:bookmarkEnd w:id="9"/>
      <w:bookmarkEnd w:id="10"/>
      <w:r w:rsidRPr="002753FF">
        <w:rPr>
          <w:rFonts w:ascii="Times New Roman Bold" w:eastAsia="Times New Roman Bold" w:hAnsi="Times New Roman Bold" w:cs="Times New Roman Bold"/>
          <w:sz w:val="24"/>
          <w:szCs w:val="24"/>
        </w:rPr>
        <w:t>The 6 GHz band is uniquely suited for electric companies and CII bandwidth needs for point-to-point communications.</w:t>
      </w:r>
      <w:bookmarkEnd w:id="11"/>
      <w:r w:rsidRPr="002753FF">
        <w:rPr>
          <w:rFonts w:ascii="Times New Roman Bold" w:eastAsia="Times New Roman Bold" w:hAnsi="Times New Roman Bold" w:cs="Times New Roman Bold"/>
          <w:sz w:val="24"/>
          <w:szCs w:val="24"/>
        </w:rPr>
        <w:t xml:space="preserve"> </w:t>
      </w:r>
    </w:p>
    <w:p w14:paraId="3E1BB187" w14:textId="7C88D362" w:rsidR="00EE700C" w:rsidRPr="002753FF" w:rsidRDefault="00C90D1C">
      <w:pPr>
        <w:widowControl w:val="0"/>
        <w:spacing w:line="480" w:lineRule="auto"/>
        <w:ind w:firstLine="720"/>
        <w:rPr>
          <w:sz w:val="22"/>
          <w:szCs w:val="22"/>
        </w:rPr>
      </w:pPr>
      <w:r w:rsidRPr="002753FF">
        <w:rPr>
          <w:sz w:val="22"/>
          <w:szCs w:val="22"/>
        </w:rPr>
        <w:t>Collectively, electric companies, oil and gas, and other CII represent an enhanced use case among incumbent operations in the 6 GHz band.  Attached to these comments is a whitepaper that describes in detail how electric companies use communications to support their operations and explains how unlicensed operations in the 6 GHz band would compromise the design parameters of their networks and the underlying reliability requirements.</w:t>
      </w:r>
      <w:r w:rsidRPr="002753FF">
        <w:rPr>
          <w:sz w:val="20"/>
          <w:szCs w:val="20"/>
          <w:vertAlign w:val="superscript"/>
        </w:rPr>
        <w:footnoteReference w:id="5"/>
      </w:r>
      <w:r w:rsidRPr="002753FF">
        <w:rPr>
          <w:sz w:val="22"/>
          <w:szCs w:val="22"/>
        </w:rPr>
        <w:t xml:space="preserve">  In summary, the whitepaper describes how electric companies and other CII rely on telecommunications systems to support the safe, reliable and secure delivery of essential services, particularly electric power.  These networks are used to provide mission-critical command-and-control applications to manage the grid, including SCADA and teleprotection.  These highly complex systems collect data from devices on the grid and process that information for operators to control operations from remote locations or for the devices themselves to automatically respond to faults on the grid that can cause outages as well as accidents.  These systems are designed for Five 9’s of reliability and availability.</w:t>
      </w:r>
      <w:r w:rsidRPr="002753FF">
        <w:rPr>
          <w:sz w:val="20"/>
          <w:szCs w:val="20"/>
          <w:vertAlign w:val="superscript"/>
        </w:rPr>
        <w:footnoteReference w:id="6"/>
      </w:r>
      <w:r w:rsidRPr="002753FF">
        <w:rPr>
          <w:sz w:val="22"/>
          <w:szCs w:val="22"/>
        </w:rPr>
        <w:t xml:space="preserve">  Moreover, there are increasing demands being placed on these systems in terms of capacity and coverage as more and more devices are deployed, and the underlying applications </w:t>
      </w:r>
      <w:r w:rsidRPr="002753FF">
        <w:rPr>
          <w:sz w:val="22"/>
          <w:szCs w:val="22"/>
        </w:rPr>
        <w:lastRenderedPageBreak/>
        <w:t>become more bandwidth intensive.</w:t>
      </w:r>
      <w:r w:rsidRPr="002753FF">
        <w:rPr>
          <w:sz w:val="20"/>
          <w:szCs w:val="20"/>
          <w:vertAlign w:val="superscript"/>
        </w:rPr>
        <w:footnoteReference w:id="7"/>
      </w:r>
      <w:r w:rsidRPr="002753FF">
        <w:rPr>
          <w:sz w:val="22"/>
          <w:szCs w:val="22"/>
        </w:rPr>
        <w:t xml:space="preserve">  One of the reasons that electric companies require high reliability is the extremely low latency with which teleprotection systems must respond to isolate an outage.</w:t>
      </w:r>
      <w:r w:rsidRPr="002753FF">
        <w:rPr>
          <w:sz w:val="20"/>
          <w:szCs w:val="20"/>
          <w:vertAlign w:val="superscript"/>
        </w:rPr>
        <w:footnoteReference w:id="8"/>
      </w:r>
      <w:r w:rsidRPr="002753FF">
        <w:rPr>
          <w:sz w:val="22"/>
          <w:szCs w:val="22"/>
        </w:rPr>
        <w:t xml:space="preserve">  If interference prevents these teleprotection systems from operating within milliseconds, it could result in a widespread outage.    </w:t>
      </w:r>
      <w:r w:rsidR="00F323F9" w:rsidRPr="002753FF">
        <w:rPr>
          <w:sz w:val="22"/>
          <w:szCs w:val="22"/>
        </w:rPr>
        <w:t>Moreover</w:t>
      </w:r>
      <w:r w:rsidRPr="002753FF">
        <w:rPr>
          <w:sz w:val="22"/>
          <w:szCs w:val="22"/>
        </w:rPr>
        <w:t>, the duration of the impact from interference could be exacerbated by causing the microwave link to go into a “flapping state” and/or requiring the links to resynchronize with each other.</w:t>
      </w:r>
      <w:r w:rsidRPr="002753FF">
        <w:rPr>
          <w:sz w:val="20"/>
          <w:szCs w:val="20"/>
          <w:vertAlign w:val="superscript"/>
        </w:rPr>
        <w:footnoteReference w:id="9"/>
      </w:r>
      <w:r w:rsidRPr="002753FF">
        <w:rPr>
          <w:sz w:val="22"/>
          <w:szCs w:val="22"/>
        </w:rPr>
        <w:t xml:space="preserve">  Accordingly, the whitepaper concludes that the proposal to permit unlicensed operations in the 6 GHz band could have profound impacts on the reliability of electric company and CII communications networks in the band, which, in turn, will also threaten grid reliability and the public interest.</w:t>
      </w:r>
      <w:r w:rsidRPr="002753FF">
        <w:rPr>
          <w:sz w:val="20"/>
          <w:szCs w:val="20"/>
          <w:vertAlign w:val="superscript"/>
        </w:rPr>
        <w:footnoteReference w:id="10"/>
      </w:r>
      <w:r w:rsidRPr="002753FF">
        <w:rPr>
          <w:sz w:val="22"/>
          <w:szCs w:val="22"/>
        </w:rPr>
        <w:t xml:space="preserve">  </w:t>
      </w:r>
    </w:p>
    <w:p w14:paraId="7EC281A9" w14:textId="77777777" w:rsidR="00EE700C" w:rsidRPr="002753FF" w:rsidRDefault="00C90D1C">
      <w:pPr>
        <w:pStyle w:val="Heading1"/>
        <w:spacing w:before="0" w:after="240"/>
        <w:ind w:left="720" w:hanging="360"/>
      </w:pPr>
      <w:r w:rsidRPr="002753FF">
        <w:rPr>
          <w:rFonts w:ascii="Times New Roman Bold" w:eastAsia="Times New Roman Bold" w:hAnsi="Times New Roman Bold" w:cs="Times New Roman Bold"/>
          <w:sz w:val="24"/>
          <w:szCs w:val="24"/>
        </w:rPr>
        <w:t>B.</w:t>
      </w:r>
      <w:r w:rsidRPr="002753FF">
        <w:rPr>
          <w:b w:val="0"/>
          <w:bCs w:val="0"/>
          <w:sz w:val="14"/>
          <w:szCs w:val="14"/>
        </w:rPr>
        <w:t xml:space="preserve">     </w:t>
      </w:r>
      <w:bookmarkStart w:id="12" w:name="_Toc1065077"/>
      <w:r w:rsidRPr="002753FF">
        <w:rPr>
          <w:rFonts w:ascii="Times New Roman Bold" w:eastAsia="Times New Roman Bold" w:hAnsi="Times New Roman Bold" w:cs="Times New Roman Bold"/>
          <w:sz w:val="24"/>
          <w:szCs w:val="24"/>
        </w:rPr>
        <w:t>Electric companies and CII lack alternatives to operating in the 6 GHz band.</w:t>
      </w:r>
      <w:bookmarkEnd w:id="12"/>
      <w:r w:rsidRPr="002753FF">
        <w:rPr>
          <w:rFonts w:ascii="Times New Roman Bold" w:eastAsia="Times New Roman Bold" w:hAnsi="Times New Roman Bold" w:cs="Times New Roman Bold"/>
          <w:sz w:val="24"/>
          <w:szCs w:val="24"/>
        </w:rPr>
        <w:t xml:space="preserve"> </w:t>
      </w:r>
    </w:p>
    <w:p w14:paraId="06F534CC" w14:textId="28225D66" w:rsidR="00EE700C" w:rsidRPr="002753FF" w:rsidRDefault="00C90D1C">
      <w:pPr>
        <w:widowControl w:val="0"/>
        <w:spacing w:line="480" w:lineRule="auto"/>
        <w:ind w:firstLine="720"/>
        <w:rPr>
          <w:sz w:val="22"/>
          <w:szCs w:val="22"/>
        </w:rPr>
      </w:pPr>
      <w:r w:rsidRPr="002753FF">
        <w:rPr>
          <w:sz w:val="22"/>
          <w:szCs w:val="22"/>
        </w:rPr>
        <w:t xml:space="preserve">Electric companies and CII lack reasonable alternatives to using the 6 GHz band.  The 6 GHz band uniquely provides favorable propagation characteristics for reasonable path distances, lower rain fade, and better reliability than other spectrum bands, such as the 8 GHz or 11 GHz bands.  Electric companies and CII could not simply migrate their operations to these other spectrum bands; it would require significant reengineering of their microwave links or adding more link segments to make up for shorter propagation distances.  As a practical matter, it may not be possible to construct additional sites for additional microwave links in these other spectrum bands, owing to the difficulty associated with local zoning and permitting, as well as environmental requirements.  Even if a site could be acquired and constructed, the cost of the additional sites would be substantial and, in many cases, prohibitive.  While fiber represents an alternative to microwave, it is highly expensive to deploy, and may not be practical </w:t>
      </w:r>
      <w:r w:rsidRPr="002753FF">
        <w:rPr>
          <w:sz w:val="22"/>
          <w:szCs w:val="22"/>
        </w:rPr>
        <w:lastRenderedPageBreak/>
        <w:t>over long, remote distances.  Finally, commercial communications networks are often unavailable or unreliable, preventing electric companies and CII from using them as an alternative to their microwave communications networks in the 6 GHz band.</w:t>
      </w:r>
    </w:p>
    <w:p w14:paraId="07F72817" w14:textId="77777777" w:rsidR="00EE700C" w:rsidRPr="002753FF" w:rsidRDefault="00C90D1C">
      <w:pPr>
        <w:widowControl w:val="0"/>
        <w:spacing w:line="480" w:lineRule="auto"/>
        <w:ind w:firstLine="720"/>
        <w:rPr>
          <w:sz w:val="22"/>
          <w:szCs w:val="22"/>
        </w:rPr>
      </w:pPr>
      <w:r w:rsidRPr="002753FF">
        <w:rPr>
          <w:sz w:val="22"/>
          <w:szCs w:val="22"/>
        </w:rPr>
        <w:t>Many 6 GHz users migrated to this band after the Commission reallocated the 2 GHz band to make way for personal communications services and mobile satellite services.  It is inequitable for the Commission to now essentially displace them from the 6 GHz band by adversely reducing the reliability of these microwave systems to unacceptable levels.  Electric companies, their customers, and CII users have made significant investments in this band just as many telecommunications operators have done, and this investment therefore must be protected.</w:t>
      </w:r>
    </w:p>
    <w:p w14:paraId="2FC9B3C0" w14:textId="745D8147" w:rsidR="00EE700C" w:rsidRPr="002753FF" w:rsidRDefault="00C90D1C">
      <w:pPr>
        <w:widowControl w:val="0"/>
        <w:spacing w:line="480" w:lineRule="auto"/>
        <w:ind w:firstLine="720"/>
        <w:rPr>
          <w:sz w:val="22"/>
          <w:szCs w:val="22"/>
        </w:rPr>
      </w:pPr>
      <w:r w:rsidRPr="002753FF">
        <w:rPr>
          <w:sz w:val="22"/>
          <w:szCs w:val="22"/>
        </w:rPr>
        <w:t xml:space="preserve">There is other RF spectrum that is currently used for mobile services that could be opened up for unlicensed operations. While it may be convenient for unlicensed operators to access the 6 GHz band because it is located adjacent to the 5.8 GHz unlicensed RF spectrum, the public interest would not be served by risking interference to mission-critical communications systems in the band that support the safe, reliable and effective delivery of essential energy and water services.  The public interest in Wi-Fi and mobile services cannot outweigh the critical importance of </w:t>
      </w:r>
      <w:r w:rsidR="00242546" w:rsidRPr="002753FF">
        <w:rPr>
          <w:sz w:val="22"/>
          <w:szCs w:val="22"/>
        </w:rPr>
        <w:t>maintaining safe</w:t>
      </w:r>
      <w:r w:rsidRPr="002753FF">
        <w:rPr>
          <w:sz w:val="22"/>
          <w:szCs w:val="22"/>
        </w:rPr>
        <w:t>, reliable and affordable electric and oil &amp; gas services. particularly when there are alternative bands that could be used for Wi</w:t>
      </w:r>
      <w:r w:rsidR="00975EFE">
        <w:rPr>
          <w:sz w:val="22"/>
          <w:szCs w:val="22"/>
        </w:rPr>
        <w:t>-</w:t>
      </w:r>
      <w:r w:rsidRPr="002753FF">
        <w:rPr>
          <w:sz w:val="22"/>
          <w:szCs w:val="22"/>
        </w:rPr>
        <w:t xml:space="preserve">Fi and mobile services that would not threaten the reliability of utility, oil and gas services. </w:t>
      </w:r>
    </w:p>
    <w:p w14:paraId="6801ABD5" w14:textId="77777777" w:rsidR="00EE700C" w:rsidRPr="002753FF" w:rsidRDefault="00C90D1C">
      <w:pPr>
        <w:pStyle w:val="Heading1"/>
        <w:spacing w:before="0" w:after="240"/>
        <w:ind w:left="720" w:hanging="360"/>
      </w:pPr>
      <w:r w:rsidRPr="002753FF">
        <w:rPr>
          <w:rFonts w:ascii="Times New Roman Bold" w:eastAsia="Times New Roman Bold" w:hAnsi="Times New Roman Bold" w:cs="Times New Roman Bold"/>
          <w:sz w:val="24"/>
          <w:szCs w:val="24"/>
        </w:rPr>
        <w:t>II.</w:t>
      </w:r>
      <w:r w:rsidRPr="002753FF">
        <w:rPr>
          <w:b w:val="0"/>
          <w:bCs w:val="0"/>
          <w:sz w:val="14"/>
          <w:szCs w:val="14"/>
        </w:rPr>
        <w:t xml:space="preserve">    </w:t>
      </w:r>
      <w:bookmarkStart w:id="13" w:name="_Toc768871"/>
      <w:bookmarkStart w:id="14" w:name="_Toc1065078"/>
      <w:r w:rsidRPr="002753FF">
        <w:rPr>
          <w:rFonts w:ascii="Times New Roman Bold" w:eastAsia="Times New Roman Bold" w:hAnsi="Times New Roman Bold" w:cs="Times New Roman Bold"/>
          <w:sz w:val="24"/>
          <w:szCs w:val="24"/>
        </w:rPr>
        <w:t>The Commission’s Proposal to Permit Unlicensed Operations in the 6 GHz Band Will Not Adequately Protect Against Interference to Microwave Operations and Should Not be Adopted.</w:t>
      </w:r>
      <w:bookmarkStart w:id="15" w:name="_Toc1065079"/>
      <w:bookmarkEnd w:id="13"/>
      <w:bookmarkEnd w:id="14"/>
      <w:bookmarkEnd w:id="15"/>
    </w:p>
    <w:p w14:paraId="2329F77A" w14:textId="77777777" w:rsidR="00EE700C" w:rsidRPr="002753FF" w:rsidRDefault="00C90D1C">
      <w:pPr>
        <w:pStyle w:val="Heading2"/>
        <w:spacing w:before="0" w:after="240"/>
        <w:ind w:left="720" w:hanging="360"/>
      </w:pPr>
      <w:r w:rsidRPr="002753FF">
        <w:rPr>
          <w:rFonts w:ascii="Times New Roman Bold" w:eastAsia="Times New Roman Bold" w:hAnsi="Times New Roman Bold" w:cs="Times New Roman Bold"/>
          <w:iCs w:val="0"/>
          <w:sz w:val="24"/>
          <w:szCs w:val="24"/>
        </w:rPr>
        <w:t>A.</w:t>
      </w:r>
      <w:r w:rsidRPr="002753FF">
        <w:rPr>
          <w:b w:val="0"/>
          <w:bCs w:val="0"/>
          <w:iCs w:val="0"/>
          <w:sz w:val="14"/>
          <w:szCs w:val="14"/>
        </w:rPr>
        <w:t xml:space="preserve">    </w:t>
      </w:r>
      <w:bookmarkStart w:id="16" w:name="_Toc1065080"/>
      <w:r w:rsidRPr="002753FF">
        <w:rPr>
          <w:rFonts w:ascii="Times New Roman Bold" w:eastAsia="Times New Roman Bold" w:hAnsi="Times New Roman Bold" w:cs="Times New Roman Bold"/>
          <w:iCs w:val="0"/>
          <w:sz w:val="24"/>
          <w:szCs w:val="24"/>
        </w:rPr>
        <w:t>The record does not support allowing unlicensed operations in the 6 GHz band.</w:t>
      </w:r>
      <w:bookmarkEnd w:id="16"/>
    </w:p>
    <w:p w14:paraId="1C07C8C8" w14:textId="564332DC" w:rsidR="00EE700C" w:rsidRPr="002753FF" w:rsidRDefault="00C90D1C">
      <w:pPr>
        <w:widowControl w:val="0"/>
        <w:spacing w:line="480" w:lineRule="auto"/>
        <w:ind w:firstLine="720"/>
        <w:rPr>
          <w:sz w:val="22"/>
          <w:szCs w:val="22"/>
        </w:rPr>
      </w:pPr>
      <w:r w:rsidRPr="002753FF">
        <w:rPr>
          <w:sz w:val="22"/>
          <w:szCs w:val="22"/>
        </w:rPr>
        <w:t xml:space="preserve">The Commission’s proposal to mitigate interference through automated frequency coordination (“AFC”) is unsupported by the record evidence or experience.  The Commission’s proposal would also likely require lengthy periods of time and substantial sums of money to implement.  Spectrum sharing technologies like those in the Citizen’s Broadband Radio Service (“CBRS”) are nascent and AFC has not even been tested to determine its performance capabilities.  The practical effect of allowing unlicensed </w:t>
      </w:r>
      <w:r w:rsidRPr="002753FF">
        <w:rPr>
          <w:sz w:val="22"/>
          <w:szCs w:val="22"/>
        </w:rPr>
        <w:lastRenderedPageBreak/>
        <w:t xml:space="preserve">operations in the 6 GHz band would be disruptive to electric companies and CII who would have to reengineer their sites and/or migrate to a different band or technology at substantial cost and expense to maintain their communication reliability requirements.  It is very likely that adoption of this </w:t>
      </w:r>
      <w:r w:rsidRPr="002753FF">
        <w:rPr>
          <w:i/>
          <w:iCs/>
          <w:sz w:val="22"/>
          <w:szCs w:val="22"/>
        </w:rPr>
        <w:t>NPRM</w:t>
      </w:r>
      <w:r w:rsidRPr="002753FF">
        <w:rPr>
          <w:sz w:val="22"/>
          <w:szCs w:val="22"/>
        </w:rPr>
        <w:t xml:space="preserve"> would result in </w:t>
      </w:r>
      <w:r w:rsidRPr="002753FF">
        <w:rPr>
          <w:i/>
          <w:iCs/>
          <w:sz w:val="22"/>
          <w:szCs w:val="22"/>
        </w:rPr>
        <w:t xml:space="preserve">less </w:t>
      </w:r>
      <w:r w:rsidRPr="002753FF">
        <w:rPr>
          <w:sz w:val="22"/>
          <w:szCs w:val="22"/>
        </w:rPr>
        <w:t xml:space="preserve">efficient, not more efficient, use of the 6 GHz band, and it is also likely to discourage any further investment among microwave licensees.  UTC, EEI, NRECA, APPA, API and AWWA are deeply concerned that the Commission has failed to adequately consider the record evidence and these practical realities in proposing to open the 6 GHz band for unlicensed operations.  </w:t>
      </w:r>
    </w:p>
    <w:p w14:paraId="71AE62BE" w14:textId="77777777" w:rsidR="00EE700C" w:rsidRPr="002753FF" w:rsidRDefault="00C90D1C">
      <w:pPr>
        <w:widowControl w:val="0"/>
        <w:spacing w:line="480" w:lineRule="auto"/>
        <w:ind w:firstLine="720"/>
        <w:rPr>
          <w:sz w:val="22"/>
          <w:szCs w:val="22"/>
        </w:rPr>
      </w:pPr>
      <w:r w:rsidRPr="002753FF">
        <w:rPr>
          <w:sz w:val="22"/>
          <w:szCs w:val="22"/>
        </w:rPr>
        <w:t xml:space="preserve">The Commission makes conclusory statements in the </w:t>
      </w:r>
      <w:r w:rsidRPr="002753FF">
        <w:rPr>
          <w:i/>
          <w:iCs/>
          <w:sz w:val="22"/>
          <w:szCs w:val="22"/>
        </w:rPr>
        <w:t>NPRM</w:t>
      </w:r>
      <w:r w:rsidRPr="002753FF">
        <w:rPr>
          <w:sz w:val="22"/>
          <w:szCs w:val="22"/>
        </w:rPr>
        <w:t xml:space="preserve"> based on proponents’ unfounded claims that AFC will protect incumbents against interference.  However, history has shown that it is far more difficult in practice to implement AFC than it is being made out to be, and as electric companies and CII have pointed out, unlicensed operators have a history of circumventing the Commission’s rules and modifying equipment which thereby caused interference.  In that regard, it would be instructive for the Commission to review the reports by the National Telecommunications and Information Administration (NTIA) that document the interference that was caused to Terminal Doppler Weather Radar (“TDWR”) systems when the Commission permitted unlicensed operations to operate using Dynamic Frequency Selection (“DFS”) technologies designed to avoid interference.</w:t>
      </w:r>
      <w:r w:rsidRPr="002753FF">
        <w:rPr>
          <w:sz w:val="20"/>
          <w:szCs w:val="20"/>
          <w:vertAlign w:val="superscript"/>
        </w:rPr>
        <w:footnoteReference w:id="11"/>
      </w:r>
      <w:r w:rsidRPr="002753FF">
        <w:rPr>
          <w:sz w:val="22"/>
          <w:szCs w:val="22"/>
        </w:rPr>
        <w:t xml:space="preserve">  To be sure, the interference was partly caused by illegal alteration of the equipment used for unlicensed operations, but the NTIA also found that interference was caused by the inability of the DFS systems to detect the TDWR signals and to restrict unlicensed operations.</w:t>
      </w:r>
      <w:r w:rsidRPr="002753FF">
        <w:rPr>
          <w:sz w:val="20"/>
          <w:szCs w:val="20"/>
          <w:vertAlign w:val="superscript"/>
        </w:rPr>
        <w:footnoteReference w:id="12"/>
      </w:r>
      <w:r w:rsidRPr="002753FF">
        <w:rPr>
          <w:sz w:val="22"/>
          <w:szCs w:val="22"/>
        </w:rPr>
        <w:t xml:space="preserve">  This past experience in the 5.8 GHz band draws into question whether AFC </w:t>
      </w:r>
      <w:r w:rsidRPr="002753FF">
        <w:rPr>
          <w:sz w:val="22"/>
          <w:szCs w:val="22"/>
        </w:rPr>
        <w:lastRenderedPageBreak/>
        <w:t>would effectively protect against interference in the 6 GHz band, even assuming that unlicensed operators complied with the Commission’s rules and did not illegally alter the equipment.</w:t>
      </w:r>
    </w:p>
    <w:p w14:paraId="337967AD" w14:textId="157AF83D" w:rsidR="00EE700C" w:rsidRPr="002753FF" w:rsidRDefault="00F323F9">
      <w:pPr>
        <w:widowControl w:val="0"/>
        <w:spacing w:line="480" w:lineRule="auto"/>
        <w:ind w:firstLine="720"/>
        <w:rPr>
          <w:sz w:val="22"/>
          <w:szCs w:val="22"/>
        </w:rPr>
      </w:pPr>
      <w:r w:rsidRPr="002753FF">
        <w:rPr>
          <w:sz w:val="22"/>
          <w:szCs w:val="22"/>
        </w:rPr>
        <w:t xml:space="preserve">The record also does not </w:t>
      </w:r>
      <w:r w:rsidR="00407254" w:rsidRPr="002753FF">
        <w:rPr>
          <w:sz w:val="22"/>
          <w:szCs w:val="22"/>
        </w:rPr>
        <w:t>sup</w:t>
      </w:r>
      <w:r w:rsidR="00975EFE">
        <w:rPr>
          <w:sz w:val="22"/>
          <w:szCs w:val="22"/>
        </w:rPr>
        <w:t>p</w:t>
      </w:r>
      <w:r w:rsidR="00407254" w:rsidRPr="002753FF">
        <w:rPr>
          <w:sz w:val="22"/>
          <w:szCs w:val="22"/>
        </w:rPr>
        <w:t xml:space="preserve">ort allowing unlicensed operations in the 6 GHz band when it does not appear </w:t>
      </w:r>
      <w:r w:rsidR="00C90D1C" w:rsidRPr="002753FF">
        <w:rPr>
          <w:sz w:val="22"/>
          <w:szCs w:val="22"/>
        </w:rPr>
        <w:t>AFC would apply in the case of indoor operations, which also threaten to cause harmful interference to utility microwave systems.</w:t>
      </w:r>
      <w:r w:rsidR="00C90D1C" w:rsidRPr="002753FF">
        <w:rPr>
          <w:sz w:val="20"/>
          <w:szCs w:val="20"/>
          <w:vertAlign w:val="superscript"/>
        </w:rPr>
        <w:footnoteReference w:id="13"/>
      </w:r>
      <w:r w:rsidR="00C90D1C" w:rsidRPr="002753FF">
        <w:rPr>
          <w:sz w:val="22"/>
          <w:szCs w:val="22"/>
        </w:rPr>
        <w:t xml:space="preserve">  As the</w:t>
      </w:r>
      <w:r w:rsidR="004211FA" w:rsidRPr="002753FF">
        <w:rPr>
          <w:sz w:val="22"/>
          <w:szCs w:val="22"/>
        </w:rPr>
        <w:t xml:space="preserve"> Fixed Wireless Communications Coalition (</w:t>
      </w:r>
      <w:r w:rsidR="00C90D1C" w:rsidRPr="002753FF">
        <w:rPr>
          <w:sz w:val="22"/>
          <w:szCs w:val="22"/>
        </w:rPr>
        <w:t>FWCC</w:t>
      </w:r>
      <w:r w:rsidR="004211FA" w:rsidRPr="002753FF">
        <w:rPr>
          <w:sz w:val="22"/>
          <w:szCs w:val="22"/>
        </w:rPr>
        <w:t>)</w:t>
      </w:r>
      <w:r w:rsidR="00C90D1C" w:rsidRPr="002753FF">
        <w:rPr>
          <w:sz w:val="22"/>
          <w:szCs w:val="22"/>
        </w:rPr>
        <w:t xml:space="preserve"> has pointed out, the proponents have overestimated the attenuation of in-building operations by at least 10 dbm.</w:t>
      </w:r>
      <w:r w:rsidR="00C90D1C" w:rsidRPr="002753FF">
        <w:rPr>
          <w:sz w:val="20"/>
          <w:szCs w:val="20"/>
          <w:vertAlign w:val="superscript"/>
        </w:rPr>
        <w:footnoteReference w:id="14"/>
      </w:r>
      <w:r w:rsidR="00C90D1C" w:rsidRPr="002753FF">
        <w:rPr>
          <w:sz w:val="22"/>
          <w:szCs w:val="22"/>
        </w:rPr>
        <w:t xml:space="preserve">  In addition, the placement of unlicensed devices in tall buildings could potentially elevate their emissions directly into the boresight of a microwave receiver.  Depending on the distance of the building from the microwave receiver, the potential for interference to microwave systems could be just as great or greater than if the device was operating in an outdoor environment.</w:t>
      </w:r>
      <w:r w:rsidR="00C90D1C" w:rsidRPr="002753FF">
        <w:rPr>
          <w:sz w:val="22"/>
          <w:szCs w:val="22"/>
          <w:vertAlign w:val="superscript"/>
        </w:rPr>
        <w:t xml:space="preserve"> </w:t>
      </w:r>
      <w:r w:rsidR="00C90D1C" w:rsidRPr="002753FF">
        <w:rPr>
          <w:sz w:val="20"/>
          <w:szCs w:val="20"/>
          <w:vertAlign w:val="superscript"/>
        </w:rPr>
        <w:footnoteReference w:id="15"/>
      </w:r>
      <w:r w:rsidR="00C90D1C" w:rsidRPr="002753FF">
        <w:rPr>
          <w:sz w:val="22"/>
          <w:szCs w:val="22"/>
        </w:rPr>
        <w:t>Despite this issue being raised on the record by the FWCC, proponents have failed to dispel these concerns.  Moreover, the Commission has ignored these concerns by considering allowing unlicensed operations indoors without any AFC.</w:t>
      </w:r>
      <w:r w:rsidR="00C90D1C" w:rsidRPr="002753FF">
        <w:rPr>
          <w:sz w:val="20"/>
          <w:szCs w:val="20"/>
          <w:vertAlign w:val="superscript"/>
        </w:rPr>
        <w:footnoteReference w:id="16"/>
      </w:r>
      <w:r w:rsidR="00C90D1C" w:rsidRPr="002753FF">
        <w:rPr>
          <w:sz w:val="22"/>
          <w:szCs w:val="22"/>
        </w:rPr>
        <w:t xml:space="preserve">  Again, UTC, EEI, NRECA, APPA, API and AWWA believe that the Commission has failed to adequately address these facts that contradict the claims that potential interference will be mitigated. </w:t>
      </w:r>
    </w:p>
    <w:p w14:paraId="16A406FC" w14:textId="2991EC6A" w:rsidR="00EE700C" w:rsidRPr="002753FF" w:rsidRDefault="004C153B">
      <w:pPr>
        <w:widowControl w:val="0"/>
        <w:spacing w:line="480" w:lineRule="auto"/>
        <w:ind w:firstLine="720"/>
        <w:rPr>
          <w:sz w:val="22"/>
          <w:szCs w:val="22"/>
        </w:rPr>
      </w:pPr>
      <w:r w:rsidRPr="002753FF">
        <w:rPr>
          <w:sz w:val="22"/>
          <w:szCs w:val="22"/>
        </w:rPr>
        <w:t xml:space="preserve">It is </w:t>
      </w:r>
      <w:r w:rsidR="0053418D" w:rsidRPr="002753FF">
        <w:rPr>
          <w:sz w:val="22"/>
          <w:szCs w:val="22"/>
        </w:rPr>
        <w:t xml:space="preserve">particularly </w:t>
      </w:r>
      <w:r w:rsidRPr="002753FF">
        <w:rPr>
          <w:sz w:val="22"/>
          <w:szCs w:val="22"/>
        </w:rPr>
        <w:t>notable that p</w:t>
      </w:r>
      <w:r w:rsidR="00C90D1C" w:rsidRPr="002753FF">
        <w:rPr>
          <w:sz w:val="22"/>
          <w:szCs w:val="22"/>
        </w:rPr>
        <w:t xml:space="preserve">roponents admit that interference could occur and much of their claims that interference will not occur are based on incorrect or misleading assumptions about both </w:t>
      </w:r>
      <w:r w:rsidR="00C90D1C" w:rsidRPr="002753FF">
        <w:rPr>
          <w:sz w:val="22"/>
          <w:szCs w:val="22"/>
        </w:rPr>
        <w:lastRenderedPageBreak/>
        <w:t>microwave systems and the likely operation of unlicensed devices in the band.</w:t>
      </w:r>
      <w:r w:rsidR="00C90D1C" w:rsidRPr="002753FF">
        <w:rPr>
          <w:sz w:val="20"/>
          <w:szCs w:val="20"/>
          <w:vertAlign w:val="superscript"/>
        </w:rPr>
        <w:footnoteReference w:id="17"/>
      </w:r>
      <w:r w:rsidR="00C90D1C" w:rsidRPr="002753FF">
        <w:rPr>
          <w:sz w:val="22"/>
          <w:szCs w:val="22"/>
        </w:rPr>
        <w:t xml:space="preserve">  The RKF Engineering Study upon which proponents base many of their claims and upon which the Commission bases its proposals is rife with factual deficiencies, and proponents’ rebuttals contain compounded assumptions, such as downplaying the potential for interference during periods of multipath fading at night because it would occur “outside the RLAN busy hour.”</w:t>
      </w:r>
      <w:r w:rsidR="00C90D1C" w:rsidRPr="002753FF">
        <w:rPr>
          <w:sz w:val="20"/>
          <w:szCs w:val="20"/>
          <w:vertAlign w:val="superscript"/>
        </w:rPr>
        <w:footnoteReference w:id="18"/>
      </w:r>
      <w:r w:rsidR="00C90D1C" w:rsidRPr="002753FF">
        <w:rPr>
          <w:sz w:val="22"/>
          <w:szCs w:val="22"/>
        </w:rPr>
        <w:t xml:space="preserve">  </w:t>
      </w:r>
      <w:r w:rsidR="0053418D" w:rsidRPr="002753FF">
        <w:rPr>
          <w:sz w:val="22"/>
          <w:szCs w:val="22"/>
        </w:rPr>
        <w:t>For example, w</w:t>
      </w:r>
      <w:r w:rsidR="00C90D1C" w:rsidRPr="002753FF">
        <w:rPr>
          <w:sz w:val="22"/>
          <w:szCs w:val="22"/>
        </w:rPr>
        <w:t xml:space="preserve">ho knows when and where an unlicensed device is likely to operate and cause interference to a microwave system?  </w:t>
      </w:r>
      <w:r w:rsidR="0053418D" w:rsidRPr="002753FF">
        <w:rPr>
          <w:sz w:val="22"/>
          <w:szCs w:val="22"/>
        </w:rPr>
        <w:t xml:space="preserve">Furthermore, it is absurd to suggest </w:t>
      </w:r>
      <w:r w:rsidR="00C90D1C" w:rsidRPr="002753FF">
        <w:rPr>
          <w:sz w:val="22"/>
          <w:szCs w:val="22"/>
        </w:rPr>
        <w:t>that electric companies and CII users do not operate on a 24-hour schedul</w:t>
      </w:r>
      <w:r w:rsidR="0053418D" w:rsidRPr="002753FF">
        <w:rPr>
          <w:sz w:val="22"/>
          <w:szCs w:val="22"/>
        </w:rPr>
        <w:t xml:space="preserve">e.  </w:t>
      </w:r>
      <w:r w:rsidR="00C90D1C" w:rsidRPr="002753FF">
        <w:rPr>
          <w:sz w:val="22"/>
          <w:szCs w:val="22"/>
        </w:rPr>
        <w:t xml:space="preserve">The fact that proponents would even make such </w:t>
      </w:r>
      <w:r w:rsidR="0053418D" w:rsidRPr="002753FF">
        <w:rPr>
          <w:sz w:val="22"/>
          <w:szCs w:val="22"/>
        </w:rPr>
        <w:t xml:space="preserve">unsupported </w:t>
      </w:r>
      <w:r w:rsidR="00C90D1C" w:rsidRPr="002753FF">
        <w:rPr>
          <w:sz w:val="22"/>
          <w:szCs w:val="22"/>
        </w:rPr>
        <w:t>claims evidences a disregard for the potential for interference to users that operate continuously.  Moreover, proponents fail to demonstrate enough understanding of the consequences of causing interference to CII microwave systems.  At best they pay lip service to concerns about interference and appear to base their claims on unsubstantiated assumptions that most of the market for unlicensed devices will be in urban areas and that most of the microwave systems are in rural areas where they will be geographically separated from each other.  The reality is that electric companies, CII users, and telecommunication interests operate 6 GHz systems in urban as well as rural areas, and it is also likely that outdoor unlicensed operations are likely to occur in rural as well as urban areas.  Either way, there is a likelihood that unlicensed operations will occur near microwave systems and that interference will occur.</w:t>
      </w:r>
    </w:p>
    <w:p w14:paraId="2C97E506" w14:textId="3D18731C" w:rsidR="00EE700C" w:rsidRPr="002753FF" w:rsidRDefault="00C90D1C">
      <w:pPr>
        <w:pStyle w:val="Heading2"/>
        <w:spacing w:before="0" w:after="240"/>
        <w:ind w:left="720"/>
        <w:rPr>
          <w:sz w:val="24"/>
          <w:szCs w:val="24"/>
        </w:rPr>
      </w:pPr>
      <w:bookmarkStart w:id="17" w:name="_Toc1065081"/>
      <w:r w:rsidRPr="002753FF">
        <w:rPr>
          <w:rFonts w:ascii="Times New Roman Bold" w:eastAsia="Times New Roman Bold" w:hAnsi="Times New Roman Bold" w:cs="Times New Roman Bold"/>
          <w:iCs w:val="0"/>
          <w:sz w:val="24"/>
          <w:szCs w:val="24"/>
        </w:rPr>
        <w:t xml:space="preserve">B. </w:t>
      </w:r>
      <w:r w:rsidRPr="002753FF">
        <w:rPr>
          <w:rFonts w:ascii="Times New Roman Bold" w:eastAsia="Times New Roman Bold" w:hAnsi="Times New Roman Bold" w:cs="Times New Roman Bold"/>
          <w:iCs w:val="0"/>
          <w:sz w:val="24"/>
          <w:szCs w:val="24"/>
        </w:rPr>
        <w:tab/>
      </w:r>
      <w:r w:rsidR="0053418D" w:rsidRPr="002753FF">
        <w:rPr>
          <w:rFonts w:ascii="Times New Roman Bold" w:eastAsia="Times New Roman Bold" w:hAnsi="Times New Roman Bold" w:cs="Times New Roman Bold"/>
          <w:iCs w:val="0"/>
          <w:sz w:val="24"/>
          <w:szCs w:val="24"/>
        </w:rPr>
        <w:t xml:space="preserve">Electric companies </w:t>
      </w:r>
      <w:r w:rsidRPr="002753FF">
        <w:rPr>
          <w:rFonts w:ascii="Times New Roman Bold" w:eastAsia="Times New Roman Bold" w:hAnsi="Times New Roman Bold" w:cs="Times New Roman Bold"/>
          <w:iCs w:val="0"/>
          <w:sz w:val="24"/>
          <w:szCs w:val="24"/>
        </w:rPr>
        <w:t>and other CII are uniquely impacted by the potential for interference from unlicensed operations in the 6 GHz band.</w:t>
      </w:r>
      <w:bookmarkEnd w:id="17"/>
    </w:p>
    <w:p w14:paraId="5A39E3E8" w14:textId="1BF96C0A" w:rsidR="00EE700C" w:rsidRPr="002753FF" w:rsidRDefault="00C90D1C">
      <w:pPr>
        <w:widowControl w:val="0"/>
        <w:spacing w:line="480" w:lineRule="auto"/>
        <w:ind w:firstLine="720"/>
        <w:rPr>
          <w:sz w:val="22"/>
          <w:szCs w:val="22"/>
        </w:rPr>
      </w:pPr>
      <w:r w:rsidRPr="002753FF">
        <w:rPr>
          <w:sz w:val="22"/>
          <w:szCs w:val="22"/>
        </w:rPr>
        <w:t xml:space="preserve">In addition to these concerns about the capability of preventing interference from occurring, electric companies and other CII are on record explaining that the consequences of interference to electric </w:t>
      </w:r>
      <w:r w:rsidRPr="002753FF">
        <w:rPr>
          <w:sz w:val="22"/>
          <w:szCs w:val="22"/>
        </w:rPr>
        <w:lastRenderedPageBreak/>
        <w:t>company and CII systems are significant and cannot simply be remedied after the fact nor can electric companies mitigate against the potential for interference due to the transient and intermittent nature of interference from unlicensed operations.  As noted above, these 6 GHz systems and the underlying utility and CII applications that they support are highly intolerant of latency resulting from interference.  The resulting outages or other accidents that could be caused by interference from unlicensed operations could be significant.  This is not a situation that commonly exists in the context of other bands where there are unlicensed operations and interference can be tolerated and/or remedied after the fact without any significant consequences.  The proponents of unlicensed operations in the 6 GHz band clearly have only limited understanding of the liability they would be incurring by operating in this band or they would not be proposing it.   Such suggestions to remediate interference would be far too little too late.</w:t>
      </w:r>
    </w:p>
    <w:p w14:paraId="7DDC17EE" w14:textId="02FDD2A5" w:rsidR="00EE700C" w:rsidRDefault="00C90D1C">
      <w:pPr>
        <w:widowControl w:val="0"/>
        <w:spacing w:line="480" w:lineRule="auto"/>
        <w:ind w:firstLine="720"/>
        <w:rPr>
          <w:sz w:val="22"/>
          <w:szCs w:val="22"/>
        </w:rPr>
      </w:pPr>
      <w:r w:rsidRPr="002753FF">
        <w:rPr>
          <w:sz w:val="22"/>
          <w:szCs w:val="22"/>
        </w:rPr>
        <w:t>Compounding the problem of the potential for interference is the inability for electric companies and CII to mitigate against it due to the transient nature of the proposed unlicensed operations.  By the time that a licensed user knows that the interference is occurring, it may be too late to track the source of the interference before the unlicensed operation has moved to a different area.  Moreover, unlicensed operations are typically characterized by bursts of emissions, as it is likely that the interference will be intermittent as devices sporadically transmit data on a co-channel or adjacent channel basis to incumbent microwave systems. Intermittent interference such as this can cause a protective relay malfunction or other critical data to be lost.  In short, the risk of continuous or intermittent interference would reduce a once reliable 6 GHz connection to being unreliable, which would be unacceptable for electric companies and CII providers.  Given the likelihood of the occurrence of interference and the difficulty of tracing its source, this remains yet another reason that the Commission should not permit unlicensed operations in the 6 GHz band.</w:t>
      </w:r>
    </w:p>
    <w:p w14:paraId="5E86B146" w14:textId="704BA026" w:rsidR="00B01DEC" w:rsidRDefault="00B01DEC">
      <w:pPr>
        <w:widowControl w:val="0"/>
        <w:spacing w:line="480" w:lineRule="auto"/>
        <w:ind w:firstLine="720"/>
        <w:rPr>
          <w:sz w:val="22"/>
          <w:szCs w:val="22"/>
        </w:rPr>
      </w:pPr>
    </w:p>
    <w:p w14:paraId="204BBADB" w14:textId="44CFEAC4" w:rsidR="00B01DEC" w:rsidRDefault="00B01DEC">
      <w:pPr>
        <w:widowControl w:val="0"/>
        <w:spacing w:line="480" w:lineRule="auto"/>
        <w:ind w:firstLine="720"/>
        <w:rPr>
          <w:sz w:val="22"/>
          <w:szCs w:val="22"/>
        </w:rPr>
      </w:pPr>
    </w:p>
    <w:p w14:paraId="776E3BB7" w14:textId="77777777" w:rsidR="00B01DEC" w:rsidRPr="002753FF" w:rsidRDefault="00B01DEC">
      <w:pPr>
        <w:widowControl w:val="0"/>
        <w:spacing w:line="480" w:lineRule="auto"/>
        <w:ind w:firstLine="720"/>
        <w:rPr>
          <w:sz w:val="22"/>
          <w:szCs w:val="22"/>
        </w:rPr>
      </w:pPr>
    </w:p>
    <w:p w14:paraId="2CCD9D06" w14:textId="25F236CD" w:rsidR="00EE700C" w:rsidRPr="002753FF" w:rsidRDefault="00C90D1C">
      <w:pPr>
        <w:pStyle w:val="Heading1"/>
        <w:spacing w:before="0" w:after="240"/>
        <w:ind w:left="720" w:hanging="360"/>
      </w:pPr>
      <w:bookmarkStart w:id="18" w:name="_Toc768872"/>
      <w:bookmarkStart w:id="19" w:name="_Toc768873"/>
      <w:bookmarkStart w:id="20" w:name="_Toc1065082"/>
      <w:bookmarkEnd w:id="18"/>
      <w:r w:rsidRPr="002753FF">
        <w:rPr>
          <w:rFonts w:ascii="Times New Roman Bold" w:eastAsia="Times New Roman Bold" w:hAnsi="Times New Roman Bold" w:cs="Times New Roman Bold"/>
          <w:sz w:val="24"/>
          <w:szCs w:val="24"/>
        </w:rPr>
        <w:lastRenderedPageBreak/>
        <w:t>III.</w:t>
      </w:r>
      <w:r w:rsidRPr="002753FF">
        <w:rPr>
          <w:b w:val="0"/>
          <w:bCs w:val="0"/>
          <w:sz w:val="14"/>
          <w:szCs w:val="14"/>
        </w:rPr>
        <w:t xml:space="preserve"> </w:t>
      </w:r>
      <w:r w:rsidRPr="002753FF">
        <w:rPr>
          <w:rFonts w:ascii="Times New Roman Bold" w:eastAsia="Times New Roman Bold" w:hAnsi="Times New Roman Bold" w:cs="Times New Roman Bold"/>
          <w:sz w:val="24"/>
          <w:szCs w:val="24"/>
        </w:rPr>
        <w:t>Unlicensed Operations Should Not Be Permitted in the 6 GHz Band Unless the Commission Adopts More Stringent Interference Protections for Co-Channel and Adjacent Channel Microwave Systems, Including Prior Coordination for Indoor and Outdoor Unlicensed Operations.</w:t>
      </w:r>
      <w:bookmarkEnd w:id="19"/>
      <w:bookmarkEnd w:id="20"/>
      <w:r w:rsidRPr="002753FF">
        <w:rPr>
          <w:rFonts w:ascii="Times New Roman Bold" w:eastAsia="Times New Roman Bold" w:hAnsi="Times New Roman Bold" w:cs="Times New Roman Bold"/>
          <w:sz w:val="24"/>
          <w:szCs w:val="24"/>
        </w:rPr>
        <w:t xml:space="preserve">  </w:t>
      </w:r>
    </w:p>
    <w:p w14:paraId="670DB9BB" w14:textId="77777777" w:rsidR="00EE700C" w:rsidRPr="002753FF" w:rsidRDefault="00EE700C">
      <w:pPr>
        <w:widowControl w:val="0"/>
        <w:ind w:left="1440"/>
        <w:rPr>
          <w:sz w:val="22"/>
          <w:szCs w:val="22"/>
        </w:rPr>
      </w:pPr>
    </w:p>
    <w:p w14:paraId="149B30E0" w14:textId="5E277772" w:rsidR="00EE700C" w:rsidRPr="002753FF" w:rsidRDefault="00C90D1C">
      <w:pPr>
        <w:widowControl w:val="0"/>
        <w:spacing w:line="480" w:lineRule="auto"/>
        <w:ind w:firstLine="720"/>
        <w:rPr>
          <w:sz w:val="22"/>
          <w:szCs w:val="22"/>
        </w:rPr>
      </w:pPr>
      <w:r w:rsidRPr="002753FF">
        <w:rPr>
          <w:sz w:val="22"/>
          <w:szCs w:val="22"/>
        </w:rPr>
        <w:t xml:space="preserve">In the </w:t>
      </w:r>
      <w:r w:rsidRPr="002753FF">
        <w:rPr>
          <w:i/>
          <w:iCs/>
          <w:sz w:val="22"/>
          <w:szCs w:val="22"/>
        </w:rPr>
        <w:t>NPRM</w:t>
      </w:r>
      <w:r w:rsidRPr="002753FF">
        <w:rPr>
          <w:sz w:val="22"/>
          <w:szCs w:val="22"/>
        </w:rPr>
        <w:t>, the Commission proposes ways to protect fixed services from harmful interference.</w:t>
      </w:r>
      <w:r w:rsidRPr="002753FF">
        <w:rPr>
          <w:sz w:val="20"/>
          <w:szCs w:val="20"/>
          <w:vertAlign w:val="superscript"/>
        </w:rPr>
        <w:footnoteReference w:id="19"/>
      </w:r>
      <w:r w:rsidRPr="002753FF">
        <w:rPr>
          <w:sz w:val="22"/>
          <w:szCs w:val="22"/>
        </w:rPr>
        <w:t xml:space="preserve">  It states that “unlicensed devices need only be excluded from a zone determined by the fixed service receive antenna pattern and the [effective isotropic radiated power] </w:t>
      </w:r>
      <w:bookmarkStart w:id="21" w:name="_GoBack"/>
      <w:bookmarkEnd w:id="21"/>
      <w:r w:rsidRPr="002753FF">
        <w:rPr>
          <w:sz w:val="22"/>
          <w:szCs w:val="22"/>
        </w:rPr>
        <w:t>of the unlicensed device.”</w:t>
      </w:r>
      <w:r w:rsidRPr="002753FF">
        <w:rPr>
          <w:sz w:val="20"/>
          <w:szCs w:val="20"/>
          <w:vertAlign w:val="superscript"/>
        </w:rPr>
        <w:footnoteReference w:id="20"/>
      </w:r>
      <w:r w:rsidRPr="002753FF">
        <w:rPr>
          <w:sz w:val="22"/>
          <w:szCs w:val="22"/>
        </w:rPr>
        <w:t xml:space="preserve">  Further, “[t]he size of the exclusion zone would be based on the specific interference protection criteria used.”</w:t>
      </w:r>
      <w:r w:rsidRPr="002753FF">
        <w:rPr>
          <w:sz w:val="20"/>
          <w:szCs w:val="20"/>
          <w:vertAlign w:val="superscript"/>
        </w:rPr>
        <w:footnoteReference w:id="21"/>
      </w:r>
      <w:r w:rsidRPr="002753FF">
        <w:rPr>
          <w:sz w:val="22"/>
          <w:szCs w:val="22"/>
        </w:rPr>
        <w:t xml:space="preserve">  It proposes to use the data from the </w:t>
      </w:r>
      <w:r w:rsidR="00683D18" w:rsidRPr="002753FF">
        <w:rPr>
          <w:sz w:val="22"/>
          <w:szCs w:val="22"/>
        </w:rPr>
        <w:t>Universal Licensing System (“</w:t>
      </w:r>
      <w:r w:rsidRPr="002753FF">
        <w:rPr>
          <w:sz w:val="22"/>
          <w:szCs w:val="22"/>
        </w:rPr>
        <w:t>ULS</w:t>
      </w:r>
      <w:r w:rsidR="00683D18" w:rsidRPr="002753FF">
        <w:rPr>
          <w:sz w:val="22"/>
          <w:szCs w:val="22"/>
        </w:rPr>
        <w:t>”)</w:t>
      </w:r>
      <w:r w:rsidRPr="002753FF">
        <w:rPr>
          <w:sz w:val="22"/>
          <w:szCs w:val="22"/>
        </w:rPr>
        <w:t xml:space="preserve"> database to determine the size of the exclusion zone for the AFC to coordinate unlicensed operations around the microwave receivers.</w:t>
      </w:r>
      <w:r w:rsidRPr="002753FF">
        <w:rPr>
          <w:sz w:val="20"/>
          <w:szCs w:val="20"/>
          <w:vertAlign w:val="superscript"/>
        </w:rPr>
        <w:footnoteReference w:id="22"/>
      </w:r>
      <w:r w:rsidRPr="002753FF">
        <w:rPr>
          <w:sz w:val="22"/>
          <w:szCs w:val="22"/>
        </w:rPr>
        <w:t xml:space="preserve">  At the same time, the Commission acknowledges that the “precision of the data contained within ULS is therefore only as good as the information supplied by licensees.”</w:t>
      </w:r>
      <w:r w:rsidRPr="002753FF">
        <w:rPr>
          <w:sz w:val="20"/>
          <w:szCs w:val="20"/>
          <w:vertAlign w:val="superscript"/>
        </w:rPr>
        <w:footnoteReference w:id="23"/>
      </w:r>
      <w:r w:rsidRPr="002753FF">
        <w:rPr>
          <w:sz w:val="22"/>
          <w:szCs w:val="22"/>
        </w:rPr>
        <w:t xml:space="preserve">  </w:t>
      </w:r>
    </w:p>
    <w:p w14:paraId="730849CF" w14:textId="77777777" w:rsidR="00EE700C" w:rsidRPr="002753FF" w:rsidRDefault="00C90D1C">
      <w:pPr>
        <w:pStyle w:val="Heading2"/>
        <w:spacing w:before="0" w:after="240"/>
        <w:ind w:left="720" w:hanging="360"/>
      </w:pPr>
      <w:r w:rsidRPr="002753FF">
        <w:rPr>
          <w:rFonts w:ascii="Times New Roman Bold" w:eastAsia="Times New Roman Bold" w:hAnsi="Times New Roman Bold" w:cs="Times New Roman Bold"/>
          <w:iCs w:val="0"/>
          <w:sz w:val="24"/>
          <w:szCs w:val="24"/>
        </w:rPr>
        <w:t>A.</w:t>
      </w:r>
      <w:r w:rsidRPr="002753FF">
        <w:rPr>
          <w:b w:val="0"/>
          <w:bCs w:val="0"/>
          <w:iCs w:val="0"/>
          <w:sz w:val="14"/>
          <w:szCs w:val="14"/>
        </w:rPr>
        <w:t xml:space="preserve">    </w:t>
      </w:r>
      <w:bookmarkStart w:id="22" w:name="_Toc1065083"/>
      <w:r w:rsidRPr="002753FF">
        <w:rPr>
          <w:rFonts w:ascii="Times New Roman Bold" w:eastAsia="Times New Roman Bold" w:hAnsi="Times New Roman Bold" w:cs="Times New Roman Bold"/>
          <w:iCs w:val="0"/>
          <w:sz w:val="24"/>
          <w:szCs w:val="24"/>
        </w:rPr>
        <w:t>Prior coordination is necessary to prevent interference to licensed microwave systems.</w:t>
      </w:r>
      <w:bookmarkEnd w:id="22"/>
    </w:p>
    <w:p w14:paraId="20048323" w14:textId="77777777" w:rsidR="00EE700C" w:rsidRPr="002753FF" w:rsidRDefault="00C90D1C">
      <w:pPr>
        <w:widowControl w:val="0"/>
        <w:spacing w:line="480" w:lineRule="auto"/>
        <w:ind w:firstLine="720"/>
        <w:rPr>
          <w:sz w:val="22"/>
          <w:szCs w:val="22"/>
        </w:rPr>
      </w:pPr>
      <w:r w:rsidRPr="002753FF">
        <w:rPr>
          <w:sz w:val="22"/>
          <w:szCs w:val="22"/>
        </w:rPr>
        <w:t xml:space="preserve">The problem is that the ULS data is not accurate and furthermore there are factors affecting coordination that are beyond the data that is contained in the ULS database.  These factors include sources of reflection that can greatly affect the extent to which a system will experience interference.  Hence, the process of prior coordination upon which microwave systems are licensed may require engineers to literally walk the proposed path to determine if there are sources of reflection at the proposed site.  Given that prior coordination has proven effective at preventing interference between microwave systems and that the data in the ULS database is inaccurate and unreliable for preventing interference through AFC, </w:t>
      </w:r>
      <w:r w:rsidRPr="002753FF">
        <w:rPr>
          <w:sz w:val="22"/>
          <w:szCs w:val="22"/>
        </w:rPr>
        <w:lastRenderedPageBreak/>
        <w:t>UTC, EEI, NRECA, APPA, API and AWWA suggest that the Commission should require prior coordination for unlicensed operations, especially for outdoor operations.  Otherwise, there will be a significant potential for interference if the Commission relies on the ULS data alone.  This approach has been suggested on the record by several parties, including the FWCC.</w:t>
      </w:r>
      <w:r w:rsidRPr="002753FF">
        <w:rPr>
          <w:sz w:val="20"/>
          <w:szCs w:val="20"/>
          <w:vertAlign w:val="superscript"/>
        </w:rPr>
        <w:footnoteReference w:id="24"/>
      </w:r>
      <w:r w:rsidRPr="002753FF">
        <w:rPr>
          <w:sz w:val="22"/>
          <w:szCs w:val="22"/>
        </w:rPr>
        <w:t xml:space="preserve">  </w:t>
      </w:r>
    </w:p>
    <w:p w14:paraId="50C3E317" w14:textId="77777777" w:rsidR="00EE700C" w:rsidRPr="002753FF" w:rsidRDefault="00C90D1C">
      <w:pPr>
        <w:pStyle w:val="Heading2"/>
        <w:spacing w:before="0" w:after="240"/>
        <w:ind w:left="720" w:hanging="360"/>
      </w:pPr>
      <w:r w:rsidRPr="002753FF">
        <w:rPr>
          <w:rFonts w:ascii="Times New Roman Bold" w:eastAsia="Times New Roman Bold" w:hAnsi="Times New Roman Bold" w:cs="Times New Roman Bold"/>
          <w:iCs w:val="0"/>
          <w:sz w:val="24"/>
          <w:szCs w:val="24"/>
        </w:rPr>
        <w:t>B.</w:t>
      </w:r>
      <w:r w:rsidRPr="002753FF">
        <w:rPr>
          <w:b w:val="0"/>
          <w:bCs w:val="0"/>
          <w:iCs w:val="0"/>
          <w:sz w:val="14"/>
          <w:szCs w:val="14"/>
        </w:rPr>
        <w:t xml:space="preserve">     </w:t>
      </w:r>
      <w:bookmarkStart w:id="23" w:name="_Toc1065084"/>
      <w:r w:rsidRPr="002753FF">
        <w:rPr>
          <w:rFonts w:ascii="Times New Roman Bold" w:eastAsia="Times New Roman Bold" w:hAnsi="Times New Roman Bold" w:cs="Times New Roman Bold"/>
          <w:iCs w:val="0"/>
          <w:sz w:val="24"/>
          <w:szCs w:val="24"/>
        </w:rPr>
        <w:t>Improvements are needed to the proposal for automatic frequency coordination to mitigate the potential for interference to licensed microwave systems in the 6 GHz band.</w:t>
      </w:r>
      <w:bookmarkEnd w:id="23"/>
    </w:p>
    <w:p w14:paraId="05EBD7BB" w14:textId="77777777" w:rsidR="00EE700C" w:rsidRPr="002753FF" w:rsidRDefault="00C90D1C">
      <w:pPr>
        <w:widowControl w:val="0"/>
        <w:spacing w:line="480" w:lineRule="auto"/>
        <w:ind w:firstLine="720"/>
        <w:rPr>
          <w:sz w:val="22"/>
          <w:szCs w:val="22"/>
        </w:rPr>
      </w:pPr>
      <w:r w:rsidRPr="002753FF">
        <w:rPr>
          <w:sz w:val="22"/>
          <w:szCs w:val="22"/>
        </w:rPr>
        <w:t>If the Commission adopts AFC, it should use the data that is available from individual coordinators, which is more accurate than the data that is available through ULS.  This would help to address the gaps that exist in the data that is included in ULS as well as other use cases such as blanket authority and temporary fixed sites that would be difficult to address using ULS.</w:t>
      </w:r>
      <w:r w:rsidRPr="002753FF">
        <w:rPr>
          <w:sz w:val="20"/>
          <w:szCs w:val="20"/>
          <w:vertAlign w:val="superscript"/>
        </w:rPr>
        <w:footnoteReference w:id="25"/>
      </w:r>
      <w:r w:rsidRPr="002753FF">
        <w:rPr>
          <w:sz w:val="22"/>
          <w:szCs w:val="22"/>
        </w:rPr>
        <w:t xml:space="preserve">  If the Commission decides to use ULS data as the basis for AFC, it should also provide a sufficient window of time for licensees to update their information, including data on the location of microwave receivers – that is currently not contained in ULS and which is critically important for protecting against interference.  The Commission should provide at least six months for licensees to update the ULS data before the AFC system goes live.  This would both provide enough time and would also not unnecessarily delay unlicensed operations in the band.  Similarly, the Commission should also stagger the number of devices that are registered in the band over different periods of time.  An incrementally staged deployment of unlicensed devices will help to mitigate the potential for interference during the initial stages of the development of AFC systems.</w:t>
      </w:r>
    </w:p>
    <w:p w14:paraId="2EB80F2D" w14:textId="77777777" w:rsidR="00EE700C" w:rsidRPr="002753FF" w:rsidRDefault="00C90D1C">
      <w:pPr>
        <w:pStyle w:val="Heading2"/>
        <w:spacing w:before="0" w:after="240"/>
        <w:ind w:left="720" w:hanging="360"/>
      </w:pPr>
      <w:r w:rsidRPr="002753FF">
        <w:rPr>
          <w:rFonts w:ascii="Times New Roman Bold" w:eastAsia="Times New Roman Bold" w:hAnsi="Times New Roman Bold" w:cs="Times New Roman Bold"/>
          <w:iCs w:val="0"/>
          <w:sz w:val="24"/>
          <w:szCs w:val="24"/>
        </w:rPr>
        <w:t>C.</w:t>
      </w:r>
      <w:r w:rsidRPr="002753FF">
        <w:rPr>
          <w:b w:val="0"/>
          <w:bCs w:val="0"/>
          <w:iCs w:val="0"/>
          <w:sz w:val="14"/>
          <w:szCs w:val="14"/>
        </w:rPr>
        <w:t xml:space="preserve">    </w:t>
      </w:r>
      <w:bookmarkStart w:id="24" w:name="_Toc1065085"/>
      <w:r w:rsidRPr="002753FF">
        <w:rPr>
          <w:rFonts w:ascii="Times New Roman Bold" w:eastAsia="Times New Roman Bold" w:hAnsi="Times New Roman Bold" w:cs="Times New Roman Bold"/>
          <w:iCs w:val="0"/>
          <w:sz w:val="24"/>
          <w:szCs w:val="24"/>
        </w:rPr>
        <w:t>The Commission must ensure protection against adjacent channel interference, as well as co-channel interference to licensed microwave systems in the 6 GHz band.</w:t>
      </w:r>
      <w:bookmarkEnd w:id="24"/>
    </w:p>
    <w:p w14:paraId="662AF322" w14:textId="77777777" w:rsidR="00EE700C" w:rsidRPr="002753FF" w:rsidRDefault="00C90D1C">
      <w:pPr>
        <w:widowControl w:val="0"/>
        <w:spacing w:line="480" w:lineRule="auto"/>
        <w:ind w:firstLine="720"/>
        <w:rPr>
          <w:sz w:val="22"/>
          <w:szCs w:val="22"/>
        </w:rPr>
      </w:pPr>
      <w:r w:rsidRPr="002753FF">
        <w:rPr>
          <w:sz w:val="22"/>
          <w:szCs w:val="22"/>
        </w:rPr>
        <w:t xml:space="preserve">It is also important that the Commission require protection from adjacent channel interference as </w:t>
      </w:r>
      <w:r w:rsidRPr="002753FF">
        <w:rPr>
          <w:sz w:val="22"/>
          <w:szCs w:val="22"/>
        </w:rPr>
        <w:lastRenderedPageBreak/>
        <w:t xml:space="preserve">well as co-channel interference.  Unfortunately, the </w:t>
      </w:r>
      <w:r w:rsidRPr="002753FF">
        <w:rPr>
          <w:i/>
          <w:iCs/>
          <w:sz w:val="22"/>
          <w:szCs w:val="22"/>
        </w:rPr>
        <w:t>NPRM</w:t>
      </w:r>
      <w:r w:rsidRPr="002753FF">
        <w:rPr>
          <w:sz w:val="22"/>
          <w:szCs w:val="22"/>
        </w:rPr>
        <w:t xml:space="preserve"> does not propose to protect fixed links operating on adjacent channels or second-adjacent channels, and it relies instead on the use of out-of-band emission limits (“OOBE”) to protect adjacent channel fixed links.</w:t>
      </w:r>
      <w:r w:rsidRPr="002753FF">
        <w:rPr>
          <w:sz w:val="20"/>
          <w:szCs w:val="20"/>
          <w:vertAlign w:val="superscript"/>
        </w:rPr>
        <w:footnoteReference w:id="26"/>
      </w:r>
      <w:r w:rsidRPr="002753FF">
        <w:rPr>
          <w:sz w:val="22"/>
          <w:szCs w:val="22"/>
        </w:rPr>
        <w:t xml:space="preserve">  UTC, EEI, NRECA, APPA, API and AWWA support the proposal by FWCC to require adjacent channel protection, and agree with the FWCC that OOBE will not sufficiently protect microwave systems from interference.</w:t>
      </w:r>
      <w:r w:rsidRPr="002753FF">
        <w:rPr>
          <w:sz w:val="20"/>
          <w:szCs w:val="20"/>
          <w:vertAlign w:val="superscript"/>
        </w:rPr>
        <w:footnoteReference w:id="27"/>
      </w:r>
      <w:r w:rsidRPr="002753FF">
        <w:rPr>
          <w:sz w:val="22"/>
          <w:szCs w:val="22"/>
        </w:rPr>
        <w:t xml:space="preserve">  The risk of interference from adjacent channel operations is just as real as co-channel interference and unlicensed operations may need to be spectrally separated from microwave systems to a significant extent in order to protect them from potential interference from unlicensed operations.   It seems anomalous that the Commission’s rules protect against adjacent channel interference between licensed operations yet in this proceeding the Commission would exempt unlicensed operations from complying with adjacent channel and secondary adjacent channel interference protection standards.  Therefore, UTC, EEI, NRECA, APPA, API and AWWA oppose the FCC’s proposal to rely on OOBE rather than to require adjacent channel protection.</w:t>
      </w:r>
    </w:p>
    <w:p w14:paraId="4BA16273" w14:textId="77777777" w:rsidR="00EE700C" w:rsidRPr="002753FF" w:rsidRDefault="00C90D1C">
      <w:pPr>
        <w:pStyle w:val="Heading2"/>
        <w:spacing w:before="0" w:after="240"/>
        <w:ind w:left="720" w:hanging="360"/>
      </w:pPr>
      <w:r w:rsidRPr="002753FF">
        <w:rPr>
          <w:rFonts w:ascii="Times New Roman Bold" w:eastAsia="Times New Roman Bold" w:hAnsi="Times New Roman Bold" w:cs="Times New Roman Bold"/>
          <w:iCs w:val="0"/>
          <w:sz w:val="24"/>
          <w:szCs w:val="24"/>
        </w:rPr>
        <w:t>D.</w:t>
      </w:r>
      <w:r w:rsidRPr="002753FF">
        <w:rPr>
          <w:b w:val="0"/>
          <w:bCs w:val="0"/>
          <w:iCs w:val="0"/>
          <w:sz w:val="14"/>
          <w:szCs w:val="14"/>
        </w:rPr>
        <w:t xml:space="preserve">    </w:t>
      </w:r>
      <w:bookmarkStart w:id="25" w:name="_Toc1065086"/>
      <w:r w:rsidRPr="002753FF">
        <w:rPr>
          <w:rFonts w:ascii="Times New Roman Bold" w:eastAsia="Times New Roman Bold" w:hAnsi="Times New Roman Bold" w:cs="Times New Roman Bold"/>
          <w:iCs w:val="0"/>
          <w:sz w:val="24"/>
          <w:szCs w:val="24"/>
        </w:rPr>
        <w:t>The Commission must account for multipath fading and use stringent interference criteria and free space signal loss to ensure that AFC systems protect licensed microwave systems in the band.</w:t>
      </w:r>
      <w:bookmarkEnd w:id="25"/>
    </w:p>
    <w:p w14:paraId="094AB371" w14:textId="05AB9B01" w:rsidR="00EE700C" w:rsidRPr="002753FF" w:rsidRDefault="00C90D1C">
      <w:pPr>
        <w:widowControl w:val="0"/>
        <w:spacing w:line="480" w:lineRule="auto"/>
        <w:ind w:firstLine="720"/>
        <w:rPr>
          <w:sz w:val="22"/>
          <w:szCs w:val="22"/>
        </w:rPr>
      </w:pPr>
      <w:r w:rsidRPr="002753FF">
        <w:rPr>
          <w:sz w:val="22"/>
          <w:szCs w:val="22"/>
        </w:rPr>
        <w:t xml:space="preserve">As the Commission is aware, the problem of multipath fading significantly increases the potential of interference to microwave systems.  Hence, a significant fade margin is built into the design of microwave systems when they are coordinated and constructed.  A fade margin of up to 40 db is typically part of the specification, given that some of the links are up to 50 miles in length and can be subject to interference during inclement weather.  Modern digital systems are more sensitive to fade, as they operate at higher modulation levels to achieve greater data throughput now required by modern systems. Reduced fade margins can cause links to drop to lower throughputs, discarding or delaying critical data.  Electric company and CII systems are not designed based on any assumption the atmospheric ducting is limited to </w:t>
      </w:r>
      <w:r w:rsidRPr="002753FF">
        <w:rPr>
          <w:sz w:val="22"/>
          <w:szCs w:val="22"/>
        </w:rPr>
        <w:lastRenderedPageBreak/>
        <w:t>coastal areas or during certain seasons, and neither should the FCC.</w:t>
      </w:r>
      <w:r w:rsidRPr="002753FF">
        <w:rPr>
          <w:sz w:val="20"/>
          <w:szCs w:val="20"/>
          <w:vertAlign w:val="superscript"/>
        </w:rPr>
        <w:footnoteReference w:id="28"/>
      </w:r>
      <w:r w:rsidRPr="002753FF">
        <w:rPr>
          <w:sz w:val="22"/>
          <w:szCs w:val="22"/>
        </w:rPr>
        <w:t xml:space="preserve">  This form of multipath fading can occur in central parts of the country just as much as coastal areas, and it can occur throughout the year.  Accordingly, the Commission should ensure that unlicensed operations are restricted from cutting into the fade margins that are designed into microwave systems to maintain Five 9’s of reliability.</w:t>
      </w:r>
    </w:p>
    <w:p w14:paraId="5A092E5A" w14:textId="77777777" w:rsidR="00EE700C" w:rsidRPr="002753FF" w:rsidRDefault="00C90D1C">
      <w:pPr>
        <w:widowControl w:val="0"/>
        <w:spacing w:line="480" w:lineRule="auto"/>
        <w:ind w:firstLine="720"/>
        <w:rPr>
          <w:sz w:val="22"/>
          <w:szCs w:val="22"/>
        </w:rPr>
        <w:sectPr w:rsidR="00EE700C" w:rsidRPr="002753FF">
          <w:footerReference w:type="default" r:id="rId11"/>
          <w:pgSz w:w="12240" w:h="15840"/>
          <w:pgMar w:top="1440" w:right="1440" w:bottom="1440" w:left="1440" w:header="708" w:footer="708" w:gutter="0"/>
          <w:cols w:space="708"/>
        </w:sectPr>
      </w:pPr>
      <w:r w:rsidRPr="002753FF">
        <w:rPr>
          <w:sz w:val="22"/>
          <w:szCs w:val="22"/>
        </w:rPr>
        <w:t>While the Commission has proposed adopting interference criteria of zero dB (I/N of 0 dB),</w:t>
      </w:r>
      <w:r w:rsidRPr="002753FF">
        <w:rPr>
          <w:sz w:val="20"/>
          <w:szCs w:val="20"/>
          <w:vertAlign w:val="superscript"/>
        </w:rPr>
        <w:footnoteReference w:id="29"/>
      </w:r>
      <w:r w:rsidRPr="002753FF">
        <w:rPr>
          <w:sz w:val="22"/>
          <w:szCs w:val="22"/>
        </w:rPr>
        <w:t xml:space="preserve"> UTC, EEI, NRECA, APPA, API and AWWA believe that a interference criterion of 1 dB fade margin degradation (I/N = – 6 dB) would be more appropriate.</w:t>
      </w:r>
      <w:r w:rsidRPr="002753FF">
        <w:rPr>
          <w:sz w:val="20"/>
          <w:szCs w:val="20"/>
          <w:vertAlign w:val="superscript"/>
        </w:rPr>
        <w:footnoteReference w:id="30"/>
      </w:r>
      <w:r w:rsidRPr="002753FF">
        <w:rPr>
          <w:sz w:val="22"/>
          <w:szCs w:val="22"/>
        </w:rPr>
        <w:t xml:space="preserve">  Further, UTC, EEI, NRECA, APPA, API and AWWA support a free space loss propagation model that assumes line of sight for every link, as suggested by the FWCC.</w:t>
      </w:r>
      <w:r w:rsidRPr="002753FF">
        <w:rPr>
          <w:sz w:val="20"/>
          <w:szCs w:val="20"/>
          <w:vertAlign w:val="superscript"/>
        </w:rPr>
        <w:footnoteReference w:id="31"/>
      </w:r>
      <w:r w:rsidRPr="002753FF">
        <w:rPr>
          <w:sz w:val="22"/>
          <w:szCs w:val="22"/>
        </w:rPr>
        <w:t xml:space="preserve">  Finally, while the Commission is proposing to establish a model that would feature standard power access points with a degree of uncertainty built into the exact location but assuming a standard height above ground level of 30 meters,</w:t>
      </w:r>
      <w:r w:rsidRPr="002753FF">
        <w:rPr>
          <w:sz w:val="20"/>
          <w:szCs w:val="20"/>
          <w:vertAlign w:val="superscript"/>
        </w:rPr>
        <w:footnoteReference w:id="32"/>
      </w:r>
      <w:r w:rsidRPr="002753FF">
        <w:rPr>
          <w:sz w:val="22"/>
          <w:szCs w:val="22"/>
        </w:rPr>
        <w:t xml:space="preserve"> UTC, EEI, NRECA, APPA, API and AWWA believe that the accuracy of the location of these unlicensed devices is important for any mixed use situation, and should be periodically updated. Furthermore, it should only allow the client devices to transmit when both the client devices and the master controllers are located outside the exclusion zones.  Accordingly, if the Commission decides to permit unlicensed operations in the 6 GHz band, it should adopt the interference criteria and the propagation model recommended herein.</w:t>
      </w:r>
    </w:p>
    <w:p w14:paraId="3A61CA72" w14:textId="236616A2" w:rsidR="00EE700C" w:rsidRPr="002753FF" w:rsidRDefault="00C90D1C">
      <w:pPr>
        <w:pStyle w:val="Heading2"/>
        <w:spacing w:before="0" w:after="240"/>
        <w:ind w:left="720" w:hanging="360"/>
      </w:pPr>
      <w:r w:rsidRPr="002753FF">
        <w:rPr>
          <w:rFonts w:ascii="Times New Roman Bold" w:eastAsia="Times New Roman Bold" w:hAnsi="Times New Roman Bold" w:cs="Times New Roman Bold"/>
          <w:iCs w:val="0"/>
          <w:sz w:val="24"/>
          <w:szCs w:val="24"/>
        </w:rPr>
        <w:lastRenderedPageBreak/>
        <w:t>E.</w:t>
      </w:r>
      <w:r w:rsidRPr="002753FF">
        <w:rPr>
          <w:b w:val="0"/>
          <w:bCs w:val="0"/>
          <w:iCs w:val="0"/>
          <w:sz w:val="14"/>
          <w:szCs w:val="14"/>
        </w:rPr>
        <w:t xml:space="preserve">     </w:t>
      </w:r>
      <w:bookmarkStart w:id="26" w:name="_Toc1065087"/>
      <w:r w:rsidRPr="002753FF">
        <w:rPr>
          <w:rFonts w:ascii="Times New Roman Bold" w:eastAsia="Times New Roman Bold" w:hAnsi="Times New Roman Bold" w:cs="Times New Roman Bold"/>
          <w:iCs w:val="0"/>
          <w:sz w:val="24"/>
          <w:szCs w:val="24"/>
        </w:rPr>
        <w:t xml:space="preserve">Enforcement mechanisms are needed </w:t>
      </w:r>
      <w:r w:rsidR="00242546" w:rsidRPr="002753FF">
        <w:rPr>
          <w:rFonts w:ascii="Times New Roman Bold" w:eastAsia="Times New Roman Bold" w:hAnsi="Times New Roman Bold" w:cs="Times New Roman Bold"/>
          <w:iCs w:val="0"/>
          <w:sz w:val="24"/>
          <w:szCs w:val="24"/>
        </w:rPr>
        <w:t>if</w:t>
      </w:r>
      <w:r w:rsidRPr="002753FF">
        <w:rPr>
          <w:rFonts w:ascii="Times New Roman Bold" w:eastAsia="Times New Roman Bold" w:hAnsi="Times New Roman Bold" w:cs="Times New Roman Bold"/>
          <w:iCs w:val="0"/>
          <w:sz w:val="24"/>
          <w:szCs w:val="24"/>
        </w:rPr>
        <w:t xml:space="preserve"> interference occurs to licensed microwave systems in the 6 GHz band, including minimum standards for updating AFC systems and Commission clarification that unlicensed operators or AFC system operators are legally liable for the consequences of interference to microwave systems in the band.</w:t>
      </w:r>
      <w:bookmarkEnd w:id="26"/>
      <w:r w:rsidRPr="002753FF">
        <w:rPr>
          <w:rFonts w:ascii="Times New Roman Bold" w:eastAsia="Times New Roman Bold" w:hAnsi="Times New Roman Bold" w:cs="Times New Roman Bold"/>
          <w:iCs w:val="0"/>
          <w:sz w:val="24"/>
          <w:szCs w:val="24"/>
        </w:rPr>
        <w:t xml:space="preserve"> </w:t>
      </w:r>
    </w:p>
    <w:p w14:paraId="54A04E8E" w14:textId="3DDDE202" w:rsidR="00EE700C" w:rsidRPr="002753FF" w:rsidRDefault="00C90D1C">
      <w:pPr>
        <w:widowControl w:val="0"/>
        <w:spacing w:line="480" w:lineRule="auto"/>
        <w:ind w:firstLine="720"/>
        <w:rPr>
          <w:sz w:val="22"/>
          <w:szCs w:val="22"/>
        </w:rPr>
      </w:pPr>
      <w:r w:rsidRPr="002753FF">
        <w:rPr>
          <w:sz w:val="22"/>
          <w:szCs w:val="22"/>
        </w:rPr>
        <w:t>As a practical matter, stronger enforcement mechanisms must be in place to respond to instances of interference.  There is a high likelihood that multiple AFCs, including cloud-based AFCs, will be used to mitigate interference.  In that regard, electric companies and CII support the establishment of a centralized AFC that would promote the remediation of interference that occurs.</w:t>
      </w:r>
      <w:r w:rsidRPr="002753FF">
        <w:rPr>
          <w:sz w:val="20"/>
          <w:szCs w:val="20"/>
          <w:vertAlign w:val="superscript"/>
        </w:rPr>
        <w:footnoteReference w:id="33"/>
      </w:r>
      <w:r w:rsidRPr="002753FF">
        <w:rPr>
          <w:sz w:val="22"/>
          <w:szCs w:val="22"/>
        </w:rPr>
        <w:t xml:space="preserve">  In addition, electric companies and CII recommend registration of unlicensed operations and identifying information and the location of unlicensed operations to assist with determining unlicensed devices that cause interference.  Also, electric companies and CII urge the Commission to require that AFCs provide contact information for licensees to use when they experience interference.  </w:t>
      </w:r>
    </w:p>
    <w:p w14:paraId="064971D9" w14:textId="77777777" w:rsidR="00EE700C" w:rsidRPr="002753FF" w:rsidRDefault="00C90D1C">
      <w:pPr>
        <w:widowControl w:val="0"/>
        <w:spacing w:line="480" w:lineRule="auto"/>
        <w:ind w:firstLine="720"/>
        <w:rPr>
          <w:sz w:val="22"/>
          <w:szCs w:val="22"/>
        </w:rPr>
      </w:pPr>
      <w:r w:rsidRPr="002753FF">
        <w:rPr>
          <w:sz w:val="22"/>
          <w:szCs w:val="22"/>
        </w:rPr>
        <w:t>Given that microwave operations may commence operations as soon as an application is filed with the FCC, the AFC systems should be updated as frequently as possible but at no less than 24 hour intervals.</w:t>
      </w:r>
      <w:r w:rsidRPr="002753FF">
        <w:rPr>
          <w:sz w:val="20"/>
          <w:szCs w:val="20"/>
          <w:vertAlign w:val="superscript"/>
        </w:rPr>
        <w:footnoteReference w:id="34"/>
      </w:r>
      <w:r w:rsidRPr="002753FF">
        <w:rPr>
          <w:sz w:val="22"/>
          <w:szCs w:val="22"/>
        </w:rPr>
        <w:t xml:space="preserve">  Security requirements for the AFC system should be at least as stringent as those that apply to operations in the CBRS and the TV Whitespaces Service (“TVWS”).</w:t>
      </w:r>
      <w:r w:rsidRPr="002753FF">
        <w:rPr>
          <w:sz w:val="20"/>
          <w:szCs w:val="20"/>
          <w:vertAlign w:val="superscript"/>
        </w:rPr>
        <w:footnoteReference w:id="35"/>
      </w:r>
      <w:r w:rsidRPr="002753FF">
        <w:rPr>
          <w:sz w:val="22"/>
          <w:szCs w:val="22"/>
        </w:rPr>
        <w:t xml:space="preserve">  Given the criticality of the communications that are carried over microwave systems in the 6 GHz band and the need to protect against interference, AFC operators should be designated by the Commission through a certification process that is at least as stringent as what applies to the CBRS or TVWS.  AFC operators should be permitted to charge fees to unlicensed operators in the 6 GHz band, which would promote sustainability of AFC systems going forward; but in no event should these fees apply to microwave licensees in the band.  </w:t>
      </w:r>
    </w:p>
    <w:p w14:paraId="6559C208" w14:textId="3A1FC3A8" w:rsidR="00EE700C" w:rsidRPr="002753FF" w:rsidRDefault="00C90D1C" w:rsidP="004211FA">
      <w:pPr>
        <w:widowControl w:val="0"/>
        <w:spacing w:line="480" w:lineRule="auto"/>
        <w:ind w:firstLine="720"/>
        <w:rPr>
          <w:sz w:val="22"/>
          <w:szCs w:val="22"/>
        </w:rPr>
      </w:pPr>
      <w:r w:rsidRPr="002753FF">
        <w:rPr>
          <w:sz w:val="22"/>
          <w:szCs w:val="22"/>
        </w:rPr>
        <w:t xml:space="preserve">Finally, and very importantly, the Commission should clarify whether the AFC or the unlicensed operator is ultimately responsible for correcting the interference that is caused, as well as assuming liability for </w:t>
      </w:r>
      <w:r w:rsidRPr="002753FF">
        <w:rPr>
          <w:sz w:val="22"/>
          <w:szCs w:val="22"/>
        </w:rPr>
        <w:lastRenderedPageBreak/>
        <w:t xml:space="preserve">the consequences of the interference.  As noted above and as reported on the record by electric companies and other CII, the extent to which interference can affect microwave systems can be significant, particularly due to the time it would take for systems to resynchronize.  </w:t>
      </w:r>
      <w:bookmarkStart w:id="27" w:name="_Hlk1047583"/>
      <w:r w:rsidRPr="002753FF">
        <w:rPr>
          <w:sz w:val="22"/>
          <w:szCs w:val="22"/>
        </w:rPr>
        <w:t xml:space="preserve">Moreover, </w:t>
      </w:r>
      <w:bookmarkStart w:id="28" w:name="_Hlk1047555"/>
      <w:r w:rsidRPr="002753FF">
        <w:rPr>
          <w:sz w:val="22"/>
          <w:szCs w:val="22"/>
        </w:rPr>
        <w:t xml:space="preserve">the liability resulting from a widespread outage or some other accident caused by interference to </w:t>
      </w:r>
      <w:bookmarkEnd w:id="28"/>
      <w:r w:rsidRPr="002753FF">
        <w:rPr>
          <w:sz w:val="22"/>
          <w:szCs w:val="22"/>
        </w:rPr>
        <w:t xml:space="preserve">electric company or CII systems is substantial; the Commission should clarify that unlicensed operators bear the liability for the consequences of the interference that they cause.  </w:t>
      </w:r>
      <w:bookmarkEnd w:id="27"/>
      <w:r w:rsidRPr="002753FF">
        <w:rPr>
          <w:sz w:val="22"/>
          <w:szCs w:val="22"/>
        </w:rPr>
        <w:t>This would be generally consistent with Commission policies and would serve the public interest in protecting the safety, security and reliability of microwave systems that help to deliver essential energy and water services, as well as other critical services.</w:t>
      </w:r>
      <w:r w:rsidRPr="002753FF">
        <w:rPr>
          <w:sz w:val="22"/>
          <w:szCs w:val="22"/>
        </w:rPr>
        <w:br w:type="page"/>
      </w:r>
      <w:r w:rsidRPr="002753FF">
        <w:rPr>
          <w:b/>
          <w:bCs/>
          <w:sz w:val="22"/>
          <w:szCs w:val="22"/>
        </w:rPr>
        <w:lastRenderedPageBreak/>
        <w:t>CONCLUSION</w:t>
      </w:r>
    </w:p>
    <w:p w14:paraId="3F759595" w14:textId="77777777" w:rsidR="00EE700C" w:rsidRPr="002753FF" w:rsidRDefault="00C90D1C">
      <w:pPr>
        <w:spacing w:after="200" w:line="480" w:lineRule="auto"/>
        <w:ind w:firstLine="720"/>
        <w:rPr>
          <w:sz w:val="22"/>
          <w:szCs w:val="22"/>
        </w:rPr>
      </w:pPr>
      <w:r w:rsidRPr="002753FF">
        <w:rPr>
          <w:b/>
          <w:bCs/>
          <w:sz w:val="22"/>
          <w:szCs w:val="22"/>
        </w:rPr>
        <w:t xml:space="preserve">WHEREFORE, </w:t>
      </w:r>
      <w:r w:rsidRPr="002753FF">
        <w:rPr>
          <w:sz w:val="22"/>
          <w:szCs w:val="22"/>
        </w:rPr>
        <w:t xml:space="preserve">the premises considered, UTC, EEI, NRECA, APPA, API and AWWA respectfully oppose the proposal to permit unlicensed operations in the 6 GHz band, because doing so poses a significant risk of interference to microwave systems that electric companies and CII uses to ensure the safe, reliable and effective delivery of essential utility, electric, water, oil, and gas operations.  The potential for interference cannot be effectively mitigated using AFC, as proposed by the Commission.  Improving the reliability, resilience and efficiency of the electric grid has been a priority at all levels of government, and within the utility sector, for years and much progress has been made.  However, allowing for unlicensed use of the 6 GHz band and the corresponding interference with CII operations it would cause runs counter to that national goal.  Accordingly, UTC, EEI, NRECA, APPA, API and AWWA urge the Commission not to permit unlicensed operations in the band.  Alternatively, if the Commission does authorize unlicensed operations in the band it should protect against interference by requiring prior coordination of outdoor and indoor operations essential for electric companies and CII, notwithstanding the adoption of other interference protections that ensure the reliability of 6 GHz microwave systems.  </w:t>
      </w:r>
    </w:p>
    <w:p w14:paraId="1CF84574" w14:textId="77777777" w:rsidR="00EE700C" w:rsidRPr="002753FF" w:rsidRDefault="00C90D1C">
      <w:pPr>
        <w:widowControl w:val="0"/>
        <w:spacing w:line="480" w:lineRule="auto"/>
        <w:ind w:left="3600" w:firstLine="720"/>
        <w:rPr>
          <w:sz w:val="22"/>
          <w:szCs w:val="22"/>
        </w:rPr>
      </w:pPr>
      <w:r w:rsidRPr="002753FF">
        <w:rPr>
          <w:sz w:val="22"/>
          <w:szCs w:val="22"/>
        </w:rPr>
        <w:t>Respectfully,</w:t>
      </w:r>
    </w:p>
    <w:p w14:paraId="7B8D4230" w14:textId="77777777" w:rsidR="00EE700C" w:rsidRPr="002753FF" w:rsidRDefault="00C90D1C">
      <w:pPr>
        <w:spacing w:line="276" w:lineRule="auto"/>
        <w:ind w:left="3600" w:firstLine="720"/>
        <w:rPr>
          <w:sz w:val="22"/>
          <w:szCs w:val="22"/>
        </w:rPr>
      </w:pPr>
      <w:r w:rsidRPr="002753FF">
        <w:rPr>
          <w:b/>
          <w:bCs/>
          <w:sz w:val="22"/>
          <w:szCs w:val="22"/>
        </w:rPr>
        <w:t xml:space="preserve">Utilities Technology Council </w:t>
      </w:r>
      <w:r w:rsidRPr="002753FF">
        <w:rPr>
          <w:b/>
          <w:bCs/>
          <w:sz w:val="22"/>
          <w:szCs w:val="22"/>
        </w:rPr>
        <w:tab/>
      </w:r>
    </w:p>
    <w:p w14:paraId="75311D7A" w14:textId="77777777" w:rsidR="00EE700C" w:rsidRPr="002753FF" w:rsidRDefault="00C90D1C">
      <w:pPr>
        <w:widowControl w:val="0"/>
        <w:tabs>
          <w:tab w:val="left" w:pos="7518"/>
        </w:tabs>
        <w:ind w:left="3600" w:firstLine="720"/>
        <w:rPr>
          <w:sz w:val="22"/>
          <w:szCs w:val="22"/>
        </w:rPr>
      </w:pPr>
      <w:r w:rsidRPr="002753FF">
        <w:rPr>
          <w:sz w:val="22"/>
          <w:szCs w:val="22"/>
        </w:rPr>
        <w:tab/>
      </w:r>
    </w:p>
    <w:p w14:paraId="7844BCD7" w14:textId="77777777" w:rsidR="00EE700C" w:rsidRPr="002753FF" w:rsidRDefault="00C90D1C">
      <w:pPr>
        <w:widowControl w:val="0"/>
        <w:ind w:left="3600" w:firstLine="720"/>
        <w:rPr>
          <w:sz w:val="22"/>
          <w:szCs w:val="22"/>
        </w:rPr>
      </w:pPr>
      <w:r w:rsidRPr="002753FF">
        <w:rPr>
          <w:sz w:val="22"/>
          <w:szCs w:val="22"/>
        </w:rPr>
        <w:t>_ ___________________</w:t>
      </w:r>
    </w:p>
    <w:p w14:paraId="000D7720" w14:textId="77777777" w:rsidR="00EE700C" w:rsidRPr="002753FF" w:rsidRDefault="00C90D1C">
      <w:pPr>
        <w:widowControl w:val="0"/>
        <w:ind w:left="3600" w:firstLine="720"/>
        <w:rPr>
          <w:sz w:val="22"/>
          <w:szCs w:val="22"/>
        </w:rPr>
      </w:pPr>
      <w:r w:rsidRPr="002753FF">
        <w:rPr>
          <w:sz w:val="22"/>
          <w:szCs w:val="22"/>
        </w:rPr>
        <w:t xml:space="preserve">Brett Kilbourne </w:t>
      </w:r>
    </w:p>
    <w:p w14:paraId="1F9FB336" w14:textId="77777777" w:rsidR="00EE700C" w:rsidRPr="002753FF" w:rsidRDefault="00C90D1C">
      <w:pPr>
        <w:widowControl w:val="0"/>
        <w:ind w:left="3600" w:firstLine="720"/>
        <w:rPr>
          <w:sz w:val="22"/>
          <w:szCs w:val="22"/>
        </w:rPr>
      </w:pPr>
      <w:r w:rsidRPr="002753FF">
        <w:rPr>
          <w:sz w:val="22"/>
          <w:szCs w:val="22"/>
        </w:rPr>
        <w:t>Vice President Policy and General Counsel</w:t>
      </w:r>
    </w:p>
    <w:p w14:paraId="4CAAD504" w14:textId="77777777" w:rsidR="00EE700C" w:rsidRPr="002753FF" w:rsidRDefault="00C90D1C">
      <w:pPr>
        <w:widowControl w:val="0"/>
        <w:ind w:left="3600" w:firstLine="720"/>
        <w:rPr>
          <w:sz w:val="22"/>
          <w:szCs w:val="22"/>
        </w:rPr>
      </w:pPr>
      <w:r w:rsidRPr="002753FF">
        <w:rPr>
          <w:sz w:val="22"/>
          <w:szCs w:val="22"/>
        </w:rPr>
        <w:t>Utilities Technology Council</w:t>
      </w:r>
    </w:p>
    <w:p w14:paraId="50BADCFC" w14:textId="77777777" w:rsidR="00EE700C" w:rsidRPr="002753FF" w:rsidRDefault="00C90D1C">
      <w:pPr>
        <w:widowControl w:val="0"/>
        <w:ind w:left="3600" w:firstLine="720"/>
        <w:rPr>
          <w:sz w:val="22"/>
          <w:szCs w:val="22"/>
        </w:rPr>
      </w:pPr>
      <w:r w:rsidRPr="002753FF">
        <w:rPr>
          <w:sz w:val="22"/>
          <w:szCs w:val="22"/>
        </w:rPr>
        <w:t>2511 Jefferson Davis Highway</w:t>
      </w:r>
    </w:p>
    <w:p w14:paraId="2BBC83EB" w14:textId="77777777" w:rsidR="00EE700C" w:rsidRPr="002753FF" w:rsidRDefault="00C90D1C">
      <w:pPr>
        <w:widowControl w:val="0"/>
        <w:ind w:left="3600" w:firstLine="720"/>
        <w:rPr>
          <w:sz w:val="22"/>
          <w:szCs w:val="22"/>
        </w:rPr>
      </w:pPr>
      <w:r w:rsidRPr="002753FF">
        <w:rPr>
          <w:sz w:val="22"/>
          <w:szCs w:val="22"/>
        </w:rPr>
        <w:t>Suite 960</w:t>
      </w:r>
    </w:p>
    <w:p w14:paraId="7A1D9613" w14:textId="77777777" w:rsidR="00EE700C" w:rsidRPr="002753FF" w:rsidRDefault="00C90D1C">
      <w:pPr>
        <w:widowControl w:val="0"/>
        <w:ind w:left="3600" w:firstLine="720"/>
        <w:rPr>
          <w:sz w:val="22"/>
          <w:szCs w:val="22"/>
        </w:rPr>
      </w:pPr>
      <w:r w:rsidRPr="002753FF">
        <w:rPr>
          <w:sz w:val="22"/>
          <w:szCs w:val="22"/>
        </w:rPr>
        <w:t>Arlington, VA 22202</w:t>
      </w:r>
    </w:p>
    <w:p w14:paraId="5C135096" w14:textId="77777777" w:rsidR="00EE700C" w:rsidRPr="002753FF" w:rsidRDefault="00C90D1C">
      <w:pPr>
        <w:widowControl w:val="0"/>
        <w:ind w:left="3600" w:firstLine="720"/>
        <w:rPr>
          <w:sz w:val="22"/>
          <w:szCs w:val="22"/>
        </w:rPr>
      </w:pPr>
      <w:r w:rsidRPr="002753FF">
        <w:rPr>
          <w:sz w:val="22"/>
          <w:szCs w:val="22"/>
        </w:rPr>
        <w:t>202-872-0030</w:t>
      </w:r>
    </w:p>
    <w:p w14:paraId="6C0763BB" w14:textId="77777777" w:rsidR="00EE700C" w:rsidRPr="002753FF" w:rsidRDefault="00EE700C">
      <w:pPr>
        <w:widowControl w:val="0"/>
        <w:spacing w:line="480" w:lineRule="auto"/>
        <w:ind w:left="3600" w:firstLine="720"/>
        <w:rPr>
          <w:sz w:val="22"/>
          <w:szCs w:val="22"/>
        </w:rPr>
      </w:pPr>
    </w:p>
    <w:p w14:paraId="7289E395" w14:textId="77777777" w:rsidR="00EE700C" w:rsidRPr="002753FF" w:rsidRDefault="00C90D1C">
      <w:pPr>
        <w:spacing w:after="200" w:line="276" w:lineRule="auto"/>
        <w:ind w:left="4320"/>
        <w:rPr>
          <w:sz w:val="22"/>
          <w:szCs w:val="22"/>
        </w:rPr>
      </w:pPr>
      <w:r w:rsidRPr="002753FF">
        <w:rPr>
          <w:sz w:val="22"/>
          <w:szCs w:val="22"/>
        </w:rPr>
        <w:br w:type="page"/>
      </w:r>
      <w:r w:rsidRPr="002753FF">
        <w:rPr>
          <w:b/>
          <w:bCs/>
          <w:sz w:val="22"/>
          <w:szCs w:val="22"/>
        </w:rPr>
        <w:lastRenderedPageBreak/>
        <w:t>Edison Electric Institute</w:t>
      </w:r>
    </w:p>
    <w:p w14:paraId="2EECC5A3" w14:textId="77777777" w:rsidR="00EE700C" w:rsidRPr="002753FF" w:rsidRDefault="00C90D1C">
      <w:pPr>
        <w:widowControl w:val="0"/>
        <w:spacing w:line="480" w:lineRule="auto"/>
        <w:ind w:left="3600" w:firstLine="720"/>
        <w:rPr>
          <w:sz w:val="22"/>
          <w:szCs w:val="22"/>
        </w:rPr>
      </w:pPr>
      <w:r w:rsidRPr="002753FF">
        <w:rPr>
          <w:sz w:val="22"/>
          <w:szCs w:val="22"/>
        </w:rPr>
        <w:t>__ _____________________</w:t>
      </w:r>
    </w:p>
    <w:p w14:paraId="4C66D774" w14:textId="77777777" w:rsidR="00EE700C" w:rsidRPr="002753FF" w:rsidRDefault="00C90D1C">
      <w:pPr>
        <w:spacing w:line="276" w:lineRule="auto"/>
        <w:ind w:left="4320"/>
        <w:rPr>
          <w:sz w:val="22"/>
          <w:szCs w:val="22"/>
        </w:rPr>
      </w:pPr>
      <w:r w:rsidRPr="002753FF">
        <w:rPr>
          <w:sz w:val="22"/>
          <w:szCs w:val="22"/>
        </w:rPr>
        <w:t>Aryeh B. Fishman</w:t>
      </w:r>
    </w:p>
    <w:p w14:paraId="206463CB" w14:textId="77777777" w:rsidR="00EE700C" w:rsidRPr="002753FF" w:rsidRDefault="00C90D1C">
      <w:pPr>
        <w:spacing w:line="276" w:lineRule="auto"/>
        <w:ind w:left="4320"/>
        <w:rPr>
          <w:sz w:val="22"/>
          <w:szCs w:val="22"/>
        </w:rPr>
      </w:pPr>
      <w:r w:rsidRPr="002753FF">
        <w:rPr>
          <w:sz w:val="22"/>
          <w:szCs w:val="22"/>
        </w:rPr>
        <w:t>Associate General Counsel, Regulatory Legal Affairs</w:t>
      </w:r>
    </w:p>
    <w:p w14:paraId="465536BE" w14:textId="77777777" w:rsidR="00EE700C" w:rsidRPr="002753FF" w:rsidRDefault="00C90D1C">
      <w:pPr>
        <w:spacing w:line="276" w:lineRule="auto"/>
        <w:ind w:left="4320"/>
        <w:rPr>
          <w:sz w:val="22"/>
          <w:szCs w:val="22"/>
        </w:rPr>
      </w:pPr>
      <w:r w:rsidRPr="002753FF">
        <w:rPr>
          <w:sz w:val="22"/>
          <w:szCs w:val="22"/>
        </w:rPr>
        <w:t>Edison Electric Institute</w:t>
      </w:r>
    </w:p>
    <w:p w14:paraId="4E21E240" w14:textId="77777777" w:rsidR="00EE700C" w:rsidRPr="002753FF" w:rsidRDefault="00C90D1C">
      <w:pPr>
        <w:spacing w:line="276" w:lineRule="auto"/>
        <w:ind w:left="4320"/>
        <w:rPr>
          <w:sz w:val="22"/>
          <w:szCs w:val="22"/>
        </w:rPr>
      </w:pPr>
      <w:r w:rsidRPr="002753FF">
        <w:rPr>
          <w:sz w:val="22"/>
          <w:szCs w:val="22"/>
        </w:rPr>
        <w:t>701 Pennsylvania Avenue, N.W.</w:t>
      </w:r>
    </w:p>
    <w:p w14:paraId="04F1992E" w14:textId="77777777" w:rsidR="00EE700C" w:rsidRPr="002753FF" w:rsidRDefault="00C90D1C">
      <w:pPr>
        <w:spacing w:line="276" w:lineRule="auto"/>
        <w:ind w:left="4320"/>
        <w:rPr>
          <w:sz w:val="22"/>
          <w:szCs w:val="22"/>
        </w:rPr>
      </w:pPr>
      <w:r w:rsidRPr="002753FF">
        <w:rPr>
          <w:sz w:val="22"/>
          <w:szCs w:val="22"/>
        </w:rPr>
        <w:t>Washington, D.C. 20004</w:t>
      </w:r>
    </w:p>
    <w:p w14:paraId="438E2AB7" w14:textId="77777777" w:rsidR="00EE700C" w:rsidRPr="002753FF" w:rsidRDefault="00C90D1C">
      <w:pPr>
        <w:spacing w:line="276" w:lineRule="auto"/>
        <w:ind w:left="4320"/>
        <w:rPr>
          <w:sz w:val="22"/>
          <w:szCs w:val="22"/>
        </w:rPr>
      </w:pPr>
      <w:r w:rsidRPr="002753FF">
        <w:rPr>
          <w:sz w:val="22"/>
          <w:szCs w:val="22"/>
        </w:rPr>
        <w:t>(202) 508-5000</w:t>
      </w:r>
    </w:p>
    <w:p w14:paraId="40098061" w14:textId="77777777" w:rsidR="00EE700C" w:rsidRPr="002753FF" w:rsidRDefault="00EE700C">
      <w:pPr>
        <w:spacing w:line="276" w:lineRule="auto"/>
        <w:ind w:left="4320"/>
        <w:rPr>
          <w:sz w:val="22"/>
          <w:szCs w:val="22"/>
        </w:rPr>
      </w:pPr>
    </w:p>
    <w:p w14:paraId="478ED12B" w14:textId="77777777" w:rsidR="00EE700C" w:rsidRPr="002753FF" w:rsidRDefault="00C90D1C">
      <w:pPr>
        <w:spacing w:after="200" w:line="276" w:lineRule="auto"/>
        <w:ind w:left="4320"/>
        <w:rPr>
          <w:sz w:val="22"/>
          <w:szCs w:val="22"/>
        </w:rPr>
      </w:pPr>
      <w:r w:rsidRPr="002753FF">
        <w:rPr>
          <w:b/>
          <w:bCs/>
          <w:sz w:val="22"/>
          <w:szCs w:val="22"/>
        </w:rPr>
        <w:t>National Rural Electric Cooperative Association</w:t>
      </w:r>
    </w:p>
    <w:p w14:paraId="4CFB46D9" w14:textId="77777777" w:rsidR="00EE700C" w:rsidRPr="002753FF" w:rsidRDefault="00C90D1C">
      <w:pPr>
        <w:spacing w:after="200" w:line="276" w:lineRule="auto"/>
        <w:ind w:left="4320"/>
        <w:rPr>
          <w:sz w:val="22"/>
          <w:szCs w:val="22"/>
        </w:rPr>
      </w:pPr>
      <w:r w:rsidRPr="002753FF">
        <w:rPr>
          <w:sz w:val="22"/>
          <w:szCs w:val="22"/>
        </w:rPr>
        <w:t>_ _______________________</w:t>
      </w:r>
    </w:p>
    <w:p w14:paraId="5ED9BFB5" w14:textId="77777777" w:rsidR="00EE700C" w:rsidRPr="002753FF" w:rsidRDefault="00C90D1C">
      <w:pPr>
        <w:spacing w:line="276" w:lineRule="auto"/>
        <w:ind w:left="4320"/>
        <w:rPr>
          <w:sz w:val="22"/>
          <w:szCs w:val="22"/>
        </w:rPr>
      </w:pPr>
      <w:r w:rsidRPr="002753FF">
        <w:rPr>
          <w:sz w:val="22"/>
          <w:szCs w:val="22"/>
        </w:rPr>
        <w:t>Brian O’Hara</w:t>
      </w:r>
    </w:p>
    <w:p w14:paraId="629C6A87" w14:textId="77777777" w:rsidR="00EE700C" w:rsidRPr="002753FF" w:rsidRDefault="00C90D1C">
      <w:pPr>
        <w:spacing w:line="276" w:lineRule="auto"/>
        <w:ind w:left="4320"/>
        <w:rPr>
          <w:sz w:val="22"/>
          <w:szCs w:val="22"/>
        </w:rPr>
      </w:pPr>
      <w:r w:rsidRPr="002753FF">
        <w:rPr>
          <w:sz w:val="22"/>
          <w:szCs w:val="22"/>
        </w:rPr>
        <w:t>Senior Director Regulatory Issues – Telecom &amp; Broadband</w:t>
      </w:r>
    </w:p>
    <w:p w14:paraId="25AFACD7" w14:textId="77777777" w:rsidR="00EE700C" w:rsidRPr="002753FF" w:rsidRDefault="00C90D1C">
      <w:pPr>
        <w:spacing w:line="276" w:lineRule="auto"/>
        <w:ind w:left="4320"/>
        <w:rPr>
          <w:sz w:val="22"/>
          <w:szCs w:val="22"/>
        </w:rPr>
      </w:pPr>
      <w:r w:rsidRPr="002753FF">
        <w:rPr>
          <w:sz w:val="22"/>
          <w:szCs w:val="22"/>
        </w:rPr>
        <w:t xml:space="preserve">National Rural Electric Cooperative Association </w:t>
      </w:r>
    </w:p>
    <w:p w14:paraId="5F8667E1" w14:textId="77777777" w:rsidR="00EE700C" w:rsidRPr="002753FF" w:rsidRDefault="00C90D1C">
      <w:pPr>
        <w:spacing w:line="276" w:lineRule="auto"/>
        <w:ind w:left="4320"/>
        <w:rPr>
          <w:sz w:val="22"/>
          <w:szCs w:val="22"/>
        </w:rPr>
      </w:pPr>
      <w:r w:rsidRPr="002753FF">
        <w:rPr>
          <w:sz w:val="22"/>
          <w:szCs w:val="22"/>
        </w:rPr>
        <w:t xml:space="preserve">4301 Wilson Blvd. </w:t>
      </w:r>
    </w:p>
    <w:p w14:paraId="424C1049" w14:textId="77777777" w:rsidR="00EE700C" w:rsidRPr="002753FF" w:rsidRDefault="00C90D1C">
      <w:pPr>
        <w:spacing w:line="276" w:lineRule="auto"/>
        <w:ind w:left="4320"/>
        <w:rPr>
          <w:sz w:val="22"/>
          <w:szCs w:val="22"/>
        </w:rPr>
      </w:pPr>
      <w:r w:rsidRPr="002753FF">
        <w:rPr>
          <w:sz w:val="22"/>
          <w:szCs w:val="22"/>
        </w:rPr>
        <w:t>Arlington, VA 22203</w:t>
      </w:r>
    </w:p>
    <w:p w14:paraId="7B19896C" w14:textId="77777777" w:rsidR="00EE700C" w:rsidRPr="002753FF" w:rsidRDefault="00C90D1C">
      <w:pPr>
        <w:spacing w:after="200" w:line="276" w:lineRule="auto"/>
        <w:ind w:left="4320"/>
        <w:rPr>
          <w:sz w:val="22"/>
          <w:szCs w:val="22"/>
        </w:rPr>
      </w:pPr>
      <w:r w:rsidRPr="002753FF">
        <w:rPr>
          <w:sz w:val="22"/>
          <w:szCs w:val="22"/>
        </w:rPr>
        <w:t xml:space="preserve">703-907-5798 </w:t>
      </w:r>
    </w:p>
    <w:p w14:paraId="1DB9EA53" w14:textId="77777777" w:rsidR="00EE700C" w:rsidRPr="002753FF" w:rsidRDefault="00C90D1C">
      <w:pPr>
        <w:widowControl w:val="0"/>
        <w:spacing w:after="240"/>
        <w:ind w:left="4320"/>
        <w:rPr>
          <w:sz w:val="22"/>
          <w:szCs w:val="22"/>
        </w:rPr>
      </w:pPr>
      <w:r w:rsidRPr="002753FF">
        <w:rPr>
          <w:b/>
          <w:bCs/>
          <w:sz w:val="22"/>
          <w:szCs w:val="22"/>
        </w:rPr>
        <w:t>American Public Power Association</w:t>
      </w:r>
    </w:p>
    <w:p w14:paraId="005F2FD3" w14:textId="77777777" w:rsidR="00EE700C" w:rsidRPr="002753FF" w:rsidRDefault="00C90D1C">
      <w:pPr>
        <w:widowControl w:val="0"/>
        <w:ind w:left="3600" w:firstLine="720"/>
        <w:rPr>
          <w:sz w:val="22"/>
          <w:szCs w:val="22"/>
        </w:rPr>
      </w:pPr>
      <w:r w:rsidRPr="002753FF">
        <w:rPr>
          <w:sz w:val="22"/>
          <w:szCs w:val="22"/>
        </w:rPr>
        <w:t>_ ___________________</w:t>
      </w:r>
    </w:p>
    <w:p w14:paraId="5A601F7E" w14:textId="77777777" w:rsidR="00EE700C" w:rsidRPr="002753FF" w:rsidRDefault="00C90D1C">
      <w:pPr>
        <w:ind w:left="4320"/>
        <w:rPr>
          <w:sz w:val="22"/>
          <w:szCs w:val="22"/>
        </w:rPr>
      </w:pPr>
      <w:bookmarkStart w:id="29" w:name="_Hlk1062451"/>
      <w:r w:rsidRPr="002753FF">
        <w:rPr>
          <w:sz w:val="22"/>
          <w:szCs w:val="22"/>
        </w:rPr>
        <w:t>Andrew Wills</w:t>
      </w:r>
    </w:p>
    <w:p w14:paraId="34A4FD6A" w14:textId="77777777" w:rsidR="00EE700C" w:rsidRPr="002753FF" w:rsidRDefault="00C90D1C">
      <w:pPr>
        <w:ind w:left="4320"/>
        <w:rPr>
          <w:sz w:val="22"/>
          <w:szCs w:val="22"/>
        </w:rPr>
      </w:pPr>
      <w:r w:rsidRPr="002753FF">
        <w:rPr>
          <w:sz w:val="22"/>
          <w:szCs w:val="22"/>
        </w:rPr>
        <w:t>Government Relations Director and Counsel</w:t>
      </w:r>
    </w:p>
    <w:p w14:paraId="389AA0C7" w14:textId="77777777" w:rsidR="00EE700C" w:rsidRPr="002753FF" w:rsidRDefault="00C90D1C">
      <w:pPr>
        <w:ind w:left="4320"/>
        <w:rPr>
          <w:sz w:val="22"/>
          <w:szCs w:val="22"/>
        </w:rPr>
      </w:pPr>
      <w:r w:rsidRPr="002753FF">
        <w:rPr>
          <w:sz w:val="22"/>
          <w:szCs w:val="22"/>
        </w:rPr>
        <w:t>American Public Power Association</w:t>
      </w:r>
    </w:p>
    <w:p w14:paraId="1F16C0E5" w14:textId="77777777" w:rsidR="00EE700C" w:rsidRPr="002753FF" w:rsidRDefault="00C90D1C">
      <w:pPr>
        <w:ind w:left="4320"/>
        <w:rPr>
          <w:sz w:val="22"/>
          <w:szCs w:val="22"/>
        </w:rPr>
      </w:pPr>
      <w:r w:rsidRPr="002753FF">
        <w:rPr>
          <w:sz w:val="22"/>
          <w:szCs w:val="22"/>
        </w:rPr>
        <w:t>2451 Crystal Dr., Suite 1000</w:t>
      </w:r>
    </w:p>
    <w:p w14:paraId="46F2D96C" w14:textId="77777777" w:rsidR="00EE700C" w:rsidRPr="002753FF" w:rsidRDefault="00C90D1C">
      <w:pPr>
        <w:ind w:left="4320"/>
        <w:rPr>
          <w:sz w:val="22"/>
          <w:szCs w:val="22"/>
        </w:rPr>
      </w:pPr>
      <w:r w:rsidRPr="002753FF">
        <w:rPr>
          <w:sz w:val="22"/>
          <w:szCs w:val="22"/>
        </w:rPr>
        <w:t>Arlington, VA 22202</w:t>
      </w:r>
    </w:p>
    <w:p w14:paraId="6D8BE1F8" w14:textId="77777777" w:rsidR="00EE700C" w:rsidRPr="002753FF" w:rsidRDefault="00C90D1C">
      <w:pPr>
        <w:widowControl w:val="0"/>
        <w:ind w:left="4320"/>
        <w:rPr>
          <w:sz w:val="22"/>
          <w:szCs w:val="22"/>
        </w:rPr>
      </w:pPr>
      <w:r w:rsidRPr="002753FF">
        <w:rPr>
          <w:sz w:val="22"/>
          <w:szCs w:val="22"/>
        </w:rPr>
        <w:t>202-467-2959</w:t>
      </w:r>
    </w:p>
    <w:bookmarkEnd w:id="29"/>
    <w:p w14:paraId="2A68C9DA" w14:textId="77777777" w:rsidR="00EE700C" w:rsidRPr="002753FF" w:rsidRDefault="00EE700C">
      <w:pPr>
        <w:spacing w:line="276" w:lineRule="auto"/>
        <w:ind w:left="4320"/>
        <w:rPr>
          <w:sz w:val="22"/>
          <w:szCs w:val="22"/>
        </w:rPr>
      </w:pPr>
    </w:p>
    <w:p w14:paraId="11147342" w14:textId="77777777" w:rsidR="00EE700C" w:rsidRPr="002753FF" w:rsidRDefault="00EE700C">
      <w:pPr>
        <w:spacing w:line="276" w:lineRule="auto"/>
        <w:ind w:firstLine="720"/>
        <w:rPr>
          <w:sz w:val="22"/>
          <w:szCs w:val="22"/>
        </w:rPr>
      </w:pPr>
    </w:p>
    <w:p w14:paraId="58967441" w14:textId="77777777" w:rsidR="00EE700C" w:rsidRPr="002753FF" w:rsidRDefault="00C90D1C">
      <w:pPr>
        <w:spacing w:after="200" w:line="276" w:lineRule="auto"/>
        <w:ind w:left="4320"/>
        <w:rPr>
          <w:sz w:val="22"/>
          <w:szCs w:val="22"/>
        </w:rPr>
      </w:pPr>
      <w:r w:rsidRPr="002753FF">
        <w:rPr>
          <w:b/>
          <w:bCs/>
          <w:sz w:val="22"/>
          <w:szCs w:val="22"/>
        </w:rPr>
        <w:t>American Petroleum Institute</w:t>
      </w:r>
    </w:p>
    <w:p w14:paraId="1EF6D42E" w14:textId="77777777" w:rsidR="00EE700C" w:rsidRPr="002753FF" w:rsidRDefault="00C90D1C">
      <w:pPr>
        <w:widowControl w:val="0"/>
        <w:ind w:left="3600" w:firstLine="720"/>
        <w:rPr>
          <w:sz w:val="22"/>
          <w:szCs w:val="22"/>
        </w:rPr>
      </w:pPr>
      <w:r w:rsidRPr="002753FF">
        <w:rPr>
          <w:sz w:val="22"/>
          <w:szCs w:val="22"/>
        </w:rPr>
        <w:t>__ _____________________</w:t>
      </w:r>
    </w:p>
    <w:p w14:paraId="7E36B822" w14:textId="77777777" w:rsidR="00EE700C" w:rsidRPr="002753FF" w:rsidRDefault="00C90D1C">
      <w:pPr>
        <w:widowControl w:val="0"/>
        <w:ind w:left="3600" w:firstLine="720"/>
        <w:rPr>
          <w:sz w:val="22"/>
          <w:szCs w:val="22"/>
        </w:rPr>
      </w:pPr>
      <w:r w:rsidRPr="002753FF">
        <w:rPr>
          <w:sz w:val="22"/>
          <w:szCs w:val="22"/>
        </w:rPr>
        <w:t>James C. Crandall</w:t>
      </w:r>
    </w:p>
    <w:p w14:paraId="1442DEE0" w14:textId="77777777" w:rsidR="00EE700C" w:rsidRPr="002753FF" w:rsidRDefault="00C90D1C">
      <w:pPr>
        <w:widowControl w:val="0"/>
        <w:ind w:left="4320"/>
        <w:rPr>
          <w:sz w:val="22"/>
          <w:szCs w:val="22"/>
        </w:rPr>
      </w:pPr>
      <w:r w:rsidRPr="002753FF">
        <w:rPr>
          <w:sz w:val="22"/>
          <w:szCs w:val="22"/>
        </w:rPr>
        <w:t>Policy Analyst</w:t>
      </w:r>
    </w:p>
    <w:p w14:paraId="646CE7DA" w14:textId="77777777" w:rsidR="00EE700C" w:rsidRPr="002753FF" w:rsidRDefault="00C90D1C">
      <w:pPr>
        <w:widowControl w:val="0"/>
        <w:ind w:left="4320"/>
        <w:rPr>
          <w:sz w:val="22"/>
          <w:szCs w:val="22"/>
        </w:rPr>
      </w:pPr>
      <w:r w:rsidRPr="002753FF">
        <w:rPr>
          <w:sz w:val="22"/>
          <w:szCs w:val="22"/>
        </w:rPr>
        <w:t>American Petroleum Institute</w:t>
      </w:r>
    </w:p>
    <w:p w14:paraId="4107840A" w14:textId="77777777" w:rsidR="00EE700C" w:rsidRPr="002753FF" w:rsidRDefault="00C90D1C">
      <w:pPr>
        <w:ind w:left="4320"/>
        <w:rPr>
          <w:sz w:val="22"/>
          <w:szCs w:val="22"/>
        </w:rPr>
      </w:pPr>
      <w:r w:rsidRPr="002753FF">
        <w:rPr>
          <w:sz w:val="22"/>
          <w:szCs w:val="22"/>
        </w:rPr>
        <w:t>200 Massachusetts Ave. NW</w:t>
      </w:r>
      <w:r w:rsidRPr="002753FF">
        <w:rPr>
          <w:sz w:val="22"/>
          <w:szCs w:val="22"/>
        </w:rPr>
        <w:br/>
        <w:t>Washington, D.C. 20001</w:t>
      </w:r>
    </w:p>
    <w:p w14:paraId="58615869" w14:textId="77777777" w:rsidR="00EE700C" w:rsidRPr="002753FF" w:rsidRDefault="00C90D1C">
      <w:pPr>
        <w:ind w:left="4320"/>
        <w:rPr>
          <w:sz w:val="22"/>
          <w:szCs w:val="22"/>
        </w:rPr>
      </w:pPr>
      <w:r w:rsidRPr="002753FF">
        <w:rPr>
          <w:sz w:val="22"/>
          <w:szCs w:val="22"/>
        </w:rPr>
        <w:t>202-682-8357</w:t>
      </w:r>
    </w:p>
    <w:p w14:paraId="298999C0" w14:textId="77777777" w:rsidR="00EE700C" w:rsidRPr="002753FF" w:rsidRDefault="00EE700C">
      <w:pPr>
        <w:spacing w:after="200" w:line="276" w:lineRule="auto"/>
        <w:ind w:left="4320"/>
        <w:rPr>
          <w:sz w:val="22"/>
          <w:szCs w:val="22"/>
        </w:rPr>
      </w:pPr>
    </w:p>
    <w:p w14:paraId="5801B723" w14:textId="77777777" w:rsidR="002A299B" w:rsidRDefault="002A299B">
      <w:pPr>
        <w:spacing w:after="200" w:line="276" w:lineRule="auto"/>
        <w:ind w:left="4320"/>
        <w:rPr>
          <w:b/>
          <w:bCs/>
          <w:sz w:val="22"/>
          <w:szCs w:val="22"/>
        </w:rPr>
      </w:pPr>
    </w:p>
    <w:p w14:paraId="06064848" w14:textId="77777777" w:rsidR="002A299B" w:rsidRDefault="002A299B">
      <w:pPr>
        <w:spacing w:after="200" w:line="276" w:lineRule="auto"/>
        <w:ind w:left="4320"/>
        <w:rPr>
          <w:b/>
          <w:bCs/>
          <w:sz w:val="22"/>
          <w:szCs w:val="22"/>
        </w:rPr>
      </w:pPr>
    </w:p>
    <w:p w14:paraId="034CA0CE" w14:textId="77777777" w:rsidR="002A299B" w:rsidRDefault="002A299B">
      <w:pPr>
        <w:spacing w:after="200" w:line="276" w:lineRule="auto"/>
        <w:ind w:left="4320"/>
        <w:rPr>
          <w:b/>
          <w:bCs/>
          <w:sz w:val="22"/>
          <w:szCs w:val="22"/>
        </w:rPr>
      </w:pPr>
    </w:p>
    <w:p w14:paraId="7CDB0490" w14:textId="3A0F9825" w:rsidR="00EE700C" w:rsidRPr="002753FF" w:rsidRDefault="00C90D1C">
      <w:pPr>
        <w:spacing w:after="200" w:line="276" w:lineRule="auto"/>
        <w:ind w:left="4320"/>
        <w:rPr>
          <w:sz w:val="22"/>
          <w:szCs w:val="22"/>
        </w:rPr>
      </w:pPr>
      <w:r w:rsidRPr="002753FF">
        <w:rPr>
          <w:b/>
          <w:bCs/>
          <w:sz w:val="22"/>
          <w:szCs w:val="22"/>
        </w:rPr>
        <w:lastRenderedPageBreak/>
        <w:t>American Water Works Association</w:t>
      </w:r>
    </w:p>
    <w:p w14:paraId="794B115A" w14:textId="77777777" w:rsidR="00EE700C" w:rsidRPr="002753FF" w:rsidRDefault="00C90D1C">
      <w:pPr>
        <w:widowControl w:val="0"/>
        <w:ind w:left="3600" w:firstLine="720"/>
        <w:rPr>
          <w:sz w:val="22"/>
          <w:szCs w:val="22"/>
        </w:rPr>
      </w:pPr>
      <w:r w:rsidRPr="002753FF">
        <w:rPr>
          <w:sz w:val="22"/>
          <w:szCs w:val="22"/>
        </w:rPr>
        <w:t>__ _____________________</w:t>
      </w:r>
    </w:p>
    <w:p w14:paraId="4FE5B270" w14:textId="77777777" w:rsidR="00EE700C" w:rsidRPr="002753FF" w:rsidRDefault="00C90D1C">
      <w:pPr>
        <w:ind w:left="4320"/>
        <w:rPr>
          <w:sz w:val="22"/>
          <w:szCs w:val="22"/>
        </w:rPr>
      </w:pPr>
      <w:r w:rsidRPr="002753FF">
        <w:rPr>
          <w:sz w:val="22"/>
          <w:szCs w:val="22"/>
        </w:rPr>
        <w:t>Kevin</w:t>
      </w:r>
      <w:r w:rsidRPr="002753FF">
        <w:rPr>
          <w:caps/>
          <w:sz w:val="22"/>
          <w:szCs w:val="22"/>
        </w:rPr>
        <w:t xml:space="preserve"> M. </w:t>
      </w:r>
      <w:r w:rsidRPr="002753FF">
        <w:rPr>
          <w:sz w:val="22"/>
          <w:szCs w:val="22"/>
        </w:rPr>
        <w:t>Morley, PhD</w:t>
      </w:r>
    </w:p>
    <w:p w14:paraId="39FB5F8F" w14:textId="77777777" w:rsidR="00EE700C" w:rsidRPr="002753FF" w:rsidRDefault="00C90D1C">
      <w:pPr>
        <w:ind w:left="4320"/>
        <w:rPr>
          <w:sz w:val="22"/>
          <w:szCs w:val="22"/>
        </w:rPr>
      </w:pPr>
      <w:r w:rsidRPr="002753FF">
        <w:rPr>
          <w:sz w:val="22"/>
          <w:szCs w:val="22"/>
        </w:rPr>
        <w:t>American Water Works Association</w:t>
      </w:r>
    </w:p>
    <w:p w14:paraId="7B8DC7DD" w14:textId="77777777" w:rsidR="00EE700C" w:rsidRPr="002753FF" w:rsidRDefault="00C90D1C">
      <w:pPr>
        <w:ind w:left="4320"/>
        <w:rPr>
          <w:sz w:val="22"/>
          <w:szCs w:val="22"/>
        </w:rPr>
      </w:pPr>
      <w:r w:rsidRPr="002753FF">
        <w:rPr>
          <w:sz w:val="22"/>
          <w:szCs w:val="22"/>
        </w:rPr>
        <w:t>Manager, Federal Relations</w:t>
      </w:r>
    </w:p>
    <w:p w14:paraId="09395E1A" w14:textId="77777777" w:rsidR="00EE700C" w:rsidRPr="002753FF" w:rsidRDefault="00C90D1C">
      <w:pPr>
        <w:ind w:left="4320"/>
        <w:rPr>
          <w:sz w:val="22"/>
          <w:szCs w:val="22"/>
        </w:rPr>
      </w:pPr>
      <w:r w:rsidRPr="002753FF">
        <w:rPr>
          <w:caps/>
          <w:sz w:val="22"/>
          <w:szCs w:val="22"/>
        </w:rPr>
        <w:t xml:space="preserve">1300 </w:t>
      </w:r>
      <w:r w:rsidRPr="002753FF">
        <w:rPr>
          <w:sz w:val="22"/>
          <w:szCs w:val="22"/>
        </w:rPr>
        <w:t>Eye</w:t>
      </w:r>
      <w:r w:rsidRPr="002753FF">
        <w:rPr>
          <w:caps/>
          <w:sz w:val="22"/>
          <w:szCs w:val="22"/>
        </w:rPr>
        <w:t xml:space="preserve"> S</w:t>
      </w:r>
      <w:r w:rsidRPr="002753FF">
        <w:rPr>
          <w:sz w:val="22"/>
          <w:szCs w:val="22"/>
        </w:rPr>
        <w:t>treet</w:t>
      </w:r>
      <w:r w:rsidRPr="002753FF">
        <w:rPr>
          <w:caps/>
          <w:sz w:val="22"/>
          <w:szCs w:val="22"/>
        </w:rPr>
        <w:t xml:space="preserve">, NW </w:t>
      </w:r>
      <w:r w:rsidRPr="002753FF">
        <w:rPr>
          <w:sz w:val="22"/>
          <w:szCs w:val="22"/>
        </w:rPr>
        <w:t xml:space="preserve">Suite </w:t>
      </w:r>
      <w:r w:rsidRPr="002753FF">
        <w:rPr>
          <w:caps/>
          <w:sz w:val="22"/>
          <w:szCs w:val="22"/>
        </w:rPr>
        <w:t>701W</w:t>
      </w:r>
    </w:p>
    <w:p w14:paraId="78DBC5D0" w14:textId="77777777" w:rsidR="00EE700C" w:rsidRPr="002753FF" w:rsidRDefault="00C90D1C">
      <w:pPr>
        <w:ind w:left="4320"/>
        <w:rPr>
          <w:sz w:val="22"/>
          <w:szCs w:val="22"/>
        </w:rPr>
      </w:pPr>
      <w:r w:rsidRPr="002753FF">
        <w:rPr>
          <w:caps/>
          <w:sz w:val="22"/>
          <w:szCs w:val="22"/>
        </w:rPr>
        <w:t>W</w:t>
      </w:r>
      <w:r w:rsidRPr="002753FF">
        <w:rPr>
          <w:sz w:val="22"/>
          <w:szCs w:val="22"/>
        </w:rPr>
        <w:t>ashington</w:t>
      </w:r>
      <w:r w:rsidRPr="002753FF">
        <w:rPr>
          <w:caps/>
          <w:sz w:val="22"/>
          <w:szCs w:val="22"/>
        </w:rPr>
        <w:t>, DC 20005</w:t>
      </w:r>
    </w:p>
    <w:p w14:paraId="2240A983" w14:textId="77777777" w:rsidR="00EE700C" w:rsidRPr="002753FF" w:rsidRDefault="00C90D1C">
      <w:pPr>
        <w:ind w:left="4320"/>
        <w:rPr>
          <w:sz w:val="22"/>
          <w:szCs w:val="22"/>
        </w:rPr>
      </w:pPr>
      <w:r w:rsidRPr="002753FF">
        <w:rPr>
          <w:caps/>
          <w:sz w:val="22"/>
          <w:szCs w:val="22"/>
        </w:rPr>
        <w:t>202-326-6124</w:t>
      </w:r>
    </w:p>
    <w:p w14:paraId="25B3BE43" w14:textId="77777777" w:rsidR="00EE700C" w:rsidRPr="002753FF" w:rsidRDefault="00EE700C">
      <w:pPr>
        <w:spacing w:after="200"/>
        <w:ind w:left="4320"/>
        <w:rPr>
          <w:sz w:val="22"/>
          <w:szCs w:val="22"/>
        </w:rPr>
      </w:pPr>
    </w:p>
    <w:p w14:paraId="7B96E89A" w14:textId="7AC5D50C" w:rsidR="00143D6E" w:rsidRDefault="00C90D1C">
      <w:pPr>
        <w:widowControl w:val="0"/>
        <w:spacing w:line="480" w:lineRule="auto"/>
        <w:rPr>
          <w:sz w:val="22"/>
          <w:szCs w:val="22"/>
        </w:rPr>
      </w:pPr>
      <w:r w:rsidRPr="002753FF">
        <w:rPr>
          <w:sz w:val="22"/>
          <w:szCs w:val="22"/>
        </w:rPr>
        <w:t>February 15, 2019</w:t>
      </w:r>
    </w:p>
    <w:p w14:paraId="128B29BE" w14:textId="77777777" w:rsidR="00143D6E" w:rsidRDefault="00143D6E">
      <w:pPr>
        <w:rPr>
          <w:sz w:val="22"/>
          <w:szCs w:val="22"/>
        </w:rPr>
      </w:pPr>
      <w:r>
        <w:rPr>
          <w:sz w:val="22"/>
          <w:szCs w:val="22"/>
        </w:rPr>
        <w:br w:type="page"/>
      </w:r>
    </w:p>
    <w:p w14:paraId="512CB00B" w14:textId="2FE2D50C" w:rsidR="004274AA" w:rsidRDefault="00210FB9" w:rsidP="00210FB9">
      <w:pPr>
        <w:pStyle w:val="BodyText"/>
        <w:ind w:left="0"/>
        <w:jc w:val="center"/>
        <w:rPr>
          <w:b/>
        </w:rPr>
      </w:pPr>
      <w:r w:rsidRPr="00210FB9">
        <w:rPr>
          <w:b/>
        </w:rPr>
        <w:lastRenderedPageBreak/>
        <w:t>ATTACHMENT</w:t>
      </w:r>
    </w:p>
    <w:p w14:paraId="2C13FF2F" w14:textId="77777777" w:rsidR="00210FB9" w:rsidRPr="00210FB9" w:rsidRDefault="00210FB9" w:rsidP="00210FB9">
      <w:pPr>
        <w:pStyle w:val="BodyText"/>
        <w:ind w:left="0"/>
        <w:jc w:val="center"/>
        <w:rPr>
          <w:b/>
        </w:rPr>
      </w:pPr>
    </w:p>
    <w:p w14:paraId="3A6A78D4" w14:textId="77777777" w:rsidR="004274AA" w:rsidRDefault="004274AA" w:rsidP="004274AA">
      <w:pPr>
        <w:pStyle w:val="BodyText"/>
        <w:spacing w:before="10"/>
        <w:ind w:left="0"/>
        <w:rPr>
          <w:sz w:val="17"/>
        </w:rPr>
      </w:pPr>
    </w:p>
    <w:p w14:paraId="21AA26E6" w14:textId="77777777" w:rsidR="004274AA" w:rsidRDefault="004274AA" w:rsidP="004274AA">
      <w:pPr>
        <w:pStyle w:val="BodyText"/>
        <w:rPr>
          <w:sz w:val="20"/>
        </w:rPr>
      </w:pPr>
      <w:r>
        <w:rPr>
          <w:noProof/>
          <w:sz w:val="20"/>
        </w:rPr>
        <w:drawing>
          <wp:inline distT="0" distB="0" distL="0" distR="0" wp14:anchorId="0D9FEDB0" wp14:editId="4B6E2C43">
            <wp:extent cx="1878534" cy="126968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stretch>
                      <a:fillRect/>
                    </a:stretch>
                  </pic:blipFill>
                  <pic:spPr>
                    <a:xfrm>
                      <a:off x="0" y="0"/>
                      <a:ext cx="1878534" cy="1269682"/>
                    </a:xfrm>
                    <a:prstGeom prst="rect">
                      <a:avLst/>
                    </a:prstGeom>
                  </pic:spPr>
                </pic:pic>
              </a:graphicData>
            </a:graphic>
          </wp:inline>
        </w:drawing>
      </w:r>
    </w:p>
    <w:p w14:paraId="17A2FCC8" w14:textId="77777777" w:rsidR="004274AA" w:rsidRDefault="004274AA" w:rsidP="004274AA">
      <w:pPr>
        <w:pStyle w:val="BodyText"/>
        <w:ind w:left="0"/>
        <w:rPr>
          <w:sz w:val="20"/>
        </w:rPr>
      </w:pPr>
    </w:p>
    <w:p w14:paraId="62C8331C" w14:textId="77777777" w:rsidR="004274AA" w:rsidRDefault="004274AA" w:rsidP="004274AA">
      <w:pPr>
        <w:pStyle w:val="BodyText"/>
        <w:ind w:left="0"/>
        <w:rPr>
          <w:sz w:val="20"/>
        </w:rPr>
      </w:pPr>
    </w:p>
    <w:p w14:paraId="355DAAB0" w14:textId="77777777" w:rsidR="004274AA" w:rsidRDefault="004274AA" w:rsidP="004274AA">
      <w:pPr>
        <w:pStyle w:val="BodyText"/>
        <w:spacing w:before="10"/>
        <w:ind w:left="0"/>
        <w:rPr>
          <w:sz w:val="27"/>
        </w:rPr>
      </w:pPr>
    </w:p>
    <w:p w14:paraId="656A02E5" w14:textId="77777777" w:rsidR="004274AA" w:rsidRDefault="004274AA" w:rsidP="004274AA">
      <w:pPr>
        <w:spacing w:before="23" w:line="216" w:lineRule="auto"/>
        <w:ind w:left="844" w:right="846"/>
        <w:rPr>
          <w:rFonts w:ascii="Calibri"/>
          <w:sz w:val="72"/>
        </w:rPr>
      </w:pPr>
      <w:r>
        <w:rPr>
          <w:rFonts w:ascii="Calibri"/>
          <w:color w:val="4471C4"/>
          <w:sz w:val="72"/>
        </w:rPr>
        <w:t>Spectrum and Utility Communications Networks: How Interference Threatens Reliability</w:t>
      </w:r>
    </w:p>
    <w:p w14:paraId="2EFDE6AE" w14:textId="77777777" w:rsidR="004274AA" w:rsidRPr="004274AA" w:rsidRDefault="004274AA" w:rsidP="004274AA">
      <w:pPr>
        <w:pStyle w:val="Heading1"/>
        <w:spacing w:before="560"/>
        <w:ind w:left="844" w:right="1081"/>
        <w:rPr>
          <w:rFonts w:ascii="Calibri"/>
          <w:b w:val="0"/>
          <w:sz w:val="32"/>
          <w:szCs w:val="32"/>
        </w:rPr>
      </w:pPr>
      <w:r w:rsidRPr="004274AA">
        <w:rPr>
          <w:rFonts w:ascii="Calibri"/>
          <w:b w:val="0"/>
          <w:color w:val="5B9BD4"/>
          <w:sz w:val="32"/>
          <w:szCs w:val="32"/>
        </w:rPr>
        <w:t xml:space="preserve">PREPARED BY: M. DOUGLAS MCGINNIS, RED ROSE TELE.COM, </w:t>
      </w:r>
      <w:hyperlink r:id="rId13">
        <w:r w:rsidRPr="004274AA">
          <w:rPr>
            <w:rFonts w:ascii="Calibri"/>
            <w:b w:val="0"/>
            <w:color w:val="0562C1"/>
            <w:sz w:val="32"/>
            <w:szCs w:val="32"/>
            <w:u w:val="thick" w:color="0562C1"/>
          </w:rPr>
          <w:t>WWW.REDROSETELE.COM</w:t>
        </w:r>
      </w:hyperlink>
    </w:p>
    <w:p w14:paraId="5D8772BB" w14:textId="77777777" w:rsidR="004274AA" w:rsidRDefault="004274AA" w:rsidP="004274AA">
      <w:pPr>
        <w:pStyle w:val="BodyText"/>
        <w:ind w:left="0"/>
        <w:rPr>
          <w:rFonts w:ascii="Calibri"/>
          <w:sz w:val="20"/>
        </w:rPr>
      </w:pPr>
    </w:p>
    <w:p w14:paraId="304961C0" w14:textId="77777777" w:rsidR="004274AA" w:rsidRDefault="004274AA" w:rsidP="004274AA">
      <w:pPr>
        <w:pStyle w:val="BodyText"/>
        <w:spacing w:before="3"/>
        <w:ind w:left="0"/>
        <w:rPr>
          <w:rFonts w:ascii="Calibri"/>
          <w:sz w:val="22"/>
        </w:rPr>
      </w:pPr>
    </w:p>
    <w:p w14:paraId="0A37D939" w14:textId="77777777" w:rsidR="004274AA" w:rsidRDefault="004274AA" w:rsidP="004274AA">
      <w:pPr>
        <w:spacing w:before="35"/>
        <w:ind w:left="844"/>
        <w:rPr>
          <w:rFonts w:ascii="Calibri"/>
          <w:sz w:val="32"/>
        </w:rPr>
      </w:pPr>
      <w:r>
        <w:rPr>
          <w:noProof/>
        </w:rPr>
        <w:drawing>
          <wp:anchor distT="0" distB="0" distL="0" distR="0" simplePos="0" relativeHeight="251662336" behindDoc="0" locked="0" layoutInCell="1" allowOverlap="1" wp14:anchorId="5CA4F070" wp14:editId="3EA8DA52">
            <wp:simplePos x="0" y="0"/>
            <wp:positionH relativeFrom="page">
              <wp:posOffset>2951479</wp:posOffset>
            </wp:positionH>
            <wp:positionV relativeFrom="paragraph">
              <wp:posOffset>24267</wp:posOffset>
            </wp:positionV>
            <wp:extent cx="2477769" cy="76199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4" cstate="print"/>
                    <a:stretch>
                      <a:fillRect/>
                    </a:stretch>
                  </pic:blipFill>
                  <pic:spPr>
                    <a:xfrm>
                      <a:off x="0" y="0"/>
                      <a:ext cx="2477769" cy="761994"/>
                    </a:xfrm>
                    <a:prstGeom prst="rect">
                      <a:avLst/>
                    </a:prstGeom>
                  </pic:spPr>
                </pic:pic>
              </a:graphicData>
            </a:graphic>
          </wp:anchor>
        </w:drawing>
      </w:r>
      <w:r>
        <w:rPr>
          <w:rFonts w:ascii="Calibri"/>
          <w:color w:val="5B9BD4"/>
          <w:sz w:val="32"/>
        </w:rPr>
        <w:t>PREPARED FOR:</w:t>
      </w:r>
    </w:p>
    <w:p w14:paraId="1B950459" w14:textId="77777777" w:rsidR="004274AA" w:rsidRDefault="004274AA" w:rsidP="004274AA">
      <w:pPr>
        <w:rPr>
          <w:rFonts w:ascii="Calibri"/>
          <w:sz w:val="32"/>
        </w:rPr>
        <w:sectPr w:rsidR="004274AA" w:rsidSect="004274AA">
          <w:pgSz w:w="12240" w:h="15840"/>
          <w:pgMar w:top="1500" w:right="960" w:bottom="280" w:left="1320" w:header="720" w:footer="720" w:gutter="0"/>
          <w:cols w:space="720"/>
        </w:sectPr>
      </w:pPr>
    </w:p>
    <w:p w14:paraId="3ED49D5A" w14:textId="77777777" w:rsidR="004274AA" w:rsidRDefault="004274AA" w:rsidP="004274AA">
      <w:pPr>
        <w:pStyle w:val="BodyText"/>
        <w:spacing w:before="6"/>
        <w:ind w:left="0"/>
        <w:rPr>
          <w:rFonts w:ascii="Calibri"/>
          <w:sz w:val="12"/>
        </w:rPr>
      </w:pPr>
    </w:p>
    <w:p w14:paraId="7DA5696C" w14:textId="77777777" w:rsidR="004274AA" w:rsidRDefault="004274AA" w:rsidP="004274AA">
      <w:pPr>
        <w:spacing w:before="87"/>
        <w:ind w:left="120"/>
        <w:rPr>
          <w:b/>
          <w:sz w:val="32"/>
        </w:rPr>
      </w:pPr>
      <w:r>
        <w:rPr>
          <w:b/>
          <w:color w:val="4471C4"/>
          <w:spacing w:val="15"/>
          <w:sz w:val="32"/>
        </w:rPr>
        <w:t xml:space="preserve">Table </w:t>
      </w:r>
      <w:r>
        <w:rPr>
          <w:b/>
          <w:color w:val="4471C4"/>
          <w:spacing w:val="9"/>
          <w:sz w:val="32"/>
        </w:rPr>
        <w:t>of</w:t>
      </w:r>
      <w:r>
        <w:rPr>
          <w:b/>
          <w:color w:val="4471C4"/>
          <w:spacing w:val="65"/>
          <w:sz w:val="32"/>
        </w:rPr>
        <w:t xml:space="preserve"> </w:t>
      </w:r>
      <w:r>
        <w:rPr>
          <w:b/>
          <w:color w:val="4471C4"/>
          <w:spacing w:val="16"/>
          <w:sz w:val="32"/>
        </w:rPr>
        <w:t>Contents</w:t>
      </w:r>
    </w:p>
    <w:sdt>
      <w:sdtPr>
        <w:id w:val="-1548293486"/>
        <w:docPartObj>
          <w:docPartGallery w:val="Table of Contents"/>
          <w:docPartUnique/>
        </w:docPartObj>
      </w:sdtPr>
      <w:sdtEndPr/>
      <w:sdtContent>
        <w:p w14:paraId="4DCA4B5F" w14:textId="77777777" w:rsidR="004274AA" w:rsidRDefault="00B5736D" w:rsidP="004274AA">
          <w:pPr>
            <w:pStyle w:val="TOC2"/>
            <w:tabs>
              <w:tab w:val="left" w:leader="dot" w:pos="9350"/>
            </w:tabs>
          </w:pPr>
          <w:hyperlink w:anchor="_bookmark0" w:history="1">
            <w:r w:rsidR="004274AA">
              <w:t>Executive</w:t>
            </w:r>
            <w:r w:rsidR="004274AA">
              <w:rPr>
                <w:spacing w:val="-2"/>
              </w:rPr>
              <w:t xml:space="preserve"> </w:t>
            </w:r>
            <w:r w:rsidR="004274AA">
              <w:t>Summary</w:t>
            </w:r>
            <w:r w:rsidR="004274AA">
              <w:tab/>
              <w:t>2</w:t>
            </w:r>
          </w:hyperlink>
        </w:p>
        <w:p w14:paraId="64BA4E28" w14:textId="77777777" w:rsidR="004274AA" w:rsidRDefault="00B5736D" w:rsidP="004274AA">
          <w:pPr>
            <w:pStyle w:val="TOC2"/>
            <w:tabs>
              <w:tab w:val="left" w:leader="dot" w:pos="9350"/>
            </w:tabs>
            <w:spacing w:before="160"/>
          </w:pPr>
          <w:hyperlink w:anchor="_bookmark2" w:history="1">
            <w:r w:rsidR="004274AA">
              <w:t>Introduction</w:t>
            </w:r>
            <w:r w:rsidR="004274AA">
              <w:tab/>
              <w:t>3</w:t>
            </w:r>
          </w:hyperlink>
        </w:p>
        <w:p w14:paraId="5A553BC8" w14:textId="77777777" w:rsidR="004274AA" w:rsidRDefault="00B5736D" w:rsidP="004274AA">
          <w:pPr>
            <w:pStyle w:val="TOC2"/>
            <w:tabs>
              <w:tab w:val="left" w:leader="dot" w:pos="9350"/>
            </w:tabs>
            <w:spacing w:before="158"/>
          </w:pPr>
          <w:hyperlink w:anchor="_bookmark3" w:history="1">
            <w:r w:rsidR="004274AA">
              <w:t>Regulatory Reliability Requirements for</w:t>
            </w:r>
            <w:r w:rsidR="004274AA">
              <w:rPr>
                <w:spacing w:val="-12"/>
              </w:rPr>
              <w:t xml:space="preserve"> </w:t>
            </w:r>
            <w:r w:rsidR="004274AA">
              <w:t>the</w:t>
            </w:r>
            <w:r w:rsidR="004274AA">
              <w:rPr>
                <w:spacing w:val="-2"/>
              </w:rPr>
              <w:t xml:space="preserve"> </w:t>
            </w:r>
            <w:r w:rsidR="004274AA">
              <w:t>Grid</w:t>
            </w:r>
            <w:r w:rsidR="004274AA">
              <w:tab/>
              <w:t>4</w:t>
            </w:r>
          </w:hyperlink>
        </w:p>
        <w:p w14:paraId="12E34D0A" w14:textId="77777777" w:rsidR="004274AA" w:rsidRDefault="00B5736D" w:rsidP="004274AA">
          <w:pPr>
            <w:pStyle w:val="TOC2"/>
            <w:tabs>
              <w:tab w:val="left" w:leader="dot" w:pos="9350"/>
            </w:tabs>
            <w:spacing w:before="160"/>
          </w:pPr>
          <w:hyperlink w:anchor="_bookmark4" w:history="1">
            <w:r w:rsidR="004274AA">
              <w:t>The Evolution of</w:t>
            </w:r>
            <w:r w:rsidR="004274AA">
              <w:rPr>
                <w:spacing w:val="-7"/>
              </w:rPr>
              <w:t xml:space="preserve"> </w:t>
            </w:r>
            <w:r w:rsidR="004274AA">
              <w:t>Utility</w:t>
            </w:r>
            <w:r w:rsidR="004274AA">
              <w:rPr>
                <w:spacing w:val="-3"/>
              </w:rPr>
              <w:t xml:space="preserve"> </w:t>
            </w:r>
            <w:r w:rsidR="004274AA">
              <w:t>Communications</w:t>
            </w:r>
            <w:r w:rsidR="004274AA">
              <w:tab/>
              <w:t>4</w:t>
            </w:r>
          </w:hyperlink>
        </w:p>
        <w:p w14:paraId="350F22E5" w14:textId="77777777" w:rsidR="004274AA" w:rsidRDefault="00B5736D" w:rsidP="004274AA">
          <w:pPr>
            <w:pStyle w:val="TOC2"/>
            <w:tabs>
              <w:tab w:val="left" w:leader="dot" w:pos="9350"/>
            </w:tabs>
            <w:spacing w:before="159"/>
          </w:pPr>
          <w:hyperlink w:anchor="_bookmark5" w:history="1">
            <w:r w:rsidR="004274AA">
              <w:t>Utility Telecom Applications Supporting</w:t>
            </w:r>
            <w:r w:rsidR="004274AA">
              <w:rPr>
                <w:spacing w:val="-10"/>
              </w:rPr>
              <w:t xml:space="preserve"> </w:t>
            </w:r>
            <w:r w:rsidR="004274AA">
              <w:t>Grid</w:t>
            </w:r>
            <w:r w:rsidR="004274AA">
              <w:rPr>
                <w:spacing w:val="-3"/>
              </w:rPr>
              <w:t xml:space="preserve"> </w:t>
            </w:r>
            <w:r w:rsidR="004274AA">
              <w:t>Operations</w:t>
            </w:r>
            <w:r w:rsidR="004274AA">
              <w:tab/>
              <w:t>5</w:t>
            </w:r>
          </w:hyperlink>
        </w:p>
        <w:p w14:paraId="20BA6FC1" w14:textId="77777777" w:rsidR="004274AA" w:rsidRDefault="00B5736D" w:rsidP="004274AA">
          <w:pPr>
            <w:pStyle w:val="TOC3"/>
            <w:tabs>
              <w:tab w:val="left" w:leader="dot" w:pos="9359"/>
            </w:tabs>
            <w:spacing w:before="158"/>
          </w:pPr>
          <w:hyperlink w:anchor="_bookmark6" w:history="1">
            <w:r w:rsidR="004274AA">
              <w:t>SCADA</w:t>
            </w:r>
            <w:r w:rsidR="004274AA">
              <w:rPr>
                <w:spacing w:val="-4"/>
              </w:rPr>
              <w:t xml:space="preserve"> </w:t>
            </w:r>
            <w:r w:rsidR="004274AA">
              <w:t>Systems</w:t>
            </w:r>
            <w:r w:rsidR="004274AA">
              <w:tab/>
              <w:t>5</w:t>
            </w:r>
          </w:hyperlink>
        </w:p>
        <w:p w14:paraId="2B5DFA4F" w14:textId="77777777" w:rsidR="004274AA" w:rsidRDefault="00B5736D" w:rsidP="004274AA">
          <w:pPr>
            <w:pStyle w:val="TOC3"/>
            <w:tabs>
              <w:tab w:val="left" w:leader="dot" w:pos="9359"/>
            </w:tabs>
            <w:spacing w:before="156"/>
          </w:pPr>
          <w:hyperlink w:anchor="_bookmark7" w:history="1">
            <w:r w:rsidR="004274AA">
              <w:t>Teleprotection</w:t>
            </w:r>
            <w:r w:rsidR="004274AA">
              <w:tab/>
              <w:t>6</w:t>
            </w:r>
          </w:hyperlink>
        </w:p>
        <w:p w14:paraId="4F586F35" w14:textId="77777777" w:rsidR="004274AA" w:rsidRDefault="00B5736D" w:rsidP="004274AA">
          <w:pPr>
            <w:pStyle w:val="TOC3"/>
            <w:tabs>
              <w:tab w:val="left" w:leader="dot" w:pos="9359"/>
            </w:tabs>
          </w:pPr>
          <w:hyperlink w:anchor="_bookmark8" w:history="1">
            <w:r w:rsidR="004274AA">
              <w:t>Smart</w:t>
            </w:r>
            <w:r w:rsidR="004274AA">
              <w:rPr>
                <w:spacing w:val="-2"/>
              </w:rPr>
              <w:t xml:space="preserve"> </w:t>
            </w:r>
            <w:r w:rsidR="004274AA">
              <w:t>Grid</w:t>
            </w:r>
            <w:r w:rsidR="004274AA">
              <w:tab/>
              <w:t>7</w:t>
            </w:r>
          </w:hyperlink>
        </w:p>
        <w:p w14:paraId="0EAF1B2D" w14:textId="77777777" w:rsidR="004274AA" w:rsidRDefault="00B5736D" w:rsidP="004274AA">
          <w:pPr>
            <w:pStyle w:val="TOC2"/>
            <w:tabs>
              <w:tab w:val="left" w:leader="dot" w:pos="9350"/>
            </w:tabs>
          </w:pPr>
          <w:hyperlink w:anchor="_bookmark9" w:history="1">
            <w:r w:rsidR="004274AA">
              <w:t>Public Carrier vs. Private</w:t>
            </w:r>
            <w:r w:rsidR="004274AA">
              <w:rPr>
                <w:spacing w:val="-7"/>
              </w:rPr>
              <w:t xml:space="preserve"> </w:t>
            </w:r>
            <w:r w:rsidR="004274AA">
              <w:t>Telecom</w:t>
            </w:r>
            <w:r w:rsidR="004274AA">
              <w:rPr>
                <w:spacing w:val="-3"/>
              </w:rPr>
              <w:t xml:space="preserve"> </w:t>
            </w:r>
            <w:r w:rsidR="004274AA">
              <w:t>Services</w:t>
            </w:r>
            <w:r w:rsidR="004274AA">
              <w:tab/>
              <w:t>8</w:t>
            </w:r>
          </w:hyperlink>
        </w:p>
        <w:p w14:paraId="6EB2356F" w14:textId="77777777" w:rsidR="004274AA" w:rsidRDefault="00B5736D" w:rsidP="004274AA">
          <w:pPr>
            <w:pStyle w:val="TOC2"/>
            <w:tabs>
              <w:tab w:val="left" w:leader="dot" w:pos="9350"/>
            </w:tabs>
            <w:spacing w:before="160"/>
          </w:pPr>
          <w:hyperlink w:anchor="_bookmark10" w:history="1">
            <w:r w:rsidR="004274AA">
              <w:t>Utility</w:t>
            </w:r>
            <w:r w:rsidR="004274AA">
              <w:rPr>
                <w:spacing w:val="-4"/>
              </w:rPr>
              <w:t xml:space="preserve"> </w:t>
            </w:r>
            <w:r w:rsidR="004274AA">
              <w:t>Telecommunications</w:t>
            </w:r>
            <w:r w:rsidR="004274AA">
              <w:rPr>
                <w:spacing w:val="-3"/>
              </w:rPr>
              <w:t xml:space="preserve"> </w:t>
            </w:r>
            <w:r w:rsidR="004274AA">
              <w:t>Architecture</w:t>
            </w:r>
            <w:r w:rsidR="004274AA">
              <w:tab/>
              <w:t>9</w:t>
            </w:r>
          </w:hyperlink>
        </w:p>
        <w:p w14:paraId="45B8C3FB" w14:textId="77777777" w:rsidR="004274AA" w:rsidRDefault="00B5736D" w:rsidP="004274AA">
          <w:pPr>
            <w:pStyle w:val="TOC2"/>
            <w:tabs>
              <w:tab w:val="left" w:leader="dot" w:pos="9186"/>
            </w:tabs>
            <w:spacing w:before="158"/>
          </w:pPr>
          <w:hyperlink w:anchor="_bookmark12" w:history="1">
            <w:r w:rsidR="004274AA">
              <w:t>Reliability &amp;</w:t>
            </w:r>
            <w:r w:rsidR="004274AA">
              <w:rPr>
                <w:spacing w:val="-1"/>
              </w:rPr>
              <w:t xml:space="preserve"> </w:t>
            </w:r>
            <w:r w:rsidR="004274AA">
              <w:t>Performance Requirements</w:t>
            </w:r>
            <w:r w:rsidR="004274AA">
              <w:tab/>
              <w:t>15</w:t>
            </w:r>
          </w:hyperlink>
        </w:p>
        <w:p w14:paraId="5C435A4F" w14:textId="77777777" w:rsidR="004274AA" w:rsidRDefault="00B5736D" w:rsidP="004274AA">
          <w:pPr>
            <w:pStyle w:val="TOC1"/>
            <w:tabs>
              <w:tab w:val="left" w:leader="dot" w:pos="8824"/>
            </w:tabs>
          </w:pPr>
          <w:hyperlink w:anchor="_bookmark13" w:history="1">
            <w:r w:rsidR="004274AA">
              <w:t>Microwave Path</w:t>
            </w:r>
            <w:r w:rsidR="004274AA">
              <w:rPr>
                <w:spacing w:val="-15"/>
              </w:rPr>
              <w:t xml:space="preserve"> </w:t>
            </w:r>
            <w:r w:rsidR="004274AA">
              <w:t>Design</w:t>
            </w:r>
            <w:r w:rsidR="004274AA">
              <w:rPr>
                <w:spacing w:val="-7"/>
              </w:rPr>
              <w:t xml:space="preserve"> </w:t>
            </w:r>
            <w:r w:rsidR="004274AA">
              <w:t>Considerations</w:t>
            </w:r>
            <w:r w:rsidR="004274AA">
              <w:tab/>
              <w:t>15</w:t>
            </w:r>
          </w:hyperlink>
        </w:p>
        <w:p w14:paraId="1EEC78A5" w14:textId="77777777" w:rsidR="004274AA" w:rsidRDefault="00B5736D" w:rsidP="004274AA">
          <w:pPr>
            <w:pStyle w:val="TOC2"/>
            <w:tabs>
              <w:tab w:val="left" w:leader="dot" w:pos="9168"/>
            </w:tabs>
          </w:pPr>
          <w:hyperlink w:anchor="_bookmark14" w:history="1">
            <w:r w:rsidR="004274AA">
              <w:t>Summary</w:t>
            </w:r>
            <w:r w:rsidR="004274AA">
              <w:tab/>
              <w:t>17</w:t>
            </w:r>
          </w:hyperlink>
        </w:p>
        <w:p w14:paraId="70DD13A7" w14:textId="77777777" w:rsidR="004274AA" w:rsidRDefault="00B5736D" w:rsidP="004274AA">
          <w:pPr>
            <w:pStyle w:val="TOC2"/>
            <w:tabs>
              <w:tab w:val="left" w:leader="dot" w:pos="9172"/>
            </w:tabs>
            <w:spacing w:before="158"/>
          </w:pPr>
          <w:hyperlink w:anchor="_bookmark15" w:history="1">
            <w:r w:rsidR="004274AA">
              <w:t>Definitions</w:t>
            </w:r>
            <w:r w:rsidR="004274AA">
              <w:tab/>
              <w:t>18</w:t>
            </w:r>
          </w:hyperlink>
        </w:p>
      </w:sdtContent>
    </w:sdt>
    <w:p w14:paraId="6C47D2F8" w14:textId="77777777" w:rsidR="004274AA" w:rsidRDefault="004274AA" w:rsidP="004274AA">
      <w:pPr>
        <w:sectPr w:rsidR="004274AA">
          <w:footerReference w:type="default" r:id="rId15"/>
          <w:pgSz w:w="12240" w:h="15840"/>
          <w:pgMar w:top="1500" w:right="960" w:bottom="1000" w:left="1320" w:header="0" w:footer="814" w:gutter="0"/>
          <w:pgNumType w:start="1"/>
          <w:cols w:space="720"/>
        </w:sectPr>
      </w:pPr>
    </w:p>
    <w:p w14:paraId="1A75641D" w14:textId="77777777" w:rsidR="004274AA" w:rsidRPr="004274AA" w:rsidRDefault="004274AA" w:rsidP="004274AA">
      <w:pPr>
        <w:pStyle w:val="Heading1"/>
        <w:spacing w:before="120"/>
        <w:rPr>
          <w:b w:val="0"/>
          <w:sz w:val="32"/>
          <w:szCs w:val="32"/>
        </w:rPr>
      </w:pPr>
      <w:bookmarkStart w:id="30" w:name="Executive_Summary"/>
      <w:bookmarkStart w:id="31" w:name="_bookmark0"/>
      <w:bookmarkEnd w:id="30"/>
      <w:bookmarkEnd w:id="31"/>
      <w:r w:rsidRPr="004274AA">
        <w:rPr>
          <w:b w:val="0"/>
          <w:color w:val="4471C4"/>
          <w:sz w:val="32"/>
          <w:szCs w:val="32"/>
        </w:rPr>
        <w:lastRenderedPageBreak/>
        <w:t>Executive Summary</w:t>
      </w:r>
    </w:p>
    <w:p w14:paraId="248E754B" w14:textId="77777777" w:rsidR="004274AA" w:rsidRDefault="004274AA" w:rsidP="004274AA">
      <w:pPr>
        <w:pStyle w:val="BodyText"/>
        <w:spacing w:line="273" w:lineRule="auto"/>
        <w:ind w:right="510"/>
      </w:pPr>
      <w:r>
        <w:t>This paper provides a fundamental explanation of the importance of highly reliable and available telecommunications for electric utility operators and examines the impact of potential interference in the 6 GHz spectrum band to utility point-to-point microwave systems. It begins with an overview of how the electric grid is structured, the associated applications required to make it function, and telecommunications technologies required to control the grid. It provides insight into how grid technologies are evolving and the associated telecommunications technologies necessary for this evolution to be successful. In each area, this paper underscores utility reliability and the essential role telecommunications play in the management and stability of the grid. It discusses the impact resulting from a loss of telecom services and the compensatory measures that are required to account for the potential for interference.</w:t>
      </w:r>
    </w:p>
    <w:p w14:paraId="08368009" w14:textId="77777777" w:rsidR="004274AA" w:rsidRDefault="004274AA" w:rsidP="004274AA">
      <w:pPr>
        <w:pStyle w:val="BodyText"/>
        <w:spacing w:before="4" w:line="273" w:lineRule="auto"/>
        <w:ind w:left="119" w:right="530"/>
      </w:pPr>
      <w:r>
        <w:t>Additionally, the paper describes an overview of the utility telecom architecture, including the specific telecom transport technologies employed, how they function, and a discussion of related weaknesses, strengths, and cybersecurity concerns.</w:t>
      </w:r>
    </w:p>
    <w:p w14:paraId="2DDA9F2E" w14:textId="77777777" w:rsidR="004274AA" w:rsidRDefault="004274AA" w:rsidP="004274AA">
      <w:pPr>
        <w:pStyle w:val="BodyText"/>
        <w:spacing w:before="182" w:line="271" w:lineRule="auto"/>
        <w:ind w:left="119" w:right="487"/>
      </w:pPr>
      <w:r>
        <w:t>This paper provides a background regarding the utility telecom landscape, from the data center to remote distribution devices and meters in the field; its key objective is to explain and justify the need for “Five-9’s” of availability within the utility telecommunications backbone, and specifically the potential impact of interference on point-to-point microwave systems in the 6 GHz spectrum band under a petition being considered by the Federal Communications Commission (FCC, the Commission)</w:t>
      </w:r>
      <w:hyperlink w:anchor="_bookmark1" w:history="1">
        <w:r>
          <w:rPr>
            <w:position w:val="9"/>
            <w:sz w:val="16"/>
          </w:rPr>
          <w:t>1</w:t>
        </w:r>
      </w:hyperlink>
      <w:r>
        <w:t>. As this paper demonstrates, unlicensed operations in the  6 GHz band could have profound impacts on the reliability of utility communications networks, which, in turn, will likely threaten grid</w:t>
      </w:r>
      <w:r>
        <w:rPr>
          <w:spacing w:val="-3"/>
        </w:rPr>
        <w:t xml:space="preserve"> </w:t>
      </w:r>
      <w:r>
        <w:t>reliability.</w:t>
      </w:r>
    </w:p>
    <w:p w14:paraId="37196D3F" w14:textId="77777777" w:rsidR="004274AA" w:rsidRDefault="004274AA" w:rsidP="004274AA">
      <w:pPr>
        <w:pStyle w:val="BodyText"/>
        <w:spacing w:before="190" w:line="273" w:lineRule="auto"/>
        <w:ind w:right="635"/>
        <w:rPr>
          <w:i/>
        </w:rPr>
      </w:pPr>
      <w:r>
        <w:t xml:space="preserve">The utility telecommunications network backbone is typically a combination of fiber optics and microwave point-to-point transport technologies that aggregate and transport all critical utility applications used to manage and control the grid. This includes the highly critical transmission- system protection requiring the detection of fault disturbances in millisecond detection that, if compromised due to interference, would result in system instability and potential blackouts as well as federal regulatory violations. </w:t>
      </w:r>
      <w:r>
        <w:rPr>
          <w:i/>
        </w:rPr>
        <w:t>This is the crux of the necessity for extreme levels of availability within utility telecom systems.</w:t>
      </w:r>
    </w:p>
    <w:p w14:paraId="6580D2F1" w14:textId="77777777" w:rsidR="004274AA" w:rsidRDefault="004274AA" w:rsidP="004274AA">
      <w:pPr>
        <w:pStyle w:val="BodyText"/>
        <w:spacing w:before="183" w:line="273" w:lineRule="auto"/>
        <w:ind w:right="574"/>
      </w:pPr>
      <w:r>
        <w:t>Microwave systems are a key component of the utility telecommunications infrastructure and any potential challenges to its operating integrity could have a negative impact on electricity reliability. Utilities predominantly use systems in the 6 GHz band due to its optimal propagation characteristics and data capacity or throughput. Under the typical deployment scenarios—with links stretching up to 50 miles in length--higher frequencies are quickly attenuated beyond the required signal margin, especially during inclement weather. Therefore, these microwave systems in the 6 GHz band are a primary component of the utility telecommunications</w:t>
      </w:r>
    </w:p>
    <w:p w14:paraId="1A294537" w14:textId="77777777" w:rsidR="004274AA" w:rsidRDefault="004274AA" w:rsidP="004274AA">
      <w:pPr>
        <w:pStyle w:val="BodyText"/>
        <w:ind w:left="0"/>
        <w:rPr>
          <w:sz w:val="20"/>
        </w:rPr>
      </w:pPr>
    </w:p>
    <w:p w14:paraId="3C510468" w14:textId="08D7E53A" w:rsidR="004274AA" w:rsidRDefault="004274AA" w:rsidP="004274AA">
      <w:pPr>
        <w:pStyle w:val="BodyText"/>
        <w:spacing w:before="4"/>
        <w:ind w:left="0"/>
        <w:rPr>
          <w:sz w:val="20"/>
        </w:rPr>
      </w:pPr>
      <w:r>
        <w:rPr>
          <w:noProof/>
        </w:rPr>
        <mc:AlternateContent>
          <mc:Choice Requires="wps">
            <w:drawing>
              <wp:anchor distT="0" distB="0" distL="0" distR="0" simplePos="0" relativeHeight="251663360" behindDoc="1" locked="0" layoutInCell="1" allowOverlap="1" wp14:anchorId="3F633956" wp14:editId="7D0A226F">
                <wp:simplePos x="0" y="0"/>
                <wp:positionH relativeFrom="page">
                  <wp:posOffset>914400</wp:posOffset>
                </wp:positionH>
                <wp:positionV relativeFrom="paragraph">
                  <wp:posOffset>177800</wp:posOffset>
                </wp:positionV>
                <wp:extent cx="1828800" cy="0"/>
                <wp:effectExtent l="9525" t="6350" r="9525" b="12700"/>
                <wp:wrapTopAndBottom/>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0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4A3E3" id="Straight Connector 12"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4pt" to="3in,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" strokeweight=".21131mm">
                <w10:wrap type="topAndBottom" anchorx="page"/>
              </v:line>
            </w:pict>
          </mc:Fallback>
        </mc:AlternateContent>
      </w:r>
    </w:p>
    <w:p w14:paraId="0B22D0D1" w14:textId="77777777" w:rsidR="004274AA" w:rsidRDefault="004274AA" w:rsidP="004274AA">
      <w:pPr>
        <w:spacing w:before="69"/>
        <w:ind w:left="120"/>
        <w:rPr>
          <w:sz w:val="20"/>
        </w:rPr>
      </w:pPr>
      <w:bookmarkStart w:id="32" w:name="_bookmark1"/>
      <w:bookmarkEnd w:id="32"/>
      <w:r>
        <w:rPr>
          <w:position w:val="7"/>
          <w:sz w:val="13"/>
        </w:rPr>
        <w:t xml:space="preserve">1 </w:t>
      </w:r>
      <w:r>
        <w:rPr>
          <w:sz w:val="20"/>
        </w:rPr>
        <w:t>FCC 6 GHz proposal</w:t>
      </w:r>
    </w:p>
    <w:p w14:paraId="51B19CE5" w14:textId="77777777" w:rsidR="004274AA" w:rsidRDefault="004274AA" w:rsidP="004274AA">
      <w:pPr>
        <w:rPr>
          <w:sz w:val="20"/>
        </w:rPr>
        <w:sectPr w:rsidR="004274AA">
          <w:pgSz w:w="12240" w:h="15840"/>
          <w:pgMar w:top="1500" w:right="960" w:bottom="1000" w:left="1320" w:header="0" w:footer="814" w:gutter="0"/>
          <w:cols w:space="720"/>
        </w:sectPr>
      </w:pPr>
    </w:p>
    <w:p w14:paraId="25DCD529" w14:textId="77777777" w:rsidR="004274AA" w:rsidRDefault="004274AA" w:rsidP="004274AA">
      <w:pPr>
        <w:pStyle w:val="BodyText"/>
        <w:spacing w:before="60" w:line="273" w:lineRule="auto"/>
        <w:ind w:right="469"/>
      </w:pPr>
      <w:r>
        <w:lastRenderedPageBreak/>
        <w:t>infrastructure and any potential challenges to its operating integrity could have a negative impact on electricity reliability.</w:t>
      </w:r>
    </w:p>
    <w:p w14:paraId="6D11F2E3" w14:textId="77777777" w:rsidR="004274AA" w:rsidRPr="004274AA" w:rsidRDefault="004274AA" w:rsidP="004274AA">
      <w:pPr>
        <w:pStyle w:val="Heading1"/>
        <w:rPr>
          <w:b w:val="0"/>
          <w:sz w:val="32"/>
          <w:szCs w:val="32"/>
        </w:rPr>
      </w:pPr>
      <w:bookmarkStart w:id="33" w:name="Introduction"/>
      <w:bookmarkStart w:id="34" w:name="_bookmark2"/>
      <w:bookmarkEnd w:id="33"/>
      <w:bookmarkEnd w:id="34"/>
      <w:r w:rsidRPr="004274AA">
        <w:rPr>
          <w:b w:val="0"/>
          <w:color w:val="4471C4"/>
          <w:sz w:val="32"/>
          <w:szCs w:val="32"/>
        </w:rPr>
        <w:t>Introduction</w:t>
      </w:r>
    </w:p>
    <w:p w14:paraId="649FD9AF" w14:textId="77777777" w:rsidR="004274AA" w:rsidRDefault="004274AA" w:rsidP="004274AA">
      <w:pPr>
        <w:pStyle w:val="BodyText"/>
        <w:spacing w:before="1" w:line="273" w:lineRule="auto"/>
        <w:ind w:right="508"/>
      </w:pPr>
      <w:r>
        <w:t>The electric power grid is one of the most critical resources within the United States and is essential to enable society to function. The grid is a complex system composed of equipment built to deliver centrally generated power to homes and businesses across a utility’s territory. For purposes of this paper, the grid will be broken down into two functional systems: the transmission system, which operates at high voltages, approximately 69 kV up to 765 kV; and the distribution system, which functions between 4 kV up to 46 kV. The distribution system is the most recognizable as it can be viewed as poles going down streets or along the roadway, commonly referred to as “distribution feeders.” Pole-top transformers are then used to reduce the voltage further to provide power into homes and businesses.</w:t>
      </w:r>
    </w:p>
    <w:p w14:paraId="636F0C14" w14:textId="77777777" w:rsidR="004274AA" w:rsidRDefault="004274AA" w:rsidP="004274AA">
      <w:pPr>
        <w:pStyle w:val="BodyText"/>
        <w:spacing w:before="184" w:line="273" w:lineRule="auto"/>
        <w:ind w:left="119" w:right="609"/>
      </w:pPr>
      <w:r>
        <w:t>The transmission system is commonly characterized as the large lattice structure or monopole towers with wire conductors stretching across the territory landscape. The transmission system– sometimes called the Bulk Electric System (BES)--typically originates at a power generation facility and transmits power at high voltages across long distances. The transmission system interfaces with the distribution system at “substations” where switchgear and transformers reduce the voltage to levels that allow the safe distribution of electricity to serve businesses, communities, and homes.</w:t>
      </w:r>
    </w:p>
    <w:p w14:paraId="362F3E9F" w14:textId="77777777" w:rsidR="004274AA" w:rsidRDefault="004274AA" w:rsidP="004274AA">
      <w:pPr>
        <w:spacing w:before="183" w:line="273" w:lineRule="auto"/>
        <w:ind w:left="120" w:right="515"/>
      </w:pPr>
      <w:r>
        <w:t xml:space="preserve">Note: this is a simplistic description of the power grid. In reality, it is a highly complex fabric of copper wires and switchgear woven together across the utility territory. Underscoring the complexity is the need to monitor and control the grid. Similar to air traffic control, utilities have control rooms with monitors or mimics of the grid within their territory, typically one control center for the transmission system and one for the distribution system. The operators monitor critical parameters controlling the flow of power throughout the grid, fundamentally matching power supply with demand as it varies throughout the day, thus ensuring the system remains stable. </w:t>
      </w:r>
      <w:r>
        <w:rPr>
          <w:i/>
        </w:rPr>
        <w:t xml:space="preserve">The need for continuous and instantaneous balancing of power demand with supply is foundational to grid management, establishing the strict requirement for highly reliable telecommunications. In order to maintain this balance, utilities must have highly reliable telecommunications to monitor and control the flow of electricity on the grid. Reliable telecommunications and the associated network infrastructure are the critical enablers in providing visibility in maintaining the balance and must be available within milliseconds of resolution. </w:t>
      </w:r>
      <w:r>
        <w:t>This will be commonly referred to as “visibility to the grid” throughout this paper.</w:t>
      </w:r>
    </w:p>
    <w:p w14:paraId="4D822E0E" w14:textId="77777777" w:rsidR="004274AA" w:rsidRDefault="004274AA" w:rsidP="004274AA">
      <w:pPr>
        <w:pStyle w:val="BodyText"/>
        <w:spacing w:before="7" w:line="273" w:lineRule="auto"/>
        <w:ind w:right="1188"/>
      </w:pPr>
      <w:r>
        <w:t>Loss of visibility to the grid means the operators cannot monitor or control the supply and demand of power.</w:t>
      </w:r>
    </w:p>
    <w:p w14:paraId="162DB631" w14:textId="77777777" w:rsidR="004274AA" w:rsidRDefault="004274AA" w:rsidP="004274AA">
      <w:pPr>
        <w:spacing w:line="273" w:lineRule="auto"/>
        <w:sectPr w:rsidR="004274AA">
          <w:pgSz w:w="12240" w:h="15840"/>
          <w:pgMar w:top="1380" w:right="960" w:bottom="1000" w:left="1320" w:header="0" w:footer="814" w:gutter="0"/>
          <w:cols w:space="720"/>
        </w:sectPr>
      </w:pPr>
    </w:p>
    <w:p w14:paraId="72B326E0" w14:textId="77777777" w:rsidR="004274AA" w:rsidRDefault="004274AA" w:rsidP="004274AA">
      <w:pPr>
        <w:pStyle w:val="BodyText"/>
        <w:rPr>
          <w:sz w:val="20"/>
        </w:rPr>
      </w:pPr>
      <w:r>
        <w:rPr>
          <w:noProof/>
          <w:sz w:val="20"/>
        </w:rPr>
        <w:lastRenderedPageBreak/>
        <w:drawing>
          <wp:inline distT="0" distB="0" distL="0" distR="0" wp14:anchorId="6ECC4943" wp14:editId="2E238880">
            <wp:extent cx="6005744" cy="2224563"/>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6" cstate="print"/>
                    <a:stretch>
                      <a:fillRect/>
                    </a:stretch>
                  </pic:blipFill>
                  <pic:spPr>
                    <a:xfrm>
                      <a:off x="0" y="0"/>
                      <a:ext cx="6005744" cy="2224563"/>
                    </a:xfrm>
                    <a:prstGeom prst="rect">
                      <a:avLst/>
                    </a:prstGeom>
                  </pic:spPr>
                </pic:pic>
              </a:graphicData>
            </a:graphic>
          </wp:inline>
        </w:drawing>
      </w:r>
    </w:p>
    <w:p w14:paraId="5DE75E9A" w14:textId="77777777" w:rsidR="004274AA" w:rsidRDefault="004274AA" w:rsidP="004274AA">
      <w:pPr>
        <w:pStyle w:val="BodyText"/>
        <w:spacing w:before="10"/>
        <w:ind w:left="0"/>
        <w:rPr>
          <w:sz w:val="23"/>
        </w:rPr>
      </w:pPr>
    </w:p>
    <w:p w14:paraId="10252446" w14:textId="77777777" w:rsidR="004274AA" w:rsidRPr="004274AA" w:rsidRDefault="004274AA" w:rsidP="004274AA">
      <w:pPr>
        <w:pStyle w:val="Heading1"/>
        <w:spacing w:before="86"/>
        <w:rPr>
          <w:b w:val="0"/>
          <w:sz w:val="32"/>
          <w:szCs w:val="32"/>
        </w:rPr>
      </w:pPr>
      <w:bookmarkStart w:id="35" w:name="Regulatory_Reliability_Requirements_for_"/>
      <w:bookmarkStart w:id="36" w:name="_bookmark3"/>
      <w:bookmarkEnd w:id="35"/>
      <w:bookmarkEnd w:id="36"/>
      <w:r w:rsidRPr="004274AA">
        <w:rPr>
          <w:b w:val="0"/>
          <w:color w:val="4471C4"/>
          <w:sz w:val="32"/>
          <w:szCs w:val="32"/>
        </w:rPr>
        <w:t>Regulatory Reliability Requirements for the Grid</w:t>
      </w:r>
    </w:p>
    <w:p w14:paraId="7BED3B3D" w14:textId="77777777" w:rsidR="004274AA" w:rsidRDefault="004274AA" w:rsidP="004274AA">
      <w:pPr>
        <w:pStyle w:val="BodyText"/>
        <w:spacing w:before="1" w:line="273" w:lineRule="auto"/>
        <w:ind w:left="119" w:right="556"/>
      </w:pPr>
      <w:r>
        <w:t>Because of the essential services supplied by the power grid, its reliability extends beyond convenience for utility customers; in fact, grid reliability on the transmission system is regulated by the federal government. Congress in the Energy Policy Act of 2005 established a regulatory regime which requires all electric utilities to follow reliability standards proposed by the North American Electric Reliability Corporation (NERC) and approved by the Federal Energy Regulatory Commission (FERC). Under the law, NERC develops standards specifically for the Bulk Electric System (BES). The BES includes centralized generation plants and extends to the transmission system, but notably does not include the distribution system. Once FERC accepts the standards as final, it has the authority to fine utilities if they are out of compliance with the standards for up to a million dollars a day for a given violation. The reliability standards address two functional areas. First is the adequacy of supply (power) to be delivered to customers at any time. Utilities must ensure their systems are capable of adequately meeting the demand for energy at any given time. Second is the security of the BES to withstand disturbances and unforeseen equipment failures while maintaining full functionality, this includes maintenance of grid and telecommunications infrastructure, as well as potential cybersecurity vulnerabilities which are directly tied to the telecommunications infrastructure. This further underscores the need to ensure telecommunications reliability and the significant role utility telecom systems play in supporting the reliability of the BES. As will be discussed throughout this paper, reliable telecommunications are an essential component in managing the availability of the BES.</w:t>
      </w:r>
    </w:p>
    <w:p w14:paraId="57067AA3" w14:textId="77777777" w:rsidR="004274AA" w:rsidRDefault="004274AA" w:rsidP="004274AA">
      <w:pPr>
        <w:pStyle w:val="BodyText"/>
        <w:spacing w:before="1"/>
        <w:ind w:left="0"/>
        <w:rPr>
          <w:sz w:val="32"/>
        </w:rPr>
      </w:pPr>
    </w:p>
    <w:p w14:paraId="2E9B9336" w14:textId="77777777" w:rsidR="004274AA" w:rsidRPr="00293C9D" w:rsidRDefault="004274AA" w:rsidP="004274AA">
      <w:pPr>
        <w:pStyle w:val="Heading1"/>
        <w:rPr>
          <w:b w:val="0"/>
          <w:sz w:val="32"/>
          <w:szCs w:val="32"/>
        </w:rPr>
      </w:pPr>
      <w:bookmarkStart w:id="37" w:name="The_Evolution_of_Utility_Communications"/>
      <w:bookmarkStart w:id="38" w:name="_bookmark4"/>
      <w:bookmarkEnd w:id="37"/>
      <w:bookmarkEnd w:id="38"/>
      <w:r w:rsidRPr="00293C9D">
        <w:rPr>
          <w:b w:val="0"/>
          <w:color w:val="4471C4"/>
          <w:sz w:val="32"/>
          <w:szCs w:val="32"/>
        </w:rPr>
        <w:t>The Evolution of Utility Communications</w:t>
      </w:r>
    </w:p>
    <w:p w14:paraId="216B49D9" w14:textId="77777777" w:rsidR="004274AA" w:rsidRDefault="004274AA" w:rsidP="004274AA">
      <w:pPr>
        <w:pStyle w:val="BodyText"/>
        <w:spacing w:before="1" w:line="273" w:lineRule="auto"/>
        <w:ind w:right="469"/>
      </w:pPr>
      <w:r>
        <w:t>It has been said that grid technology has remained unchanged for generations, with only minor enhancements over time to improve efficiency and reliability, but fundamentally still delivering power at a 60 Hz A/C waveform to the customer. Today, the utility industry is in a state of transformation. Grid modernization has evolved to provide sensor and control devices to enhance the reliability and efficiency of the grid, popularly termed as the “Smart Grid.” The Smart Grid introduced advancements in technologies for both the customer and grid management, including</w:t>
      </w:r>
    </w:p>
    <w:p w14:paraId="2BFCCB65" w14:textId="77777777" w:rsidR="004274AA" w:rsidRDefault="004274AA" w:rsidP="004274AA">
      <w:pPr>
        <w:spacing w:line="273" w:lineRule="auto"/>
        <w:sectPr w:rsidR="004274AA">
          <w:pgSz w:w="12240" w:h="15840"/>
          <w:pgMar w:top="1440" w:right="960" w:bottom="1000" w:left="1320" w:header="0" w:footer="814" w:gutter="0"/>
          <w:cols w:space="720"/>
        </w:sectPr>
      </w:pPr>
    </w:p>
    <w:p w14:paraId="1C13B90F" w14:textId="77777777" w:rsidR="004274AA" w:rsidRDefault="004274AA" w:rsidP="004274AA">
      <w:pPr>
        <w:pStyle w:val="BodyText"/>
        <w:spacing w:before="60" w:line="273" w:lineRule="auto"/>
        <w:ind w:left="119" w:right="481"/>
      </w:pPr>
      <w:r>
        <w:lastRenderedPageBreak/>
        <w:t>the deployment of smart meters, now referred to as Automated Metering Infrastructure (AMI), capable of providing distinct, detailed customer-energy usage information on hourly or shorter interval reads. On the grid-management and control side commonly referred to as “Distribution Automation” (DA), utilities have been adding switches into the distribution system referred to as “reclosers” or “sectionalizers.” These devices enable the utility to isolate powerline faults along a given distribution feeder and to route electricity around trouble spots. As more and more reclosers are added, the size of a given fault domain can be reduced which lowers the potential number of customers impacted by a particular fault. Additional DA devices and applications are being utilized that will enable utilities to manage feeder voltage to meet regulatory requirements (minimum voltage level), resulting in improved demand efficiency, thus optimizing overall generation capacity</w:t>
      </w:r>
      <w:r>
        <w:rPr>
          <w:spacing w:val="-1"/>
        </w:rPr>
        <w:t xml:space="preserve"> </w:t>
      </w:r>
      <w:r>
        <w:t>requirements.</w:t>
      </w:r>
    </w:p>
    <w:p w14:paraId="3BAF4659" w14:textId="77777777" w:rsidR="004274AA" w:rsidRDefault="004274AA" w:rsidP="004274AA">
      <w:pPr>
        <w:pStyle w:val="BodyText"/>
        <w:spacing w:before="185" w:line="273" w:lineRule="auto"/>
        <w:ind w:left="119" w:right="484"/>
      </w:pPr>
      <w:r>
        <w:t>Additionally, the introduction of Ethernet and Internet Protocol has altered the entire utility telecom landscape, providing innovative capabilities. The remainder of this paper enumerates the congruency of telecommunications reliability with grid reliability.</w:t>
      </w:r>
    </w:p>
    <w:p w14:paraId="4E2A8C43" w14:textId="77777777" w:rsidR="004274AA" w:rsidRDefault="004274AA" w:rsidP="004274AA">
      <w:pPr>
        <w:pStyle w:val="BodyText"/>
        <w:spacing w:before="4"/>
        <w:ind w:left="0"/>
        <w:rPr>
          <w:sz w:val="12"/>
        </w:rPr>
      </w:pPr>
      <w:r>
        <w:rPr>
          <w:noProof/>
        </w:rPr>
        <w:drawing>
          <wp:anchor distT="0" distB="0" distL="0" distR="0" simplePos="0" relativeHeight="251659264" behindDoc="0" locked="0" layoutInCell="1" allowOverlap="1" wp14:anchorId="24386567" wp14:editId="2296DE29">
            <wp:simplePos x="0" y="0"/>
            <wp:positionH relativeFrom="page">
              <wp:posOffset>914400</wp:posOffset>
            </wp:positionH>
            <wp:positionV relativeFrom="paragraph">
              <wp:posOffset>115324</wp:posOffset>
            </wp:positionV>
            <wp:extent cx="5941375" cy="308610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7" cstate="print"/>
                    <a:stretch>
                      <a:fillRect/>
                    </a:stretch>
                  </pic:blipFill>
                  <pic:spPr>
                    <a:xfrm>
                      <a:off x="0" y="0"/>
                      <a:ext cx="5941375" cy="3086100"/>
                    </a:xfrm>
                    <a:prstGeom prst="rect">
                      <a:avLst/>
                    </a:prstGeom>
                  </pic:spPr>
                </pic:pic>
              </a:graphicData>
            </a:graphic>
          </wp:anchor>
        </w:drawing>
      </w:r>
    </w:p>
    <w:p w14:paraId="5153CE90" w14:textId="77777777" w:rsidR="004274AA" w:rsidRDefault="004274AA" w:rsidP="004274AA">
      <w:pPr>
        <w:pStyle w:val="BodyText"/>
        <w:spacing w:before="2"/>
        <w:ind w:left="0"/>
        <w:rPr>
          <w:sz w:val="32"/>
        </w:rPr>
      </w:pPr>
    </w:p>
    <w:p w14:paraId="17285D8E" w14:textId="77777777" w:rsidR="004274AA" w:rsidRPr="00293C9D" w:rsidRDefault="004274AA" w:rsidP="004274AA">
      <w:pPr>
        <w:pStyle w:val="Heading1"/>
        <w:rPr>
          <w:b w:val="0"/>
          <w:sz w:val="32"/>
          <w:szCs w:val="32"/>
        </w:rPr>
      </w:pPr>
      <w:bookmarkStart w:id="39" w:name="Utility_Telecom_Applications_Supporting_"/>
      <w:bookmarkStart w:id="40" w:name="_bookmark5"/>
      <w:bookmarkEnd w:id="39"/>
      <w:bookmarkEnd w:id="40"/>
      <w:r w:rsidRPr="00293C9D">
        <w:rPr>
          <w:b w:val="0"/>
          <w:color w:val="4471C4"/>
          <w:sz w:val="32"/>
          <w:szCs w:val="32"/>
        </w:rPr>
        <w:t>Utility Telecom Applications Supporting Grid Operations</w:t>
      </w:r>
    </w:p>
    <w:p w14:paraId="0299D201" w14:textId="77777777" w:rsidR="004274AA" w:rsidRDefault="004274AA" w:rsidP="004274AA">
      <w:pPr>
        <w:pStyle w:val="BodyText"/>
        <w:spacing w:before="1" w:line="273" w:lineRule="auto"/>
        <w:ind w:right="507"/>
      </w:pPr>
      <w:r>
        <w:t>There are numerous utility telecommunications applications or use cases employed to provide command and control of the grid. The following discussion is not all inclusive, but highlights the major applications required to manage the power grid.</w:t>
      </w:r>
    </w:p>
    <w:p w14:paraId="621A136E" w14:textId="77777777" w:rsidR="004274AA" w:rsidRPr="00293C9D" w:rsidRDefault="004274AA" w:rsidP="004274AA">
      <w:pPr>
        <w:pStyle w:val="Heading2"/>
        <w:spacing w:line="322" w:lineRule="exact"/>
        <w:rPr>
          <w:b w:val="0"/>
          <w:sz w:val="28"/>
          <w:szCs w:val="28"/>
        </w:rPr>
      </w:pPr>
      <w:bookmarkStart w:id="41" w:name="SCADA_Systems"/>
      <w:bookmarkStart w:id="42" w:name="_bookmark6"/>
      <w:bookmarkEnd w:id="41"/>
      <w:bookmarkEnd w:id="42"/>
      <w:r w:rsidRPr="00293C9D">
        <w:rPr>
          <w:b w:val="0"/>
          <w:color w:val="8EAADB"/>
          <w:sz w:val="28"/>
          <w:szCs w:val="28"/>
        </w:rPr>
        <w:t>SCADA Systems</w:t>
      </w:r>
    </w:p>
    <w:p w14:paraId="1D683D1B" w14:textId="77777777" w:rsidR="004274AA" w:rsidRDefault="004274AA" w:rsidP="004274AA">
      <w:pPr>
        <w:pStyle w:val="BodyText"/>
        <w:spacing w:line="273" w:lineRule="auto"/>
        <w:ind w:right="551"/>
      </w:pPr>
      <w:r>
        <w:t>Supervisory Control and Data Acquisition (SCADA) systems are prime examples of the types of command-and-control applications utilized over a utility telecommunications network. SCADA systems send telemetry (information) from substation switchgear or field devices over</w:t>
      </w:r>
    </w:p>
    <w:p w14:paraId="42FCECA1" w14:textId="77777777" w:rsidR="004274AA" w:rsidRDefault="004274AA" w:rsidP="004274AA">
      <w:pPr>
        <w:spacing w:line="273" w:lineRule="auto"/>
        <w:sectPr w:rsidR="004274AA">
          <w:pgSz w:w="12240" w:h="15840"/>
          <w:pgMar w:top="1380" w:right="960" w:bottom="1000" w:left="1320" w:header="0" w:footer="814" w:gutter="0"/>
          <w:cols w:space="720"/>
        </w:sectPr>
      </w:pPr>
    </w:p>
    <w:p w14:paraId="7C0EC2B0" w14:textId="77777777" w:rsidR="004274AA" w:rsidRDefault="004274AA" w:rsidP="004274AA">
      <w:pPr>
        <w:pStyle w:val="BodyText"/>
        <w:spacing w:before="60" w:line="273" w:lineRule="auto"/>
        <w:ind w:left="119" w:right="493"/>
      </w:pPr>
      <w:r>
        <w:lastRenderedPageBreak/>
        <w:t>communications transport networks to a headend application, where the information is processed, analyzed, and presented to the control room operators. Until the advent of the “Smart Grid,” the majority of this information came from substations and was transmitted through Remote Terminal Units (RTUs) over 1200 baud serial RS232 data streams. The modems operated over telecommunications carrier-based so-called Plain Old Telephone (POTs) lines (i.e., copper, narrowband wirelines) with very low bandwidth devices and carried very basic information about the status of the device, i.e., voltage, current, power, environmental temperature, etc. using proprietary bit-oriented protocols. In large measure, these POTs lines were unreliable due to frequent outages and utilities had little control over service restoration if these systems failed. This is why utilities prefer to use their own private network infrastructure to ensure higher levels of reliability and</w:t>
      </w:r>
      <w:r>
        <w:rPr>
          <w:spacing w:val="-4"/>
        </w:rPr>
        <w:t xml:space="preserve"> </w:t>
      </w:r>
      <w:r>
        <w:t>availability.</w:t>
      </w:r>
    </w:p>
    <w:p w14:paraId="5D4FD0D9" w14:textId="77777777" w:rsidR="004274AA" w:rsidRDefault="004274AA" w:rsidP="004274AA">
      <w:pPr>
        <w:pStyle w:val="BodyText"/>
        <w:spacing w:before="185" w:line="273" w:lineRule="auto"/>
        <w:ind w:left="119" w:right="550"/>
      </w:pPr>
      <w:r>
        <w:t>SCADA systems poll or request information on a predefined interval such as every minute or every five minutes, depending on the nature of the information. While this is bare bones, it provides the required visibility to manage the grid. As technology has improved, the RTUs can be programmed in such a way that they can gratuitously send messages indicating a parameter is outside its defined boundary or specification. Newer devices being introduced in the “Smart- Grid” era with improved telecommunications will enable pushing more intelligence further into the field, providing additional detail to the health of the grid and improving overall situational awareness.</w:t>
      </w:r>
    </w:p>
    <w:p w14:paraId="5A0BF8DC" w14:textId="77777777" w:rsidR="004274AA" w:rsidRPr="00293C9D" w:rsidRDefault="004274AA" w:rsidP="004274AA">
      <w:pPr>
        <w:pStyle w:val="Heading2"/>
        <w:spacing w:before="184" w:line="322" w:lineRule="exact"/>
        <w:rPr>
          <w:b w:val="0"/>
          <w:sz w:val="28"/>
          <w:szCs w:val="28"/>
        </w:rPr>
      </w:pPr>
      <w:bookmarkStart w:id="43" w:name="Teleprotection"/>
      <w:bookmarkStart w:id="44" w:name="_bookmark7"/>
      <w:bookmarkEnd w:id="43"/>
      <w:bookmarkEnd w:id="44"/>
      <w:r w:rsidRPr="00293C9D">
        <w:rPr>
          <w:b w:val="0"/>
          <w:color w:val="8EAADB"/>
          <w:sz w:val="28"/>
          <w:szCs w:val="28"/>
        </w:rPr>
        <w:t>Teleprotection</w:t>
      </w:r>
    </w:p>
    <w:p w14:paraId="1856FC92" w14:textId="77777777" w:rsidR="004274AA" w:rsidRDefault="004274AA" w:rsidP="004274AA">
      <w:pPr>
        <w:pStyle w:val="BodyText"/>
        <w:spacing w:line="273" w:lineRule="auto"/>
        <w:ind w:right="491"/>
      </w:pPr>
      <w:r>
        <w:t xml:space="preserve">Teleprotection serves both transmission and distribution functions. On the transmission grid, teleprotection is a system of relays located in a substation connected to both ends of a transmission line, monitoring the health of the transmission span between the connected relays. If a fault was to occur on the transmission span, the relay senses the fault and quickly open breakers at the substation to clear the fault. The communications channel must function within 10 milliseconds </w:t>
      </w:r>
      <w:r>
        <w:rPr>
          <w:u w:val="single"/>
        </w:rPr>
        <w:t>or less.</w:t>
      </w:r>
      <w:r>
        <w:t xml:space="preserve"> If the relay fails to operate within the prescribed time, which is derived from one 60 Hz A/C cycle, i.e., significant damage will result when a 500 kV line is grounded coupled with the inrush of current to a connected transformer. In addition to transformers catching fire or worse, the utility’s overall transmission system can become unstable and cause possible blackout scenarios. Overall, while the teleprotection system is fairly simple and requires low bandwidth telecommunications to function, it needs the highest level of reliability and lowest level of latency of any other system within the grid. Also, it possesses local intelligence to function, only requiring status and management through the control</w:t>
      </w:r>
      <w:r>
        <w:rPr>
          <w:spacing w:val="-4"/>
        </w:rPr>
        <w:t xml:space="preserve"> </w:t>
      </w:r>
      <w:r>
        <w:t>center.</w:t>
      </w:r>
    </w:p>
    <w:p w14:paraId="5C242F0D" w14:textId="77777777" w:rsidR="004274AA" w:rsidRDefault="004274AA" w:rsidP="004274AA">
      <w:pPr>
        <w:pStyle w:val="BodyText"/>
        <w:spacing w:before="186" w:line="273" w:lineRule="auto"/>
        <w:ind w:right="528"/>
      </w:pPr>
      <w:r>
        <w:t>Given its importance, utilities build multiple redundancies into the teleprotection system through several telecom pathways as well as redundant relays on both ends of the span to ensure the reliability of the system. As an illustration of the importance of network redundancy, if a utility loses a functioning path and its redundancy--and is thus operating in single contingency--the utility may take the transmission line out of service completely until the telecommunications are restored, rather than risk a potential problem on the transmission line. Utilities generally design</w:t>
      </w:r>
    </w:p>
    <w:p w14:paraId="732DE088" w14:textId="77777777" w:rsidR="004274AA" w:rsidRDefault="004274AA" w:rsidP="004274AA">
      <w:pPr>
        <w:spacing w:line="273" w:lineRule="auto"/>
        <w:sectPr w:rsidR="004274AA">
          <w:pgSz w:w="12240" w:h="15840"/>
          <w:pgMar w:top="1380" w:right="960" w:bottom="1000" w:left="1320" w:header="0" w:footer="814" w:gutter="0"/>
          <w:cols w:space="720"/>
        </w:sectPr>
      </w:pPr>
    </w:p>
    <w:p w14:paraId="420BC74E" w14:textId="77777777" w:rsidR="004274AA" w:rsidRDefault="004274AA" w:rsidP="004274AA">
      <w:pPr>
        <w:pStyle w:val="BodyText"/>
        <w:spacing w:before="60" w:line="273" w:lineRule="auto"/>
        <w:ind w:right="1196"/>
      </w:pPr>
      <w:r>
        <w:lastRenderedPageBreak/>
        <w:t>for Five-9’s or more of reliability in these systems. Therefore, the preferred teleprotection transport technologies are private fiber or point-to-point microwave due to their inherent reliability, which will be discussed in more detail in later sections.</w:t>
      </w:r>
    </w:p>
    <w:p w14:paraId="58E9C597" w14:textId="77777777" w:rsidR="004274AA" w:rsidRDefault="004274AA" w:rsidP="004274AA">
      <w:pPr>
        <w:pStyle w:val="BodyText"/>
        <w:ind w:left="0"/>
        <w:rPr>
          <w:sz w:val="20"/>
        </w:rPr>
      </w:pPr>
    </w:p>
    <w:p w14:paraId="1B4E0BEC" w14:textId="77777777" w:rsidR="004274AA" w:rsidRDefault="004274AA" w:rsidP="004274AA">
      <w:pPr>
        <w:pStyle w:val="BodyText"/>
        <w:spacing w:before="3"/>
        <w:ind w:left="0"/>
        <w:rPr>
          <w:sz w:val="21"/>
        </w:rPr>
      </w:pPr>
      <w:r>
        <w:rPr>
          <w:noProof/>
        </w:rPr>
        <w:drawing>
          <wp:anchor distT="0" distB="0" distL="0" distR="0" simplePos="0" relativeHeight="251660288" behindDoc="0" locked="0" layoutInCell="1" allowOverlap="1" wp14:anchorId="10D59826" wp14:editId="6D3AA7B1">
            <wp:simplePos x="0" y="0"/>
            <wp:positionH relativeFrom="page">
              <wp:posOffset>936291</wp:posOffset>
            </wp:positionH>
            <wp:positionV relativeFrom="paragraph">
              <wp:posOffset>180159</wp:posOffset>
            </wp:positionV>
            <wp:extent cx="5842532" cy="1683067"/>
            <wp:effectExtent l="0" t="0" r="0" b="0"/>
            <wp:wrapTopAndBottom/>
            <wp:docPr id="9" name="image5.jpeg" descr="\\Mac\Home\Downloads\MP-TP-f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8" cstate="print"/>
                    <a:stretch>
                      <a:fillRect/>
                    </a:stretch>
                  </pic:blipFill>
                  <pic:spPr>
                    <a:xfrm>
                      <a:off x="0" y="0"/>
                      <a:ext cx="5842532" cy="1683067"/>
                    </a:xfrm>
                    <a:prstGeom prst="rect">
                      <a:avLst/>
                    </a:prstGeom>
                  </pic:spPr>
                </pic:pic>
              </a:graphicData>
            </a:graphic>
          </wp:anchor>
        </w:drawing>
      </w:r>
    </w:p>
    <w:p w14:paraId="1C2C1CF3" w14:textId="77777777" w:rsidR="004274AA" w:rsidRPr="00293C9D" w:rsidRDefault="004274AA" w:rsidP="004274AA">
      <w:pPr>
        <w:pStyle w:val="Heading2"/>
        <w:spacing w:before="228"/>
        <w:rPr>
          <w:b w:val="0"/>
          <w:sz w:val="28"/>
          <w:szCs w:val="28"/>
        </w:rPr>
      </w:pPr>
      <w:bookmarkStart w:id="45" w:name="Smart_Grid"/>
      <w:bookmarkStart w:id="46" w:name="_bookmark8"/>
      <w:bookmarkEnd w:id="45"/>
      <w:bookmarkEnd w:id="46"/>
      <w:r w:rsidRPr="00293C9D">
        <w:rPr>
          <w:b w:val="0"/>
          <w:color w:val="8EAADB"/>
          <w:sz w:val="28"/>
          <w:szCs w:val="28"/>
        </w:rPr>
        <w:t>Smart Grid</w:t>
      </w:r>
    </w:p>
    <w:p w14:paraId="635F634D" w14:textId="77777777" w:rsidR="004274AA" w:rsidRDefault="004274AA" w:rsidP="004274AA">
      <w:pPr>
        <w:pStyle w:val="BodyText"/>
        <w:spacing w:before="24" w:line="273" w:lineRule="auto"/>
        <w:ind w:left="119" w:right="482"/>
      </w:pPr>
      <w:r>
        <w:t>With Smart Grid deployment, much of the new DA technology is being extended deeper into the field, providing significantly more information to control-center operators. This includes the introduction of automatic distribution sectionalizers or reclosers that have adequate intelligence to make realignment decisions based on communications independent of external manual controls. In other words, if a fault occurs on a distribution feeder, multiple sectionalizers/reclosers can sense it and communicate to other sectionalizers to open or close in an attempt to route power around the fault, thus minimizing the impact to as few customers as possible. The addition of more reliable intelligence that can be communicated in the field reduces overall customer downtime. Should the communication between reclosers be</w:t>
      </w:r>
      <w:r>
        <w:rPr>
          <w:spacing w:val="-24"/>
        </w:rPr>
        <w:t xml:space="preserve"> </w:t>
      </w:r>
      <w:r>
        <w:t>interrupted, the recloser scheme would fail to operate properly, likely resulting in a larger outage footprint requiring local manual intervention and extended restoration</w:t>
      </w:r>
      <w:r>
        <w:rPr>
          <w:spacing w:val="-6"/>
        </w:rPr>
        <w:t xml:space="preserve"> </w:t>
      </w:r>
      <w:r>
        <w:t>time.</w:t>
      </w:r>
    </w:p>
    <w:p w14:paraId="5D7176AF" w14:textId="77777777" w:rsidR="004274AA" w:rsidRDefault="004274AA" w:rsidP="004274AA">
      <w:pPr>
        <w:pStyle w:val="BodyText"/>
        <w:spacing w:before="185" w:line="273" w:lineRule="auto"/>
        <w:ind w:left="119" w:right="571"/>
      </w:pPr>
      <w:r>
        <w:t>Beyond greater control and automation, advances in utility telecom and the Smart Grid are creating a new transformational class of service referred to as “Distributed Energy Resources” (DER) or “Distributed Generation.” Microgrids can be included in this category as well, which are campuses and communities that can be isolated from and operate independently of the larger power grid. DER and microgrids refer generally to home rooftop solar panels, community solar, solar farms, wind turbines, and, eventually, energy storage located throughout the distribution system. These advancements further increase the need for reliable communications and higher throughput enhancing control and visibility to the grid, improving overall grid stability.</w:t>
      </w:r>
    </w:p>
    <w:p w14:paraId="64E2FF20" w14:textId="77777777" w:rsidR="004274AA" w:rsidRDefault="004274AA" w:rsidP="004274AA">
      <w:pPr>
        <w:pStyle w:val="BodyText"/>
        <w:spacing w:before="184" w:line="273" w:lineRule="auto"/>
        <w:ind w:right="462"/>
      </w:pPr>
      <w:r>
        <w:t xml:space="preserve">There are numerous other applications for utility communications that are not directly tied to grid operations, but are </w:t>
      </w:r>
      <w:proofErr w:type="gramStart"/>
      <w:r>
        <w:t>important</w:t>
      </w:r>
      <w:proofErr w:type="gramEnd"/>
      <w:r>
        <w:t xml:space="preserve"> nonetheless. These include video surveillance/security, AMI deployment, and Land-Mobile Radio (LMR) needed for storm response and service restoration. These topics are critical to utility operations generally but in isolation do not directly impact grid reliability.</w:t>
      </w:r>
    </w:p>
    <w:p w14:paraId="73624983" w14:textId="77777777" w:rsidR="004274AA" w:rsidRDefault="004274AA" w:rsidP="004274AA">
      <w:pPr>
        <w:spacing w:line="273" w:lineRule="auto"/>
        <w:sectPr w:rsidR="004274AA">
          <w:pgSz w:w="12240" w:h="15840"/>
          <w:pgMar w:top="1380" w:right="960" w:bottom="1000" w:left="1320" w:header="0" w:footer="814" w:gutter="0"/>
          <w:cols w:space="720"/>
        </w:sectPr>
      </w:pPr>
    </w:p>
    <w:p w14:paraId="1CAB0D18" w14:textId="77777777" w:rsidR="004274AA" w:rsidRDefault="004274AA" w:rsidP="004274AA">
      <w:pPr>
        <w:pStyle w:val="BodyText"/>
        <w:spacing w:before="60" w:line="273" w:lineRule="auto"/>
        <w:ind w:left="119" w:right="1090"/>
      </w:pPr>
      <w:r>
        <w:lastRenderedPageBreak/>
        <w:t>Importantly, the convergence of multiple applications on a common transport will further amplify the criticality of the network as well as bandwidth burden, and will also reduce the number of individual network systems required to be supported by the utility.</w:t>
      </w:r>
    </w:p>
    <w:p w14:paraId="692217C6" w14:textId="77777777" w:rsidR="004274AA" w:rsidRDefault="004274AA" w:rsidP="004274AA">
      <w:pPr>
        <w:pStyle w:val="BodyText"/>
        <w:spacing w:before="4"/>
        <w:ind w:left="0"/>
        <w:rPr>
          <w:sz w:val="31"/>
        </w:rPr>
      </w:pPr>
    </w:p>
    <w:p w14:paraId="5BF700C3" w14:textId="77777777" w:rsidR="004274AA" w:rsidRPr="00293C9D" w:rsidRDefault="004274AA" w:rsidP="004274AA">
      <w:pPr>
        <w:pStyle w:val="Heading1"/>
        <w:ind w:left="119"/>
        <w:rPr>
          <w:b w:val="0"/>
          <w:sz w:val="32"/>
          <w:szCs w:val="32"/>
        </w:rPr>
      </w:pPr>
      <w:bookmarkStart w:id="47" w:name="Public_Carrier_vs._Private_Telecom_Servi"/>
      <w:bookmarkStart w:id="48" w:name="_bookmark9"/>
      <w:bookmarkEnd w:id="47"/>
      <w:bookmarkEnd w:id="48"/>
      <w:r w:rsidRPr="00293C9D">
        <w:rPr>
          <w:b w:val="0"/>
          <w:color w:val="4471C4"/>
          <w:sz w:val="32"/>
          <w:szCs w:val="32"/>
        </w:rPr>
        <w:t>Public Carrier vs. Private Telecom Services</w:t>
      </w:r>
    </w:p>
    <w:p w14:paraId="2DE52004" w14:textId="77777777" w:rsidR="004274AA" w:rsidRDefault="004274AA" w:rsidP="004274AA">
      <w:pPr>
        <w:pStyle w:val="BodyText"/>
        <w:spacing w:before="18" w:line="273" w:lineRule="auto"/>
        <w:ind w:right="637"/>
      </w:pPr>
      <w:r>
        <w:t>Utilities have created a telecom ecosystem with many similarities to a commercial telecommunications carrier, which begs the question, why not just use commercial carrier services? The answer is simple: the telecommunications carrier’s business model is not congruent with that of a utility’s business model. For one, the commercial carriers primarily provide services with what could be termed “best-effort delivery” and will be repaired in accordance with the carrier’s schedule. At least for wireless services, there are no “service-level agreements” (SLAs) that commit to an acceptable level of performance meeting a utility’s requirements, specifically in technologies such as cellular services. Furthermore, cellular services are designed for mobility, while most utility assets are fixed and require a persistent end-to-end connection, as opposed to the type of random interval mobile connections experienced with a smartphone, for instance.</w:t>
      </w:r>
    </w:p>
    <w:p w14:paraId="4A0A17DD" w14:textId="77777777" w:rsidR="004274AA" w:rsidRDefault="004274AA" w:rsidP="004274AA">
      <w:pPr>
        <w:pStyle w:val="BodyText"/>
        <w:spacing w:before="185" w:line="273" w:lineRule="auto"/>
        <w:ind w:right="515"/>
      </w:pPr>
      <w:r>
        <w:t>Still, the biggest concern amongst utilities regarding the commercial networks is availability—or lack thereof--when needed the most, such as following a natural event like a hurricane or storm with damaging winds. The carrier’s network may become congested with consumer traffic or unavailable due to storm-related damage. In this time of need, when the grid is in a transient state, with power lines down, the utility must perform switching within the Distribution Automation (DA) system and re-align reclosers to restore as many affected customers as possible. This is arguably the most critical time for utility telecommunications to be available, and is also the most likely time when carrier services would not be available.</w:t>
      </w:r>
    </w:p>
    <w:p w14:paraId="00424E09" w14:textId="77777777" w:rsidR="004274AA" w:rsidRDefault="004274AA" w:rsidP="004274AA">
      <w:pPr>
        <w:pStyle w:val="BodyText"/>
        <w:spacing w:before="185" w:line="273" w:lineRule="auto"/>
        <w:ind w:left="119" w:right="490"/>
      </w:pPr>
      <w:r>
        <w:t>Additionally, history has shown that carriers have not been up to the challenge of maintaining their infrastructure available during these critical times. Numerous examples can be cited to underscore that statement including Hurricane Katrina, Super Storm Sandy, and most recently hurricanes Florence and Michael, where carrier service was interrupted. Yet critical utility communications infrastructure remained operational in support of restoration efforts. This is why utilities prefer to build and operate their own private telecoms.</w:t>
      </w:r>
    </w:p>
    <w:p w14:paraId="0AB84D18" w14:textId="77777777" w:rsidR="004274AA" w:rsidRDefault="004274AA" w:rsidP="004274AA">
      <w:pPr>
        <w:pStyle w:val="BodyText"/>
        <w:spacing w:before="182" w:line="273" w:lineRule="auto"/>
        <w:ind w:right="703"/>
      </w:pPr>
      <w:r>
        <w:t>In the situations where utilities have leased commercial carrier circuits, they have also suffered many of the same challenges as outlined above. As services continue to converge and the telecom pathway expands, leased services become less desirable to meet the critical needs of utilities.</w:t>
      </w:r>
    </w:p>
    <w:p w14:paraId="5B72506F" w14:textId="77777777" w:rsidR="004274AA" w:rsidRDefault="004274AA" w:rsidP="004274AA">
      <w:pPr>
        <w:pStyle w:val="BodyText"/>
        <w:spacing w:before="183" w:line="273" w:lineRule="auto"/>
        <w:ind w:left="119" w:right="570"/>
      </w:pPr>
      <w:r>
        <w:t>Finally, regarding lifecycle management. carriers tend to upgrade and sunset technologies at a rapid pace. When a technology is sunset by a carrier, the utility must replace infrastructure associated with migrating to a new technology, perhaps prematurely. For the utility, the legacy technology may be performing just fine, but because the carrier no longer wants to support it, an</w:t>
      </w:r>
    </w:p>
    <w:p w14:paraId="4B849BD0" w14:textId="77777777" w:rsidR="004274AA" w:rsidRDefault="004274AA" w:rsidP="004274AA">
      <w:pPr>
        <w:spacing w:line="273" w:lineRule="auto"/>
        <w:sectPr w:rsidR="004274AA">
          <w:pgSz w:w="12240" w:h="15840"/>
          <w:pgMar w:top="1380" w:right="960" w:bottom="1000" w:left="1320" w:header="0" w:footer="814" w:gutter="0"/>
          <w:cols w:space="720"/>
        </w:sectPr>
      </w:pPr>
    </w:p>
    <w:p w14:paraId="395A61E4" w14:textId="77777777" w:rsidR="004274AA" w:rsidRDefault="004274AA" w:rsidP="004274AA">
      <w:pPr>
        <w:pStyle w:val="BodyText"/>
        <w:spacing w:before="60" w:line="273" w:lineRule="auto"/>
        <w:ind w:left="119" w:right="478"/>
      </w:pPr>
      <w:r>
        <w:lastRenderedPageBreak/>
        <w:t>expensive and unnecessary migration to the new technology must occur. This has most recently been seen in the sunset of carrier TDM technology including POTs lines. Utilities have thousands of legacy terrestrial circuits on legacy TDM, and carriers want to move away from TDM. Many have issued letters of intent to stop supporting TDM technology in the coming years requiring utilities to migrate and invest in alternative</w:t>
      </w:r>
      <w:r>
        <w:rPr>
          <w:spacing w:val="-5"/>
        </w:rPr>
        <w:t xml:space="preserve"> </w:t>
      </w:r>
      <w:r>
        <w:t>technologies.</w:t>
      </w:r>
    </w:p>
    <w:p w14:paraId="5B6A2DCF" w14:textId="77777777" w:rsidR="004274AA" w:rsidRDefault="004274AA" w:rsidP="004274AA">
      <w:pPr>
        <w:pStyle w:val="BodyText"/>
        <w:spacing w:before="183" w:line="273" w:lineRule="auto"/>
        <w:ind w:right="693"/>
      </w:pPr>
      <w:r>
        <w:t>All of this is not to say that carrier-based commercial telecom services do not have a role in the utility telecom toolbox; however, the use cases need to be strategically analyzed on economic and technical considerations. It should be noted that utilities use a significant amount of carrier backbone services for enterprise traffic, including their externally facing Website, emails, and customer-service phone lines.</w:t>
      </w:r>
    </w:p>
    <w:p w14:paraId="136C5111" w14:textId="77777777" w:rsidR="004274AA" w:rsidRDefault="004274AA" w:rsidP="004274AA">
      <w:pPr>
        <w:pStyle w:val="BodyText"/>
        <w:spacing w:before="4"/>
        <w:ind w:left="0"/>
        <w:rPr>
          <w:sz w:val="31"/>
        </w:rPr>
      </w:pPr>
    </w:p>
    <w:p w14:paraId="3D6EBE1C" w14:textId="77777777" w:rsidR="004274AA" w:rsidRPr="00293C9D" w:rsidRDefault="004274AA" w:rsidP="004274AA">
      <w:pPr>
        <w:pStyle w:val="Heading1"/>
        <w:rPr>
          <w:b w:val="0"/>
          <w:sz w:val="32"/>
          <w:szCs w:val="32"/>
        </w:rPr>
      </w:pPr>
      <w:bookmarkStart w:id="49" w:name="Utility_Telecommunications_Architecture"/>
      <w:bookmarkStart w:id="50" w:name="_bookmark10"/>
      <w:bookmarkEnd w:id="49"/>
      <w:bookmarkEnd w:id="50"/>
      <w:r w:rsidRPr="00293C9D">
        <w:rPr>
          <w:b w:val="0"/>
          <w:color w:val="4471C4"/>
          <w:sz w:val="32"/>
          <w:szCs w:val="32"/>
        </w:rPr>
        <w:t>Utility Telecommunications Architecture</w:t>
      </w:r>
    </w:p>
    <w:p w14:paraId="5C801635" w14:textId="77777777" w:rsidR="004274AA" w:rsidRDefault="004274AA" w:rsidP="004274AA">
      <w:pPr>
        <w:pStyle w:val="BodyText"/>
        <w:spacing w:before="1" w:line="273" w:lineRule="auto"/>
        <w:ind w:left="119" w:right="630"/>
      </w:pPr>
      <w:r>
        <w:t>With a fundamental understanding of the utility structure and associated application portfolio required to manage the grid along with the customer interface through the above discussion, the telecommunications architecture required to provide the connectivity will make better sense. In this context, the utility telecommunications architectural ecosystem can be divided into three distinct tiers as viewed in the diagram below.</w:t>
      </w:r>
    </w:p>
    <w:p w14:paraId="38E0C785" w14:textId="77777777" w:rsidR="004274AA" w:rsidRDefault="004274AA" w:rsidP="004274AA">
      <w:pPr>
        <w:pStyle w:val="BodyText"/>
        <w:spacing w:before="7"/>
        <w:ind w:left="0"/>
        <w:rPr>
          <w:sz w:val="10"/>
        </w:rPr>
      </w:pPr>
      <w:r>
        <w:rPr>
          <w:noProof/>
        </w:rPr>
        <w:drawing>
          <wp:anchor distT="0" distB="0" distL="0" distR="0" simplePos="0" relativeHeight="251661312" behindDoc="0" locked="0" layoutInCell="1" allowOverlap="1" wp14:anchorId="7E4032D9" wp14:editId="7FEBB147">
            <wp:simplePos x="0" y="0"/>
            <wp:positionH relativeFrom="page">
              <wp:posOffset>1459091</wp:posOffset>
            </wp:positionH>
            <wp:positionV relativeFrom="paragraph">
              <wp:posOffset>102309</wp:posOffset>
            </wp:positionV>
            <wp:extent cx="5103532" cy="3268979"/>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9" cstate="print"/>
                    <a:stretch>
                      <a:fillRect/>
                    </a:stretch>
                  </pic:blipFill>
                  <pic:spPr>
                    <a:xfrm>
                      <a:off x="0" y="0"/>
                      <a:ext cx="5103532" cy="3268979"/>
                    </a:xfrm>
                    <a:prstGeom prst="rect">
                      <a:avLst/>
                    </a:prstGeom>
                  </pic:spPr>
                </pic:pic>
              </a:graphicData>
            </a:graphic>
          </wp:anchor>
        </w:drawing>
      </w:r>
    </w:p>
    <w:p w14:paraId="2253121C" w14:textId="77777777" w:rsidR="004274AA" w:rsidRDefault="004274AA" w:rsidP="004274AA">
      <w:pPr>
        <w:pStyle w:val="BodyText"/>
        <w:spacing w:before="4"/>
        <w:ind w:left="0"/>
        <w:rPr>
          <w:sz w:val="26"/>
        </w:rPr>
      </w:pPr>
    </w:p>
    <w:p w14:paraId="67EA7903" w14:textId="77777777" w:rsidR="004274AA" w:rsidRDefault="004274AA" w:rsidP="004274AA">
      <w:pPr>
        <w:pStyle w:val="BodyText"/>
        <w:spacing w:line="273" w:lineRule="auto"/>
        <w:ind w:right="481"/>
      </w:pPr>
      <w:r>
        <w:rPr>
          <w:b/>
        </w:rPr>
        <w:t xml:space="preserve">Tier 1 </w:t>
      </w:r>
      <w:r>
        <w:t>represents the utility network core or backbone, a high-bandwidth network providing application aggregation and is woven throughout the utility territory. It consists predominantly of fiber optic and point-to-point microwave transport technology typically constructed in a ring topology for redundancy, with the majority of utilities using the 6 GHz spectrum band for the wireless segments. Fiber is the preferred transport medium; however, it is also the most</w:t>
      </w:r>
    </w:p>
    <w:p w14:paraId="293154D0" w14:textId="77777777" w:rsidR="004274AA" w:rsidRDefault="004274AA" w:rsidP="004274AA">
      <w:pPr>
        <w:spacing w:line="273" w:lineRule="auto"/>
        <w:sectPr w:rsidR="004274AA">
          <w:pgSz w:w="12240" w:h="15840"/>
          <w:pgMar w:top="1380" w:right="960" w:bottom="1000" w:left="1320" w:header="0" w:footer="814" w:gutter="0"/>
          <w:cols w:space="720"/>
        </w:sectPr>
      </w:pPr>
    </w:p>
    <w:p w14:paraId="648F788A" w14:textId="77777777" w:rsidR="004274AA" w:rsidRDefault="004274AA" w:rsidP="004274AA">
      <w:pPr>
        <w:pStyle w:val="BodyText"/>
        <w:spacing w:before="60" w:line="273" w:lineRule="auto"/>
        <w:ind w:right="648"/>
      </w:pPr>
      <w:r>
        <w:lastRenderedPageBreak/>
        <w:t>expensive, ranging between $50,000 to $150,000 per mile for deployment. It offers nearly unlimited amounts of bandwidth constrained only by the optical driver equipment lighting the fiber. Point-to-point microwave operating in the 6 GHz spectrum band is also broadly deployed as well, capable of multi-Gbps throughput at a comparable path cost of less than $100,000 per path on existing towers. A microwave path, defined by two to four radios attached to large towers in a line-of-sight configuration, has the advantage of covering long distances at a more economical cost than that of fiber and operates at similar, if not better, levels of availability assuming stable signal strength.</w:t>
      </w:r>
    </w:p>
    <w:p w14:paraId="6F104330" w14:textId="77777777" w:rsidR="004274AA" w:rsidRDefault="004274AA" w:rsidP="004274AA">
      <w:pPr>
        <w:pStyle w:val="BodyText"/>
        <w:spacing w:before="183" w:line="271" w:lineRule="auto"/>
        <w:ind w:right="681"/>
      </w:pPr>
      <w:r>
        <w:t>The ratio of fiber miles to microwave paths will vary from utility to utility. Survey results from the UTC</w:t>
      </w:r>
      <w:hyperlink w:anchor="_bookmark11" w:history="1">
        <w:r>
          <w:rPr>
            <w:position w:val="9"/>
            <w:sz w:val="16"/>
          </w:rPr>
          <w:t>2</w:t>
        </w:r>
      </w:hyperlink>
      <w:r>
        <w:rPr>
          <w:position w:val="9"/>
          <w:sz w:val="16"/>
        </w:rPr>
        <w:t xml:space="preserve"> </w:t>
      </w:r>
      <w:r>
        <w:t>provide insights to microwave and fiber deployments and suggest that utilities have anywhere from 20 to as many as 200 or more microwave paths within a given territory, with each path being on average 20 miles. This represents roughly 20% to 75% of the backbone infrastructure utilizing point-to-point microwave. Many of these paths are located in urban centers as well as suburban and rural areas.</w:t>
      </w:r>
    </w:p>
    <w:p w14:paraId="5DEE6858" w14:textId="77777777" w:rsidR="004274AA" w:rsidRDefault="004274AA" w:rsidP="004274AA">
      <w:pPr>
        <w:pStyle w:val="BodyText"/>
        <w:spacing w:before="185" w:line="273" w:lineRule="auto"/>
        <w:ind w:right="502"/>
      </w:pPr>
      <w:r>
        <w:t>Again, the transport backbone requires the highest level of reliability and availability as it aggregates all of the critical application services discussed above including the most critical, teleprotection (relay protection), and backhauls data to the respective data centers for application processing. Availability for Tier 1 telecom is required to be 99.999%, or Five-9’s, at a minimum, which translates roughly into five minutes of downtime per year.</w:t>
      </w:r>
    </w:p>
    <w:p w14:paraId="1E25E4FE" w14:textId="77777777" w:rsidR="004274AA" w:rsidRDefault="004274AA" w:rsidP="004274AA">
      <w:pPr>
        <w:pStyle w:val="BodyText"/>
        <w:spacing w:before="182" w:line="273" w:lineRule="auto"/>
        <w:ind w:right="495"/>
      </w:pPr>
      <w:r>
        <w:t>From a physical design perspective, Tier 1 end-point nodes will typically pass through utility substations and service centers in a ring topology. The endpoint equipment, routers, and multiplexers drop traffic to connect to RTUs, relays, security cameras, etc. located in the substation. The routers and multiplexers also regenerate the light signal to the next hop around the ring. Fiber has a limited propagation point-to-point distance of about 50 miles, which lends itself well to substation handoffs located in reasonable proximity to one another. Similarly, many substations have microwave towers in place with radios that have a path limit up to approximately 50 miles, depending on the line of sight characteristics, antenna height, and terrain. Typical path distances, however, are in the 20-30 mile range. The ring path may be a combination of fiber and microwave paths that are engineered based upon cost and infrastructure assets available.</w:t>
      </w:r>
    </w:p>
    <w:p w14:paraId="2ECEA2C4" w14:textId="77777777" w:rsidR="004274AA" w:rsidRDefault="004274AA" w:rsidP="004274AA">
      <w:pPr>
        <w:pStyle w:val="BodyText"/>
        <w:spacing w:before="185" w:line="273" w:lineRule="auto"/>
        <w:ind w:right="488"/>
      </w:pPr>
      <w:r>
        <w:t>Looking at the logical design, Tier 1 may be a combination of packet-based IP technologies such as Multiprotocol Label Switching (MPLS) or Carrier Ethernet. Time Division Multiplexing (TDM) such as Synchronous Optical Network (SONET) and Synchronous Digital Hierarchy (SDH) is also in broad use. However, SONET/SDH is now considered legacy and is being sunset in favor of packet technologies. Regardless, they can function together within the Tier 1 ecosystem. In light of the ring design discussed above, all of these technologies have the ability to perform “protected path switching,” which is the concept of detecting a fault in the active</w:t>
      </w:r>
    </w:p>
    <w:p w14:paraId="4846FF69" w14:textId="74999242" w:rsidR="004274AA" w:rsidRDefault="004274AA" w:rsidP="004274AA">
      <w:pPr>
        <w:pStyle w:val="BodyText"/>
        <w:spacing w:before="3"/>
        <w:ind w:left="0"/>
        <w:rPr>
          <w:sz w:val="16"/>
        </w:rPr>
      </w:pPr>
      <w:r>
        <w:rPr>
          <w:noProof/>
        </w:rPr>
        <mc:AlternateContent>
          <mc:Choice Requires="wps">
            <w:drawing>
              <wp:anchor distT="0" distB="0" distL="0" distR="0" simplePos="0" relativeHeight="251664384" behindDoc="1" locked="0" layoutInCell="1" allowOverlap="1" wp14:anchorId="5C9B698A" wp14:editId="2DB0D9A0">
                <wp:simplePos x="0" y="0"/>
                <wp:positionH relativeFrom="page">
                  <wp:posOffset>914400</wp:posOffset>
                </wp:positionH>
                <wp:positionV relativeFrom="paragraph">
                  <wp:posOffset>147955</wp:posOffset>
                </wp:positionV>
                <wp:extent cx="1828800" cy="0"/>
                <wp:effectExtent l="9525" t="5080" r="9525" b="13970"/>
                <wp:wrapTopAndBottom/>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0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68B7FD" id="Straight Connector 10"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1.65pt" to="3in,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" strokeweight=".21131mm">
                <w10:wrap type="topAndBottom" anchorx="page"/>
              </v:line>
            </w:pict>
          </mc:Fallback>
        </mc:AlternateContent>
      </w:r>
    </w:p>
    <w:p w14:paraId="66C1408D" w14:textId="77777777" w:rsidR="004274AA" w:rsidRDefault="004274AA" w:rsidP="004274AA">
      <w:pPr>
        <w:spacing w:before="72"/>
        <w:ind w:left="120"/>
        <w:rPr>
          <w:sz w:val="20"/>
        </w:rPr>
      </w:pPr>
      <w:bookmarkStart w:id="51" w:name="_bookmark11"/>
      <w:bookmarkEnd w:id="51"/>
      <w:r>
        <w:rPr>
          <w:position w:val="7"/>
          <w:sz w:val="13"/>
        </w:rPr>
        <w:t xml:space="preserve">2 </w:t>
      </w:r>
      <w:r>
        <w:rPr>
          <w:sz w:val="20"/>
        </w:rPr>
        <w:t xml:space="preserve">UTC Utility Network Baseline, </w:t>
      </w:r>
      <w:r>
        <w:rPr>
          <w:rFonts w:ascii="Symbol" w:hAnsi="Symbol"/>
          <w:sz w:val="20"/>
        </w:rPr>
        <w:t></w:t>
      </w:r>
      <w:r>
        <w:rPr>
          <w:sz w:val="20"/>
        </w:rPr>
        <w:t xml:space="preserve"> 2017</w:t>
      </w:r>
    </w:p>
    <w:p w14:paraId="1ED64029" w14:textId="77777777" w:rsidR="004274AA" w:rsidRDefault="004274AA" w:rsidP="004274AA">
      <w:pPr>
        <w:rPr>
          <w:sz w:val="20"/>
        </w:rPr>
        <w:sectPr w:rsidR="004274AA">
          <w:pgSz w:w="12240" w:h="15840"/>
          <w:pgMar w:top="1380" w:right="960" w:bottom="1000" w:left="1320" w:header="0" w:footer="814" w:gutter="0"/>
          <w:cols w:space="720"/>
        </w:sectPr>
      </w:pPr>
    </w:p>
    <w:p w14:paraId="1C681DB1" w14:textId="77777777" w:rsidR="004274AA" w:rsidRDefault="004274AA" w:rsidP="004274AA">
      <w:pPr>
        <w:pStyle w:val="BodyText"/>
        <w:spacing w:before="60" w:line="273" w:lineRule="auto"/>
        <w:ind w:right="509"/>
      </w:pPr>
      <w:r>
        <w:lastRenderedPageBreak/>
        <w:t>working path and quickly changing direction of the traffic around the other side of the ring to get to the same destination or “protected path.” It should be noted that a fault occurring in Tier 1 has a very large fault domain and will have a significant impact on the overall network and associated applications.</w:t>
      </w:r>
    </w:p>
    <w:p w14:paraId="6147DD00" w14:textId="77777777" w:rsidR="004274AA" w:rsidRDefault="004274AA" w:rsidP="004274AA">
      <w:pPr>
        <w:pStyle w:val="BodyText"/>
        <w:spacing w:before="182" w:line="273" w:lineRule="auto"/>
        <w:ind w:left="119" w:right="483"/>
      </w:pPr>
      <w:r>
        <w:t xml:space="preserve">Utilities generally subscribe to a </w:t>
      </w:r>
      <w:r>
        <w:rPr>
          <w:i/>
        </w:rPr>
        <w:t xml:space="preserve">“no single point of failure” </w:t>
      </w:r>
      <w:r>
        <w:t xml:space="preserve">philosophy for critical transport systems and </w:t>
      </w:r>
      <w:r>
        <w:rPr>
          <w:i/>
        </w:rPr>
        <w:t>at a minimum will design to N+1 redundancy</w:t>
      </w:r>
      <w:r>
        <w:t>, and, in some cases, design to N+2. This means the functional integrity of the system will be maintained with one or even two failures, assuming a protected ring topology is implemented and is required to deliver Five-9’s of availability. This generally requires that end-point equipment have redundant elements, such as power supplies, line cards, etc. installed in routers and multiplexers. In many cases, utilities will opt to install a complete redundant device (router/multiplexer) in a given substation to further enhance redundancy. Power is a critical focus area and utilities will have local battery backup as well as generator capability to power their communications for extended outages. In the event a failure does occur, such as a fiber break or microwave path fade, traffic will re-route from the working path to the protected path, placing the system in single contingency, meaning an additional failure will render the system unavailable. In certain cases, this may require the utility to take compensating action such as removing a transmission line from service, which may then compromise the overall integrity of the grid.</w:t>
      </w:r>
    </w:p>
    <w:p w14:paraId="1CF630B4" w14:textId="77777777" w:rsidR="004274AA" w:rsidRDefault="004274AA" w:rsidP="004274AA">
      <w:pPr>
        <w:pStyle w:val="BodyText"/>
        <w:spacing w:before="186" w:line="273" w:lineRule="auto"/>
        <w:ind w:left="119" w:right="619"/>
      </w:pPr>
      <w:r>
        <w:t>Tier 1 (see image page 12) is designed to be the most robust and managed with most attention within the utility telecom ecosystem. It is important to note that the underlying design basis for Five-9’s in an N+1 system, i.e., ring topology with two possible paths, is that each path has an individual availability of approximately 99.7% for their combined availability to be Five-9’s.To maintain Five-9’s, any individual link in the system must have a high “mean time between failures,” routine interruptions caused by microwave loss of signal fade caused by interference cannot be tolerated.</w:t>
      </w:r>
    </w:p>
    <w:p w14:paraId="2BB72BDB" w14:textId="77777777" w:rsidR="004274AA" w:rsidRDefault="004274AA" w:rsidP="004274AA">
      <w:pPr>
        <w:spacing w:line="273" w:lineRule="auto"/>
        <w:sectPr w:rsidR="004274AA">
          <w:pgSz w:w="12240" w:h="15840"/>
          <w:pgMar w:top="1380" w:right="960" w:bottom="1000" w:left="1320" w:header="0" w:footer="814" w:gutter="0"/>
          <w:cols w:space="720"/>
        </w:sectPr>
      </w:pPr>
    </w:p>
    <w:p w14:paraId="2D1A2875" w14:textId="77777777" w:rsidR="004274AA" w:rsidRDefault="004274AA" w:rsidP="004274AA">
      <w:pPr>
        <w:pStyle w:val="BodyText"/>
        <w:ind w:left="2100"/>
        <w:rPr>
          <w:sz w:val="20"/>
        </w:rPr>
      </w:pPr>
      <w:r>
        <w:rPr>
          <w:noProof/>
          <w:sz w:val="20"/>
        </w:rPr>
        <w:lastRenderedPageBreak/>
        <w:drawing>
          <wp:inline distT="0" distB="0" distL="0" distR="0" wp14:anchorId="0FFCFA24" wp14:editId="7714E89A">
            <wp:extent cx="3666377" cy="3291840"/>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20" cstate="print"/>
                    <a:stretch>
                      <a:fillRect/>
                    </a:stretch>
                  </pic:blipFill>
                  <pic:spPr>
                    <a:xfrm>
                      <a:off x="0" y="0"/>
                      <a:ext cx="3666377" cy="3291840"/>
                    </a:xfrm>
                    <a:prstGeom prst="rect">
                      <a:avLst/>
                    </a:prstGeom>
                  </pic:spPr>
                </pic:pic>
              </a:graphicData>
            </a:graphic>
          </wp:inline>
        </w:drawing>
      </w:r>
    </w:p>
    <w:p w14:paraId="5F8ED74F" w14:textId="77777777" w:rsidR="004274AA" w:rsidRDefault="004274AA" w:rsidP="004274AA">
      <w:pPr>
        <w:pStyle w:val="BodyText"/>
        <w:spacing w:before="7"/>
        <w:ind w:left="0"/>
        <w:rPr>
          <w:sz w:val="12"/>
        </w:rPr>
      </w:pPr>
    </w:p>
    <w:p w14:paraId="05E6E47E" w14:textId="77777777" w:rsidR="004274AA" w:rsidRDefault="004274AA" w:rsidP="004274AA">
      <w:pPr>
        <w:pStyle w:val="BodyText"/>
        <w:spacing w:before="90" w:line="273" w:lineRule="auto"/>
        <w:ind w:left="119" w:right="483"/>
      </w:pPr>
      <w:r>
        <w:rPr>
          <w:b/>
        </w:rPr>
        <w:t xml:space="preserve">Tier 2 </w:t>
      </w:r>
      <w:r>
        <w:t>can be characterized as the middle mile or bridging network between Tier 1 and Tier 3 (Field Area Network). Tier 2 is typically a point-to-multipoint RF technology similar to cellular technology. It is used to provide SCADA telemetry and Distribution Automation backhaul to base stations located in substations that have a point of presence to the Tier 1 backbone. It is a broadband type of technology, and the capacity will vary by what RF spectrum is available to the utility. Presently there are very few spectrum options to provide adequate capacity in this tier.</w:t>
      </w:r>
    </w:p>
    <w:p w14:paraId="05D873BE" w14:textId="77777777" w:rsidR="004274AA" w:rsidRDefault="004274AA" w:rsidP="004274AA">
      <w:pPr>
        <w:pStyle w:val="BodyText"/>
        <w:spacing w:before="3" w:line="273" w:lineRule="auto"/>
        <w:ind w:left="119" w:right="1023"/>
      </w:pPr>
      <w:r>
        <w:t xml:space="preserve">Utilities have also been challenged to compete with the large commercial carriers and other entities in spectrum auctions, particularly in Major Economic Areas (MEAs). </w:t>
      </w:r>
      <w:proofErr w:type="gramStart"/>
      <w:r>
        <w:t>Consequently</w:t>
      </w:r>
      <w:proofErr w:type="gramEnd"/>
      <w:r>
        <w:t xml:space="preserve"> utilities do not have as many options or the ability to compete with the large global communications carriers.</w:t>
      </w:r>
    </w:p>
    <w:p w14:paraId="5BDCFBD1" w14:textId="77777777" w:rsidR="004274AA" w:rsidRDefault="004274AA" w:rsidP="004274AA">
      <w:pPr>
        <w:pStyle w:val="BodyText"/>
        <w:spacing w:before="182" w:line="273" w:lineRule="auto"/>
        <w:ind w:left="119" w:right="478"/>
      </w:pPr>
      <w:r>
        <w:t xml:space="preserve">Furthermore, utilities, while considered critical infrastructure, are thus far not able to share Public Safety spectrum in a non-preemptive manner. </w:t>
      </w:r>
      <w:proofErr w:type="gramStart"/>
      <w:r>
        <w:t>Thus</w:t>
      </w:r>
      <w:proofErr w:type="gramEnd"/>
      <w:r>
        <w:t xml:space="preserve"> the only option for utilities has been to compete with other commercial entities in a variety of spectrum bands, including the 6 GHz and other bands, or to purchase small blocks of spectrum offered by brokers. The Citizens Broadband Radio Service (CBRS) in the 3.5 GHz spectrum band works well in some markets but is plagued with interference by other operating entities, which has resulted in sporadic and limited availability. Consequently, it has not been widely adopted within the utility community. It should also be noted there are pending FCC rule changes in the CBRS spectrum as well that could negatively impact the viability of that band for</w:t>
      </w:r>
      <w:r>
        <w:rPr>
          <w:spacing w:val="-7"/>
        </w:rPr>
        <w:t xml:space="preserve"> </w:t>
      </w:r>
      <w:r>
        <w:t>utilities.</w:t>
      </w:r>
    </w:p>
    <w:p w14:paraId="47B558D1" w14:textId="77777777" w:rsidR="004274AA" w:rsidRDefault="004274AA" w:rsidP="004274AA">
      <w:pPr>
        <w:pStyle w:val="BodyText"/>
        <w:spacing w:before="184" w:line="273" w:lineRule="auto"/>
        <w:ind w:left="119" w:right="503"/>
      </w:pPr>
      <w:r>
        <w:t>To create an acceptable level of functionality in the Tier 2 network, there would have to be a minimum of a 5x5 MHz spectrum allocation and arguably a 10x10 MHz allocation to adequately address all the utility broadband use cases, including SCADA, mobile workforce, LMR, security</w:t>
      </w:r>
    </w:p>
    <w:p w14:paraId="131D263E" w14:textId="77777777" w:rsidR="004274AA" w:rsidRDefault="004274AA" w:rsidP="004274AA">
      <w:pPr>
        <w:spacing w:line="273" w:lineRule="auto"/>
        <w:sectPr w:rsidR="004274AA">
          <w:pgSz w:w="12240" w:h="15840"/>
          <w:pgMar w:top="1440" w:right="960" w:bottom="1000" w:left="1320" w:header="0" w:footer="814" w:gutter="0"/>
          <w:cols w:space="720"/>
        </w:sectPr>
      </w:pPr>
    </w:p>
    <w:p w14:paraId="6050C39B" w14:textId="77777777" w:rsidR="004274AA" w:rsidRDefault="004274AA" w:rsidP="004274AA">
      <w:pPr>
        <w:pStyle w:val="BodyText"/>
        <w:spacing w:before="60" w:line="273" w:lineRule="auto"/>
        <w:ind w:right="809"/>
      </w:pPr>
      <w:r>
        <w:lastRenderedPageBreak/>
        <w:t>video, and forward-looking applications addressed earlier in this paper. Today, there is essentially no allocation of adequate workable broadband spectrum available to utilities in the United States.</w:t>
      </w:r>
    </w:p>
    <w:p w14:paraId="156CFC29" w14:textId="77777777" w:rsidR="004274AA" w:rsidRDefault="004274AA" w:rsidP="004274AA">
      <w:pPr>
        <w:pStyle w:val="BodyText"/>
        <w:spacing w:before="182" w:line="273" w:lineRule="auto"/>
        <w:ind w:left="119" w:right="682"/>
      </w:pPr>
      <w:r>
        <w:rPr>
          <w:b/>
        </w:rPr>
        <w:t xml:space="preserve">Tier 3, </w:t>
      </w:r>
      <w:r>
        <w:t>commonly referred to as the Field Area Network (FAN), is a relatively low bandwidth network that is either a mesh architecture operating in unlicensed ISM 900 MHz space using a frequency hopping modulation technology or a licensed narrowband point-to-multipoint technology typically with 12.5 kHz or 25 kHz channels, with obvious limitations on bandwidth capacity.</w:t>
      </w:r>
    </w:p>
    <w:p w14:paraId="1112651F" w14:textId="77777777" w:rsidR="004274AA" w:rsidRDefault="004274AA" w:rsidP="004274AA">
      <w:pPr>
        <w:pStyle w:val="BodyText"/>
        <w:spacing w:before="181" w:line="273" w:lineRule="auto"/>
        <w:ind w:left="119" w:right="497"/>
      </w:pPr>
      <w:r>
        <w:t>Most but not all AMI solutions are mesh, as millions of meters in relatively close proximity to one another lend themselves well to hopping from meter to meter to carry their payload (meter reads). Operating in the unlicensed ISM band has a limitation on radiated power, but that is overcome with the density of meters deployed coupled with a large number of access points (network drain). The drain or access point out of the mesh may use a carrier-based LTE backhaul or a private Tier 2 RF technology. There are also AMI solutions that employ a point-to- multipoint architecture on narrowband licensed spectrum. Due to the higher power permitted with licensed spectrum, it is possible to obtain adequate coverage across the utility territory with fewer base stations as compared to the number of access points required in a mesh topology, obviously reducing the number of FAN drain points. The result is fewer base stations to maintain and an opportunity to leverage Tier 2 backhaul points of presence. However, the nature of the narrowband channels limits the capacity of this architecture.</w:t>
      </w:r>
    </w:p>
    <w:p w14:paraId="09BE20E5" w14:textId="77777777" w:rsidR="004274AA" w:rsidRDefault="004274AA" w:rsidP="004274AA">
      <w:pPr>
        <w:pStyle w:val="BodyText"/>
        <w:spacing w:before="186" w:line="273" w:lineRule="auto"/>
        <w:ind w:left="119" w:right="477"/>
      </w:pPr>
      <w:r>
        <w:t>In the grid management application portfolio, DA operates on a similar segregated network from AMI. Again, maintaining application groups segregated (i.e. DA from AMI) is a security best practice and, arguably an operational best practice. DA functions best in a point-to-multipoint architecture due in part to latency sensitivity, and deterministic traffic flows, i.e., controlling how the traffic</w:t>
      </w:r>
      <w:r>
        <w:rPr>
          <w:spacing w:val="-1"/>
        </w:rPr>
        <w:t xml:space="preserve"> </w:t>
      </w:r>
      <w:r>
        <w:t>routes.</w:t>
      </w:r>
    </w:p>
    <w:p w14:paraId="5E00A15E" w14:textId="77777777" w:rsidR="004274AA" w:rsidRDefault="004274AA" w:rsidP="004274AA">
      <w:pPr>
        <w:pStyle w:val="BodyText"/>
        <w:spacing w:before="183" w:line="273" w:lineRule="auto"/>
        <w:ind w:left="119" w:right="516"/>
      </w:pPr>
      <w:r>
        <w:t>The primary limitation with DA using a point-to-multipoint architecture operating on narrowband spectrum is capacity. Using 25 kHz channels is limited on the bandwidth that can be managed for thousands of DA devices. This will continue to be an ongoing limitation until such time that the broadband access conundrum is resolved. In a situation where a utility has broadband access, it would permit the convergence of both Tier 2 and Tier 3 into a unified FAN architecture. Access to broadband spectrum is one of the biggest political challenges preventing this</w:t>
      </w:r>
      <w:r>
        <w:rPr>
          <w:spacing w:val="-1"/>
        </w:rPr>
        <w:t xml:space="preserve"> </w:t>
      </w:r>
      <w:r>
        <w:t>convergence.</w:t>
      </w:r>
    </w:p>
    <w:p w14:paraId="593B8B7B" w14:textId="77777777" w:rsidR="004274AA" w:rsidRDefault="004274AA" w:rsidP="004274AA">
      <w:pPr>
        <w:spacing w:line="273" w:lineRule="auto"/>
        <w:sectPr w:rsidR="004274AA">
          <w:pgSz w:w="12240" w:h="15840"/>
          <w:pgMar w:top="1380" w:right="960" w:bottom="1000" w:left="1320" w:header="0" w:footer="814" w:gutter="0"/>
          <w:cols w:space="720"/>
        </w:sectPr>
      </w:pPr>
    </w:p>
    <w:p w14:paraId="5C62E2F2" w14:textId="77777777" w:rsidR="004274AA" w:rsidRDefault="004274AA" w:rsidP="004274AA">
      <w:pPr>
        <w:pStyle w:val="BodyText"/>
        <w:spacing w:before="2"/>
        <w:ind w:left="0"/>
        <w:rPr>
          <w:sz w:val="22"/>
        </w:rPr>
      </w:pPr>
    </w:p>
    <w:p w14:paraId="58A94204" w14:textId="77777777" w:rsidR="004274AA" w:rsidRDefault="004274AA" w:rsidP="004274AA">
      <w:pPr>
        <w:pStyle w:val="BodyText"/>
        <w:rPr>
          <w:sz w:val="20"/>
        </w:rPr>
      </w:pPr>
      <w:r>
        <w:rPr>
          <w:noProof/>
          <w:sz w:val="20"/>
        </w:rPr>
        <w:drawing>
          <wp:inline distT="0" distB="0" distL="0" distR="0" wp14:anchorId="782C5E9E" wp14:editId="5936CB35">
            <wp:extent cx="6156251" cy="4793456"/>
            <wp:effectExtent l="0" t="0" r="0" b="0"/>
            <wp:docPr id="15" name="image8.jpeg" descr="SG Architecture v2 final n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21" cstate="print"/>
                    <a:stretch>
                      <a:fillRect/>
                    </a:stretch>
                  </pic:blipFill>
                  <pic:spPr>
                    <a:xfrm>
                      <a:off x="0" y="0"/>
                      <a:ext cx="6156251" cy="4793456"/>
                    </a:xfrm>
                    <a:prstGeom prst="rect">
                      <a:avLst/>
                    </a:prstGeom>
                  </pic:spPr>
                </pic:pic>
              </a:graphicData>
            </a:graphic>
          </wp:inline>
        </w:drawing>
      </w:r>
    </w:p>
    <w:p w14:paraId="70568711" w14:textId="77777777" w:rsidR="004274AA" w:rsidRDefault="004274AA" w:rsidP="004274AA">
      <w:pPr>
        <w:pStyle w:val="BodyText"/>
        <w:spacing w:before="11"/>
        <w:ind w:left="0"/>
        <w:rPr>
          <w:sz w:val="13"/>
        </w:rPr>
      </w:pPr>
    </w:p>
    <w:p w14:paraId="42887B6E" w14:textId="77777777" w:rsidR="004274AA" w:rsidRDefault="004274AA" w:rsidP="004274AA">
      <w:pPr>
        <w:spacing w:before="90"/>
        <w:ind w:left="120"/>
        <w:rPr>
          <w:b/>
        </w:rPr>
      </w:pPr>
      <w:r>
        <w:rPr>
          <w:b/>
        </w:rPr>
        <w:t>Multi-Tier Utility Telecommunications Architecture</w:t>
      </w:r>
    </w:p>
    <w:p w14:paraId="08F4064D" w14:textId="77777777" w:rsidR="004274AA" w:rsidRDefault="004274AA" w:rsidP="004274AA">
      <w:pPr>
        <w:sectPr w:rsidR="004274AA">
          <w:pgSz w:w="12240" w:h="15840"/>
          <w:pgMar w:top="1500" w:right="960" w:bottom="1000" w:left="1320" w:header="0" w:footer="814" w:gutter="0"/>
          <w:cols w:space="720"/>
        </w:sectPr>
      </w:pPr>
    </w:p>
    <w:p w14:paraId="14A27B90" w14:textId="77777777" w:rsidR="004274AA" w:rsidRPr="00293C9D" w:rsidRDefault="004274AA" w:rsidP="004274AA">
      <w:pPr>
        <w:pStyle w:val="Heading1"/>
        <w:spacing w:before="120"/>
        <w:rPr>
          <w:b w:val="0"/>
          <w:sz w:val="32"/>
          <w:szCs w:val="32"/>
        </w:rPr>
      </w:pPr>
      <w:bookmarkStart w:id="52" w:name="Reliability_&amp;_Performance_Requirements"/>
      <w:bookmarkStart w:id="53" w:name="_bookmark12"/>
      <w:bookmarkEnd w:id="52"/>
      <w:bookmarkEnd w:id="53"/>
      <w:r w:rsidRPr="00293C9D">
        <w:rPr>
          <w:b w:val="0"/>
          <w:color w:val="4471C4"/>
          <w:sz w:val="32"/>
          <w:szCs w:val="32"/>
        </w:rPr>
        <w:lastRenderedPageBreak/>
        <w:t>Reliability &amp; Performance Requirements</w:t>
      </w:r>
    </w:p>
    <w:p w14:paraId="386AF0A5" w14:textId="77777777" w:rsidR="004274AA" w:rsidRDefault="004274AA" w:rsidP="004274AA">
      <w:pPr>
        <w:pStyle w:val="BodyText"/>
        <w:spacing w:before="42" w:line="273" w:lineRule="auto"/>
        <w:ind w:left="119" w:right="510"/>
      </w:pPr>
      <w:r>
        <w:t>This paper has outlined the utility telecommunications landscape with an examination of grid management applications along with the telecom transport infrastructure required to enable those applications. This section further explores the availability of critical applications and discuss fault mechanisms along with their business impact.</w:t>
      </w:r>
    </w:p>
    <w:p w14:paraId="799EBFA8" w14:textId="77777777" w:rsidR="004274AA" w:rsidRDefault="004274AA" w:rsidP="004274AA">
      <w:pPr>
        <w:pStyle w:val="BodyText"/>
        <w:spacing w:before="181" w:line="273" w:lineRule="auto"/>
        <w:ind w:left="119" w:right="484"/>
      </w:pPr>
      <w:r>
        <w:t>Beginning with Tier 1, the backbone is clearly the most critical transport ecosystem managed by the utility. It aggregates all of the application and service groups, aggregating Tier 3 and Tier 2 services. An unrecovered or undetected fault in Tier 1 will have a major impact on utility operations, including loss of visibility and control of the grid, and therefore is considered a large fault domain. This is the why Tier 1 is designed with a minimum of 99.999 (Five-9’s) availability requirement. Every link in the transport medium, be it fiber or microwave, must be robust. This can be well managed in fiber optics, given it is self-encased and preferably installed on transmission structures far above the ground out of harm’s way. Distribution poles, while reliable, are subject to downed trees and automobile accidents. Microwave communications are a resilient technology as well. Assuming a well-designed, line-of-sight path and proper tuning of the system, i.e., adequate fade margin (~40 dBm) and signal strength, it has historically proven to be quite capable of maintaining Five- to Six-9’s availability. To reiterate, Five-9’s is accomplished through the use of redundant ring pathways and requires approximately 99.7% availability per path to achieve a combined Five-9’s availability per path for the whole telecom system. With the prospect of potential interference in the 6 GHz band due to a proposal pending before the Federal Communications Commission, that may no longer be the case. Periodic signal fade caused by interference will have a marked impact on the overall system</w:t>
      </w:r>
      <w:r>
        <w:rPr>
          <w:spacing w:val="-11"/>
        </w:rPr>
        <w:t xml:space="preserve"> </w:t>
      </w:r>
      <w:r>
        <w:t>reliability.</w:t>
      </w:r>
    </w:p>
    <w:p w14:paraId="5A2B8871" w14:textId="77777777" w:rsidR="004274AA" w:rsidRPr="00293C9D" w:rsidRDefault="004274AA" w:rsidP="004274AA">
      <w:pPr>
        <w:pStyle w:val="Heading2"/>
        <w:spacing w:before="187"/>
        <w:rPr>
          <w:b w:val="0"/>
          <w:sz w:val="28"/>
          <w:szCs w:val="28"/>
        </w:rPr>
      </w:pPr>
      <w:bookmarkStart w:id="54" w:name="Microwave_Path_Design_Considerations"/>
      <w:bookmarkStart w:id="55" w:name="_bookmark13"/>
      <w:bookmarkEnd w:id="54"/>
      <w:bookmarkEnd w:id="55"/>
      <w:r w:rsidRPr="00293C9D">
        <w:rPr>
          <w:b w:val="0"/>
          <w:color w:val="8EAADB"/>
          <w:sz w:val="28"/>
          <w:szCs w:val="28"/>
        </w:rPr>
        <w:t>Microwave Path Design Considerations</w:t>
      </w:r>
    </w:p>
    <w:p w14:paraId="531E2CFE" w14:textId="77777777" w:rsidR="004274AA" w:rsidRDefault="004274AA" w:rsidP="004274AA">
      <w:pPr>
        <w:pStyle w:val="BodyText"/>
        <w:spacing w:before="47" w:line="273" w:lineRule="auto"/>
        <w:ind w:left="119" w:right="517"/>
      </w:pPr>
      <w:r>
        <w:t xml:space="preserve">It must be noted that designing a microwave path is a complex undertaking. This is further complicated when external unforeseen or accounted for forces are present. Microwave radios in the 6 GHz range are relatively low power, typically 1 watt due to their highly directional antennas and being digital, have a signal threshold defining the operable and non-operable state, unlike a legacy analog microwave where signal fade is more tolerable. Consequently, once the signal drops below the operational threshold, it stops passing traffic altogether; even if there still is a level of signal between the radios, it is not adequate to maintain data communication. This is analogous to the legacy analog televisions with a poor signal, where the viewer would experience a fuzzy or snowy picture contrasted to digital televisions, where you see pixilation followed by a blank screen, it is an all or nothing effect. As a rule of thumb, a microwave path is designed with 40 dBm of fade margin, assuming proper alignment of the primary lobe across the endpoints of the path. After all the attenuation and gain factors are </w:t>
      </w:r>
      <w:proofErr w:type="gramStart"/>
      <w:r>
        <w:t>taken into account</w:t>
      </w:r>
      <w:proofErr w:type="gramEnd"/>
      <w:r>
        <w:t>, on a blue- sky day, it is desired to have the 40 dBm margin to loss of signal. This margin is intended to account for further reductions in attenuation such as rain, snow or other clutter changes. With</w:t>
      </w:r>
      <w:r>
        <w:rPr>
          <w:spacing w:val="-20"/>
        </w:rPr>
        <w:t xml:space="preserve"> </w:t>
      </w:r>
      <w:r>
        <w:t>the introduction of unlicensed devices given access to 6 GHz spectrum transmitting in proximity to the path, a squelching to the available fade margin could occur, resulting in loss of signal</w:t>
      </w:r>
      <w:r>
        <w:rPr>
          <w:spacing w:val="-21"/>
        </w:rPr>
        <w:t xml:space="preserve"> </w:t>
      </w:r>
      <w:r>
        <w:t>and,</w:t>
      </w:r>
    </w:p>
    <w:p w14:paraId="47B0F33A" w14:textId="77777777" w:rsidR="004274AA" w:rsidRDefault="004274AA" w:rsidP="004274AA">
      <w:pPr>
        <w:spacing w:line="273" w:lineRule="auto"/>
        <w:sectPr w:rsidR="004274AA">
          <w:pgSz w:w="12240" w:h="15840"/>
          <w:pgMar w:top="1500" w:right="960" w:bottom="1000" w:left="1320" w:header="0" w:footer="814" w:gutter="0"/>
          <w:cols w:space="720"/>
        </w:sectPr>
      </w:pPr>
    </w:p>
    <w:p w14:paraId="6A6FC193" w14:textId="77777777" w:rsidR="004274AA" w:rsidRDefault="004274AA" w:rsidP="004274AA">
      <w:pPr>
        <w:pStyle w:val="BodyText"/>
        <w:spacing w:before="60" w:line="273" w:lineRule="auto"/>
        <w:ind w:right="556"/>
      </w:pPr>
      <w:r>
        <w:lastRenderedPageBreak/>
        <w:t>likely, communications across the link. Given the mobile nature of these devices, it will be nearly impossible to track down the offending device(s) resulting in unacceptable periodic drops in link availability.</w:t>
      </w:r>
    </w:p>
    <w:p w14:paraId="5C620582" w14:textId="77777777" w:rsidR="004274AA" w:rsidRDefault="004274AA" w:rsidP="004274AA">
      <w:pPr>
        <w:pStyle w:val="BodyText"/>
        <w:spacing w:before="182" w:line="273" w:lineRule="auto"/>
        <w:ind w:left="119" w:right="481"/>
      </w:pPr>
      <w:proofErr w:type="gramStart"/>
      <w:r>
        <w:t>Additionally</w:t>
      </w:r>
      <w:proofErr w:type="gramEnd"/>
      <w:r>
        <w:t xml:space="preserve"> it will be incumbent on the 6 GHz licensee to identify and report the offending device(s). To date, point-to-point microwave systems have functioned well as the spectrum has been clean with a predictable and reasonably static noise floor, unencumbered by interference and meeting expected availability requirements set forth above. If devices operate in proximity to an active path and emit energy into the primary lobe, it would increase background noise likely beyond the design base fade margin resulting in loss of signal, and the link will drop. This would require the routing electronics to </w:t>
      </w:r>
      <w:proofErr w:type="gramStart"/>
      <w:r>
        <w:t>take action</w:t>
      </w:r>
      <w:proofErr w:type="gramEnd"/>
      <w:r>
        <w:t xml:space="preserve"> to find an alternate path and will immediately degrade the overall system</w:t>
      </w:r>
      <w:r>
        <w:rPr>
          <w:spacing w:val="-4"/>
        </w:rPr>
        <w:t xml:space="preserve"> </w:t>
      </w:r>
      <w:r>
        <w:t>availability.</w:t>
      </w:r>
    </w:p>
    <w:p w14:paraId="377A35A7" w14:textId="77777777" w:rsidR="004274AA" w:rsidRDefault="004274AA" w:rsidP="004274AA">
      <w:pPr>
        <w:pStyle w:val="BodyText"/>
        <w:spacing w:before="183" w:line="273" w:lineRule="auto"/>
        <w:ind w:right="493"/>
      </w:pPr>
      <w:r>
        <w:t>Furthermore, depending on how the interference is manifested, it could result in the path going into a “flapping state” where it is transient, up and down with a rapid period, too fast for the routing electronics to stabilize and thus could place the network in an indeterministic state resulting in a complete network failure. The network is designed to react to a hard fault, enabling the system to reroute and stabilize traffic on the protected path. In the event of a network failure caused by “flapping,” all network traffic stops and control center operators will lose visibility and control of the grid as well as all other application services until communications are restored. Any teleprotection services will be compromised between the two substations where the fault occurs, leaving the utility vulnerable to a transmission system disruption and possibly requiring removing the affected transmission lines from service and dispatching operators to substations to perform local monitoring. Even if the network reroutes or wraps to the protected path, the utility is in single contingency and thus more vulnerable, which itself is compromising, warranting compensatory action be taken. A corresponding second failure in the backup link would result in the loss of visibility to the grid and compromise transmission system integrity. This would also impact the other critical DA services carried on Tier 1 as well. Single-contingency operation in the utility ecosystem should only be relied upon in extreme circumstances that are outside the control of the utility and not to address routine interruptions coming from known sources such as sporadic microwave path</w:t>
      </w:r>
      <w:r>
        <w:rPr>
          <w:spacing w:val="-1"/>
        </w:rPr>
        <w:t xml:space="preserve"> </w:t>
      </w:r>
      <w:r>
        <w:t>interference.</w:t>
      </w:r>
    </w:p>
    <w:p w14:paraId="666910F2" w14:textId="77777777" w:rsidR="004274AA" w:rsidRDefault="004274AA" w:rsidP="004274AA">
      <w:pPr>
        <w:pStyle w:val="BodyText"/>
        <w:spacing w:before="188" w:line="273" w:lineRule="auto"/>
        <w:ind w:right="596"/>
      </w:pPr>
      <w:r>
        <w:t>Simply stated, if a Tier 1 point-to-point microwave link is in any way impacted by periodic interference, it will be incapable of maintaining the Five- to Six-9’s of availability for the whole system, and it would no longer be a candidate for a Tier 1 transport service. This would likely result in remediating dozens, potentially hundreds, of point-to-point microwave links, removing them from service and replacing them with fiber or some alternative transport medium.</w:t>
      </w:r>
    </w:p>
    <w:p w14:paraId="67BC067A" w14:textId="77777777" w:rsidR="004274AA" w:rsidRDefault="004274AA" w:rsidP="004274AA">
      <w:pPr>
        <w:pStyle w:val="BodyText"/>
        <w:spacing w:before="183" w:line="273" w:lineRule="auto"/>
        <w:ind w:right="615"/>
      </w:pPr>
      <w:r>
        <w:t>In Tier 2, where the 3.5 GHz CBRS spectrum may be deployed, utilities have observed harmful interference, requiring an alternative path approach either through a second path or coping with the loss of telecom for a period of time. As noted earlier, the expected availability in Tier 2 is Three- to Four-9’s; interference is the primary driver for the reduction in availability but is</w:t>
      </w:r>
    </w:p>
    <w:p w14:paraId="33516C1C" w14:textId="77777777" w:rsidR="004274AA" w:rsidRDefault="004274AA" w:rsidP="004274AA">
      <w:pPr>
        <w:spacing w:line="273" w:lineRule="auto"/>
        <w:sectPr w:rsidR="004274AA">
          <w:pgSz w:w="12240" w:h="15840"/>
          <w:pgMar w:top="1380" w:right="960" w:bottom="1000" w:left="1320" w:header="0" w:footer="814" w:gutter="0"/>
          <w:cols w:space="720"/>
        </w:sectPr>
      </w:pPr>
    </w:p>
    <w:p w14:paraId="55AD3654" w14:textId="77777777" w:rsidR="004274AA" w:rsidRDefault="004274AA" w:rsidP="004274AA">
      <w:pPr>
        <w:pStyle w:val="BodyText"/>
        <w:spacing w:before="60" w:line="273" w:lineRule="auto"/>
        <w:ind w:right="503"/>
      </w:pPr>
      <w:r>
        <w:lastRenderedPageBreak/>
        <w:t>tolerable due to the smaller fault domain (number of devices impacted) for a given Tier 2 path. If it is calculated that interference will result in an even lower availability, it will not be considered an acceptable solution. This is the reason teleprotection and other critical applications are never used in Tier 2 CBRS technology.</w:t>
      </w:r>
    </w:p>
    <w:p w14:paraId="710A0B48" w14:textId="77777777" w:rsidR="004274AA" w:rsidRDefault="004274AA" w:rsidP="004274AA">
      <w:pPr>
        <w:pStyle w:val="BodyText"/>
        <w:spacing w:before="182" w:line="273" w:lineRule="auto"/>
        <w:ind w:left="119" w:right="496"/>
      </w:pPr>
      <w:r>
        <w:t>Tier 3 FAN is designed to exist with a certain amount of interference, considering its</w:t>
      </w:r>
      <w:r>
        <w:rPr>
          <w:spacing w:val="-25"/>
        </w:rPr>
        <w:t xml:space="preserve"> </w:t>
      </w:r>
      <w:r>
        <w:t>deployment in ISM 900 MHz spectrum. The two application groups that have been discussed in the FAN are AMI and DA. Overall availability for AMI in Tier 3 is expected to be around Three-9’s; this is regarded as acceptable due to the multiple paths within the mesh and the non-critical nature of the meter data. For DA, Three-9’s is at the low end of acceptability and interference becomes more problematic, which is why a licensed point-to-multipoint architecture, protected from interference is preferred to obtain Four-9’s or more</w:t>
      </w:r>
      <w:r>
        <w:rPr>
          <w:spacing w:val="-5"/>
        </w:rPr>
        <w:t xml:space="preserve"> </w:t>
      </w:r>
      <w:r>
        <w:t>availability.</w:t>
      </w:r>
    </w:p>
    <w:p w14:paraId="295FB009" w14:textId="77777777" w:rsidR="004274AA" w:rsidRDefault="004274AA" w:rsidP="004274AA">
      <w:pPr>
        <w:pStyle w:val="BodyText"/>
        <w:spacing w:before="6"/>
        <w:ind w:left="0"/>
        <w:rPr>
          <w:sz w:val="31"/>
        </w:rPr>
      </w:pPr>
    </w:p>
    <w:p w14:paraId="56F10BE1" w14:textId="77777777" w:rsidR="004274AA" w:rsidRPr="00293C9D" w:rsidRDefault="004274AA" w:rsidP="004274AA">
      <w:pPr>
        <w:pStyle w:val="Heading1"/>
        <w:ind w:left="119"/>
        <w:rPr>
          <w:b w:val="0"/>
          <w:sz w:val="32"/>
          <w:szCs w:val="32"/>
        </w:rPr>
      </w:pPr>
      <w:bookmarkStart w:id="56" w:name="Summary"/>
      <w:bookmarkStart w:id="57" w:name="_bookmark14"/>
      <w:bookmarkEnd w:id="56"/>
      <w:bookmarkEnd w:id="57"/>
      <w:r w:rsidRPr="00293C9D">
        <w:rPr>
          <w:b w:val="0"/>
          <w:color w:val="4471C4"/>
          <w:sz w:val="32"/>
          <w:szCs w:val="32"/>
        </w:rPr>
        <w:t>Summary</w:t>
      </w:r>
    </w:p>
    <w:p w14:paraId="7861A2EE" w14:textId="77777777" w:rsidR="004274AA" w:rsidRDefault="004274AA" w:rsidP="004274AA">
      <w:pPr>
        <w:pStyle w:val="BodyText"/>
        <w:spacing w:before="18" w:line="273" w:lineRule="auto"/>
        <w:ind w:left="119" w:right="636"/>
      </w:pPr>
      <w:r>
        <w:t>Utilities are a unique industry in their use of telecommunications infrastructure. They manage a large network transport technology portfolio and rely heavily on its use and always being available. The cliché, “A chain is only as strong as its weakest link,” is appropriate in the utility telecom ecosystem as it is clear how one vulnerability can impact a utility’s entire grid.</w:t>
      </w:r>
    </w:p>
    <w:p w14:paraId="54B48FC0" w14:textId="77777777" w:rsidR="004274AA" w:rsidRDefault="004274AA" w:rsidP="004274AA">
      <w:pPr>
        <w:pStyle w:val="BodyText"/>
        <w:spacing w:before="182" w:line="273" w:lineRule="auto"/>
        <w:ind w:right="542"/>
      </w:pPr>
      <w:r>
        <w:t>While opening access to licensed 6 GHz bands may appear an attractive approach to improving spectrum availability to unlicensed entrants, there is a considerable risk to critical infrastructure relying on the integrity of the spectrum as it exists today. Additionally, it will place management of interference remediation on the licensee, rather than the source of the interference, which will be difficult if not impossible to track down. Real-world microwave path calculations are complex and made more so when introducing the type of transient devices that could even momentarily impact signal integrity.</w:t>
      </w:r>
    </w:p>
    <w:p w14:paraId="2DFBAC5E" w14:textId="77777777" w:rsidR="004274AA" w:rsidRDefault="004274AA" w:rsidP="004274AA">
      <w:pPr>
        <w:pStyle w:val="BodyText"/>
        <w:spacing w:before="183" w:line="273" w:lineRule="auto"/>
        <w:ind w:left="119" w:right="583"/>
      </w:pPr>
      <w:r>
        <w:t>Although not specifically addressed in this paper, gas and water utilities would be highly affected by this as well. Many of them rely heavily on point-to-point microwave links located in urban centers where there would be a high presence of the unlicensed 6 GHz devices.</w:t>
      </w:r>
    </w:p>
    <w:p w14:paraId="2B10500A" w14:textId="77777777" w:rsidR="004274AA" w:rsidRDefault="004274AA" w:rsidP="004274AA">
      <w:pPr>
        <w:pStyle w:val="BodyText"/>
        <w:spacing w:before="182" w:line="273" w:lineRule="auto"/>
        <w:ind w:left="119" w:right="576"/>
      </w:pPr>
      <w:r>
        <w:t>As the industry transforms into the “Utility of the Future,” the reliance and need for reliable and available telecommunications will be ever increasing. Telecommunications is foundational in control and management of the power grid as well as other utility services and in light of its criticality to society, should have the best in class technology services available. Managing the stability of the grid is challenging enough without the added burden of telecom reliability through microwave interference. Any decisions that have the potential to challenge telecom reliability and availability should be well thought through with an understanding of the potential impact that has been outlined through this paper.</w:t>
      </w:r>
    </w:p>
    <w:p w14:paraId="2BDB6AD2" w14:textId="77777777" w:rsidR="004274AA" w:rsidRDefault="004274AA" w:rsidP="004274AA">
      <w:pPr>
        <w:spacing w:line="273" w:lineRule="auto"/>
        <w:sectPr w:rsidR="004274AA">
          <w:pgSz w:w="12240" w:h="15840"/>
          <w:pgMar w:top="1380" w:right="960" w:bottom="1000" w:left="1320" w:header="0" w:footer="814" w:gutter="0"/>
          <w:cols w:space="720"/>
        </w:sectPr>
      </w:pPr>
    </w:p>
    <w:p w14:paraId="1B9DD64E" w14:textId="77777777" w:rsidR="004274AA" w:rsidRDefault="004274AA" w:rsidP="004274AA">
      <w:pPr>
        <w:pStyle w:val="BodyText"/>
        <w:spacing w:before="6"/>
        <w:ind w:left="0"/>
        <w:rPr>
          <w:sz w:val="18"/>
        </w:rPr>
      </w:pPr>
    </w:p>
    <w:p w14:paraId="113323EA" w14:textId="77777777" w:rsidR="004274AA" w:rsidRPr="00293C9D" w:rsidRDefault="004274AA" w:rsidP="004274AA">
      <w:pPr>
        <w:pStyle w:val="Heading1"/>
        <w:spacing w:before="87"/>
        <w:rPr>
          <w:b w:val="0"/>
          <w:sz w:val="32"/>
          <w:szCs w:val="32"/>
        </w:rPr>
      </w:pPr>
      <w:bookmarkStart w:id="58" w:name="Definitions"/>
      <w:bookmarkStart w:id="59" w:name="_bookmark15"/>
      <w:bookmarkEnd w:id="58"/>
      <w:bookmarkEnd w:id="59"/>
      <w:r w:rsidRPr="00293C9D">
        <w:rPr>
          <w:b w:val="0"/>
          <w:color w:val="4471C4"/>
          <w:sz w:val="32"/>
          <w:szCs w:val="32"/>
        </w:rPr>
        <w:t>Definitions</w:t>
      </w:r>
    </w:p>
    <w:p w14:paraId="71F5769C" w14:textId="77777777" w:rsidR="004274AA" w:rsidRDefault="004274AA" w:rsidP="004274AA">
      <w:pPr>
        <w:pStyle w:val="BodyText"/>
        <w:spacing w:line="273" w:lineRule="auto"/>
        <w:ind w:right="635"/>
      </w:pPr>
      <w:r>
        <w:rPr>
          <w:color w:val="44536A"/>
        </w:rPr>
        <w:t xml:space="preserve">Availability </w:t>
      </w:r>
      <w:r>
        <w:t>– The probability that the network system will be up or operational, a measure of the amount of time the system is operational as a percentage of the amount of time a system should be operational. Assuming it should be operational 100% of the time, any time it is not available will be calculated as a fraction based on the amount of time not available.</w:t>
      </w:r>
    </w:p>
    <w:p w14:paraId="70D43E1F" w14:textId="77777777" w:rsidR="004274AA" w:rsidRDefault="004274AA" w:rsidP="004274AA">
      <w:pPr>
        <w:pStyle w:val="ListParagraph"/>
        <w:numPr>
          <w:ilvl w:val="0"/>
          <w:numId w:val="1"/>
        </w:numPr>
        <w:tabs>
          <w:tab w:val="left" w:pos="839"/>
          <w:tab w:val="left" w:pos="840"/>
        </w:tabs>
        <w:spacing w:before="182"/>
        <w:rPr>
          <w:sz w:val="24"/>
        </w:rPr>
      </w:pPr>
      <w:r>
        <w:rPr>
          <w:color w:val="44536A"/>
          <w:sz w:val="24"/>
        </w:rPr>
        <w:t>Five 9’s is 5.26 minutes of downtime a year</w:t>
      </w:r>
      <w:r>
        <w:rPr>
          <w:color w:val="44536A"/>
          <w:spacing w:val="-4"/>
          <w:sz w:val="24"/>
        </w:rPr>
        <w:t xml:space="preserve"> </w:t>
      </w:r>
      <w:r>
        <w:rPr>
          <w:color w:val="44536A"/>
          <w:sz w:val="24"/>
        </w:rPr>
        <w:t>(99.999)</w:t>
      </w:r>
    </w:p>
    <w:p w14:paraId="19602A6B" w14:textId="77777777" w:rsidR="004274AA" w:rsidRDefault="004274AA" w:rsidP="004274AA">
      <w:pPr>
        <w:pStyle w:val="ListParagraph"/>
        <w:numPr>
          <w:ilvl w:val="0"/>
          <w:numId w:val="1"/>
        </w:numPr>
        <w:tabs>
          <w:tab w:val="left" w:pos="839"/>
          <w:tab w:val="left" w:pos="840"/>
        </w:tabs>
        <w:rPr>
          <w:sz w:val="24"/>
        </w:rPr>
      </w:pPr>
      <w:r>
        <w:rPr>
          <w:color w:val="44536A"/>
          <w:sz w:val="24"/>
        </w:rPr>
        <w:t>Four 9’s is 52 minutes a year</w:t>
      </w:r>
      <w:r>
        <w:rPr>
          <w:color w:val="44536A"/>
          <w:spacing w:val="-1"/>
          <w:sz w:val="24"/>
        </w:rPr>
        <w:t xml:space="preserve"> </w:t>
      </w:r>
      <w:r>
        <w:rPr>
          <w:color w:val="44536A"/>
          <w:sz w:val="24"/>
        </w:rPr>
        <w:t>(99.99)</w:t>
      </w:r>
    </w:p>
    <w:p w14:paraId="194807CA" w14:textId="77777777" w:rsidR="004274AA" w:rsidRDefault="004274AA" w:rsidP="004274AA">
      <w:pPr>
        <w:pStyle w:val="ListParagraph"/>
        <w:numPr>
          <w:ilvl w:val="0"/>
          <w:numId w:val="1"/>
        </w:numPr>
        <w:tabs>
          <w:tab w:val="left" w:pos="839"/>
          <w:tab w:val="left" w:pos="840"/>
        </w:tabs>
        <w:rPr>
          <w:sz w:val="24"/>
        </w:rPr>
      </w:pPr>
      <w:r>
        <w:rPr>
          <w:color w:val="44536A"/>
          <w:sz w:val="24"/>
        </w:rPr>
        <w:t>Three 9’s is 8.75 hours a year</w:t>
      </w:r>
      <w:r>
        <w:rPr>
          <w:color w:val="44536A"/>
          <w:spacing w:val="-4"/>
          <w:sz w:val="24"/>
        </w:rPr>
        <w:t xml:space="preserve"> </w:t>
      </w:r>
      <w:r>
        <w:rPr>
          <w:color w:val="44536A"/>
          <w:sz w:val="24"/>
        </w:rPr>
        <w:t>(99.9)</w:t>
      </w:r>
    </w:p>
    <w:p w14:paraId="7B5F9DB5" w14:textId="77777777" w:rsidR="004274AA" w:rsidRDefault="004274AA" w:rsidP="004274AA">
      <w:pPr>
        <w:pStyle w:val="ListParagraph"/>
        <w:numPr>
          <w:ilvl w:val="0"/>
          <w:numId w:val="1"/>
        </w:numPr>
        <w:tabs>
          <w:tab w:val="left" w:pos="839"/>
          <w:tab w:val="left" w:pos="840"/>
        </w:tabs>
        <w:rPr>
          <w:sz w:val="24"/>
        </w:rPr>
      </w:pPr>
      <w:r>
        <w:rPr>
          <w:color w:val="44536A"/>
          <w:sz w:val="24"/>
        </w:rPr>
        <w:t>Parallel Systems Availability</w:t>
      </w:r>
    </w:p>
    <w:p w14:paraId="1E3213FB" w14:textId="2B82349D" w:rsidR="004274AA" w:rsidRDefault="004274AA" w:rsidP="004274AA">
      <w:pPr>
        <w:spacing w:before="180"/>
        <w:ind w:left="540"/>
        <w:rPr>
          <w:rFonts w:ascii="Cambria Math" w:eastAsia="Cambria Math" w:hAnsi="Cambria Math"/>
        </w:rPr>
      </w:pPr>
      <w:r>
        <w:rPr>
          <w:rFonts w:ascii="Cambria Math" w:eastAsia="Cambria Math" w:hAnsi="Cambria Math"/>
          <w:w w:val="85"/>
        </w:rPr>
        <w:t>𝐴</w:t>
      </w:r>
      <w:r>
        <w:rPr>
          <w:rFonts w:ascii="Cambria Math" w:eastAsia="Cambria Math" w:hAnsi="Cambria Math"/>
          <w:w w:val="95"/>
        </w:rPr>
        <w:t xml:space="preserve">= 1 − (1 − </w:t>
      </w:r>
      <w:r>
        <w:rPr>
          <w:rFonts w:ascii="Cambria Math" w:eastAsia="Cambria Math" w:hAnsi="Cambria Math"/>
          <w:w w:val="85"/>
        </w:rPr>
        <w:t>𝐴</w:t>
      </w:r>
      <w:r>
        <w:rPr>
          <w:rFonts w:ascii="Cambria Math" w:eastAsia="Cambria Math" w:hAnsi="Cambria Math"/>
          <w:w w:val="85"/>
          <w:position w:val="-4"/>
          <w:sz w:val="17"/>
        </w:rPr>
        <w:t>𝑥</w:t>
      </w:r>
      <w:r>
        <w:rPr>
          <w:rFonts w:ascii="Cambria Math" w:eastAsia="Cambria Math" w:hAnsi="Cambria Math"/>
          <w:w w:val="85"/>
        </w:rPr>
        <w:t xml:space="preserve">)(1 </w:t>
      </w:r>
      <w:r>
        <w:rPr>
          <w:rFonts w:ascii="Cambria Math" w:eastAsia="Cambria Math" w:hAnsi="Cambria Math"/>
          <w:w w:val="95"/>
        </w:rPr>
        <w:t xml:space="preserve">− </w:t>
      </w:r>
      <w:r>
        <w:rPr>
          <w:rFonts w:ascii="Cambria Math" w:eastAsia="Cambria Math" w:hAnsi="Cambria Math"/>
          <w:w w:val="85"/>
        </w:rPr>
        <w:t>𝐴</w:t>
      </w:r>
      <w:r>
        <w:rPr>
          <w:rFonts w:ascii="Cambria Math" w:eastAsia="Cambria Math" w:hAnsi="Cambria Math"/>
          <w:w w:val="85"/>
          <w:position w:val="-4"/>
          <w:sz w:val="17"/>
        </w:rPr>
        <w:t>𝑌</w:t>
      </w:r>
      <w:r>
        <w:rPr>
          <w:rFonts w:ascii="Cambria Math" w:eastAsia="Cambria Math" w:hAnsi="Cambria Math"/>
          <w:w w:val="85"/>
        </w:rPr>
        <w:t>)</w:t>
      </w:r>
    </w:p>
    <w:p w14:paraId="0914C9FD" w14:textId="7892FCFC" w:rsidR="004274AA" w:rsidRPr="00293C9D" w:rsidRDefault="004274AA" w:rsidP="004274AA">
      <w:pPr>
        <w:spacing w:before="185"/>
        <w:ind w:left="475"/>
        <w:rPr>
          <w:rFonts w:eastAsia="Cambria Math"/>
          <w:w w:val="50"/>
          <w:sz w:val="30"/>
          <w:szCs w:val="30"/>
        </w:rPr>
      </w:pPr>
      <w:r w:rsidRPr="00293C9D">
        <w:rPr>
          <w:rFonts w:eastAsia="Cambria Math"/>
          <w:w w:val="50"/>
          <w:sz w:val="30"/>
          <w:szCs w:val="30"/>
        </w:rPr>
        <w:t xml:space="preserve">Where A is system availability, </w:t>
      </w:r>
      <w:r w:rsidRPr="00293C9D">
        <w:rPr>
          <w:rFonts w:ascii="Cambria Math" w:eastAsia="Cambria Math" w:hAnsi="Cambria Math" w:cs="Cambria Math"/>
          <w:w w:val="85"/>
          <w:sz w:val="30"/>
          <w:szCs w:val="30"/>
        </w:rPr>
        <w:t>𝐴</w:t>
      </w:r>
      <w:r w:rsidRPr="00293C9D">
        <w:rPr>
          <w:rFonts w:ascii="Cambria Math" w:eastAsia="Cambria Math" w:hAnsi="Cambria Math" w:cs="Cambria Math"/>
          <w:w w:val="85"/>
          <w:position w:val="-4"/>
          <w:sz w:val="30"/>
          <w:szCs w:val="30"/>
        </w:rPr>
        <w:t>𝑥</w:t>
      </w:r>
      <w:r w:rsidRPr="00293C9D">
        <w:rPr>
          <w:rFonts w:eastAsia="Cambria Math"/>
          <w:w w:val="85"/>
          <w:position w:val="-4"/>
          <w:sz w:val="30"/>
          <w:szCs w:val="30"/>
        </w:rPr>
        <w:t xml:space="preserve"> </w:t>
      </w:r>
      <w:r w:rsidRPr="00293C9D">
        <w:rPr>
          <w:rFonts w:eastAsia="Cambria Math"/>
          <w:w w:val="50"/>
          <w:sz w:val="30"/>
          <w:szCs w:val="30"/>
        </w:rPr>
        <w:t xml:space="preserve">is availability of primary path and </w:t>
      </w:r>
      <w:r w:rsidRPr="00293C9D">
        <w:rPr>
          <w:rFonts w:ascii="Cambria Math" w:eastAsia="Cambria Math" w:hAnsi="Cambria Math" w:cs="Cambria Math"/>
          <w:w w:val="85"/>
          <w:sz w:val="30"/>
          <w:szCs w:val="30"/>
        </w:rPr>
        <w:t>𝐴</w:t>
      </w:r>
      <w:r w:rsidRPr="00293C9D">
        <w:rPr>
          <w:rFonts w:ascii="Cambria Math" w:eastAsia="Cambria Math" w:hAnsi="Cambria Math" w:cs="Cambria Math"/>
          <w:w w:val="85"/>
          <w:position w:val="-4"/>
          <w:sz w:val="30"/>
          <w:szCs w:val="30"/>
        </w:rPr>
        <w:t>𝑌</w:t>
      </w:r>
      <w:r w:rsidRPr="00293C9D">
        <w:rPr>
          <w:rFonts w:eastAsia="Cambria Math"/>
          <w:w w:val="50"/>
          <w:sz w:val="30"/>
          <w:szCs w:val="30"/>
        </w:rPr>
        <w:t xml:space="preserve"> is the availability of redundant parallel path</w:t>
      </w:r>
    </w:p>
    <w:p w14:paraId="2DE52181" w14:textId="77777777" w:rsidR="004274AA" w:rsidRDefault="004274AA" w:rsidP="004274AA">
      <w:pPr>
        <w:pStyle w:val="BodyText"/>
        <w:spacing w:before="184" w:line="273" w:lineRule="auto"/>
        <w:ind w:right="510"/>
      </w:pPr>
      <w:r>
        <w:rPr>
          <w:color w:val="44536A"/>
        </w:rPr>
        <w:t xml:space="preserve">Reliability </w:t>
      </w:r>
      <w:r>
        <w:t>– The probability the network will function for a given period of time, often referred to as the “Mean Time Between Failures.”</w:t>
      </w:r>
    </w:p>
    <w:p w14:paraId="4A43299B" w14:textId="77777777" w:rsidR="004274AA" w:rsidRDefault="004274AA" w:rsidP="004274AA">
      <w:pPr>
        <w:pStyle w:val="BodyText"/>
        <w:spacing w:before="181" w:line="273" w:lineRule="auto"/>
        <w:ind w:right="635"/>
      </w:pPr>
      <w:r>
        <w:rPr>
          <w:color w:val="44536A"/>
        </w:rPr>
        <w:t xml:space="preserve">Telemetry </w:t>
      </w:r>
      <w:r>
        <w:t>– Transmitting parameter data or information from a field device to a control center or data center for processing, i.e., voltage, current, power, etc.</w:t>
      </w:r>
    </w:p>
    <w:p w14:paraId="10DC9ED4" w14:textId="77777777" w:rsidR="00EE700C" w:rsidRPr="002753FF" w:rsidRDefault="00EE700C">
      <w:pPr>
        <w:widowControl w:val="0"/>
        <w:spacing w:line="480" w:lineRule="auto"/>
        <w:rPr>
          <w:sz w:val="22"/>
          <w:szCs w:val="22"/>
        </w:rPr>
      </w:pPr>
    </w:p>
    <w:sectPr w:rsidR="00EE700C" w:rsidRPr="002753FF">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550D6" w14:textId="77777777" w:rsidR="00B5736D" w:rsidRDefault="00B5736D">
      <w:r>
        <w:separator/>
      </w:r>
    </w:p>
  </w:endnote>
  <w:endnote w:type="continuationSeparator" w:id="0">
    <w:p w14:paraId="03B591D9" w14:textId="77777777" w:rsidR="00B5736D" w:rsidRDefault="00B57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imes New Roman Bold">
    <w:panose1 w:val="02020803070505020304"/>
    <w:charset w:val="00"/>
    <w:family w:val="roman"/>
    <w:notTrueType/>
    <w:pitch w:val="default"/>
  </w:font>
  <w:font w:name="Lucida Console">
    <w:panose1 w:val="020B0609040504020204"/>
    <w:charset w:val="00"/>
    <w:family w:val="modern"/>
    <w:pitch w:val="fixed"/>
    <w:sig w:usb0="8000028F" w:usb1="00001800" w:usb2="00000000" w:usb3="00000000" w:csb0="0000001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F156E" w14:textId="77777777" w:rsidR="00EE700C" w:rsidRDefault="00EE700C">
    <w:pPr>
      <w:jc w:val="center"/>
    </w:pPr>
  </w:p>
  <w:p w14:paraId="1725DB27" w14:textId="77777777" w:rsidR="00EE700C" w:rsidRDefault="00EE700C">
    <w:pPr>
      <w:widowControl w:val="0"/>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3811665"/>
      <w:docPartObj>
        <w:docPartGallery w:val="Page Numbers (Bottom of Page)"/>
        <w:docPartUnique/>
      </w:docPartObj>
    </w:sdtPr>
    <w:sdtEndPr>
      <w:rPr>
        <w:noProof/>
      </w:rPr>
    </w:sdtEndPr>
    <w:sdtContent>
      <w:p w14:paraId="7E46AD7D" w14:textId="0538D4AA" w:rsidR="002753FF" w:rsidRDefault="00B5736D">
        <w:pPr>
          <w:pStyle w:val="Footer"/>
          <w:jc w:val="center"/>
        </w:pPr>
      </w:p>
    </w:sdtContent>
  </w:sdt>
  <w:p w14:paraId="0576D8B0" w14:textId="77777777" w:rsidR="00EE700C" w:rsidRDefault="00EE700C">
    <w:pPr>
      <w:widowControl w:val="0"/>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8900960"/>
      <w:docPartObj>
        <w:docPartGallery w:val="Page Numbers (Bottom of Page)"/>
        <w:docPartUnique/>
      </w:docPartObj>
    </w:sdtPr>
    <w:sdtEndPr>
      <w:rPr>
        <w:noProof/>
      </w:rPr>
    </w:sdtEndPr>
    <w:sdtContent>
      <w:p w14:paraId="570AFB84" w14:textId="77777777" w:rsidR="002753FF" w:rsidRDefault="002753F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5FCC98" w14:textId="77777777" w:rsidR="002753FF" w:rsidRDefault="002753FF">
    <w:pPr>
      <w:widowControl w:val="0"/>
      <w:rPr>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669780"/>
      <w:docPartObj>
        <w:docPartGallery w:val="Page Numbers (Bottom of Page)"/>
        <w:docPartUnique/>
      </w:docPartObj>
    </w:sdtPr>
    <w:sdtEndPr>
      <w:rPr>
        <w:noProof/>
      </w:rPr>
    </w:sdtEndPr>
    <w:sdtContent>
      <w:p w14:paraId="4FB976F5" w14:textId="77777777" w:rsidR="002753FF" w:rsidRDefault="002753F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156F4C" w14:textId="77777777" w:rsidR="002753FF" w:rsidRDefault="002753FF">
    <w:pPr>
      <w:widowControl w:val="0"/>
      <w:rPr>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5644A" w14:textId="53B4E24C" w:rsidR="004274AA" w:rsidRDefault="004274AA">
    <w:pPr>
      <w:pStyle w:val="BodyText"/>
      <w:spacing w:line="14" w:lineRule="auto"/>
      <w:ind w:left="0"/>
      <w:rPr>
        <w:sz w:val="20"/>
      </w:rPr>
    </w:pPr>
    <w:r>
      <w:rPr>
        <w:noProof/>
      </w:rPr>
      <mc:AlternateContent>
        <mc:Choice Requires="wps">
          <w:drawing>
            <wp:anchor distT="0" distB="0" distL="114300" distR="114300" simplePos="0" relativeHeight="251659264" behindDoc="1" locked="0" layoutInCell="1" allowOverlap="1" wp14:anchorId="261E9B2E" wp14:editId="7B8C62BD">
              <wp:simplePos x="0" y="0"/>
              <wp:positionH relativeFrom="page">
                <wp:posOffset>901700</wp:posOffset>
              </wp:positionH>
              <wp:positionV relativeFrom="page">
                <wp:posOffset>9401810</wp:posOffset>
              </wp:positionV>
              <wp:extent cx="2955290" cy="212725"/>
              <wp:effectExtent l="0" t="635" r="63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5290" cy="212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6100CB" w14:textId="77777777" w:rsidR="004274AA" w:rsidRDefault="004274AA">
                          <w:pPr>
                            <w:pStyle w:val="BodyText"/>
                            <w:spacing w:before="20"/>
                            <w:ind w:left="20"/>
                          </w:pPr>
                          <w:r>
                            <w:t xml:space="preserve">Douglas McGinnis – Red Rose Telecom </w:t>
                          </w:r>
                          <w:r>
                            <w:rPr>
                              <w:rFonts w:ascii="Symbol" w:hAnsi="Symbol"/>
                            </w:rPr>
                            <w:t></w:t>
                          </w:r>
                          <w:r>
                            <w:t>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1E9B2E" id="_x0000_t202" coordsize="21600,21600" o:spt="202" path="m,l,21600r21600,l21600,xe">
              <v:stroke joinstyle="miter"/>
              <v:path gradientshapeok="t" o:connecttype="rect"/>
            </v:shapetype>
            <v:shape id="Text Box 16" o:spid="_x0000_s1026" type="#_x0000_t202" style="position:absolute;margin-left:71pt;margin-top:740.3pt;width:232.7pt;height:16.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" filled="f" stroked="f">
              <v:textbox inset="0,0,0,0">
                <w:txbxContent>
                  <w:p w14:paraId="066100CB" w14:textId="77777777" w:rsidR="004274AA" w:rsidRDefault="004274AA">
                    <w:pPr>
                      <w:pStyle w:val="BodyText"/>
                      <w:spacing w:before="20"/>
                      <w:ind w:left="20"/>
                    </w:pPr>
                    <w:r>
                      <w:t xml:space="preserve">Douglas McGinnis – Red Rose Telecom </w:t>
                    </w:r>
                    <w:r>
                      <w:rPr>
                        <w:rFonts w:ascii="Symbol" w:hAnsi="Symbol"/>
                      </w:rPr>
                      <w:t></w:t>
                    </w:r>
                    <w:r>
                      <w:t>2019</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7F33EEE7" wp14:editId="2E3E2628">
              <wp:simplePos x="0" y="0"/>
              <wp:positionH relativeFrom="page">
                <wp:posOffset>6680200</wp:posOffset>
              </wp:positionH>
              <wp:positionV relativeFrom="page">
                <wp:posOffset>9409430</wp:posOffset>
              </wp:positionV>
              <wp:extent cx="203200" cy="194310"/>
              <wp:effectExtent l="3175" t="0" r="317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81C60" w14:textId="77777777" w:rsidR="004274AA" w:rsidRDefault="004274AA">
                          <w:pPr>
                            <w:pStyle w:val="BodyText"/>
                            <w:spacing w:before="10"/>
                            <w:ind w:left="4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33EEE7" id="Text Box 14" o:spid="_x0000_s1027" type="#_x0000_t202" style="position:absolute;margin-left:526pt;margin-top:740.9pt;width:16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SoSrgIAAKo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" filled="f" stroked="f">
              <v:textbox inset="0,0,0,0">
                <w:txbxContent>
                  <w:p w14:paraId="52681C60" w14:textId="77777777" w:rsidR="004274AA" w:rsidRDefault="004274AA">
                    <w:pPr>
                      <w:pStyle w:val="BodyText"/>
                      <w:spacing w:before="10"/>
                      <w:ind w:left="4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61FAF" w14:textId="77777777" w:rsidR="00B5736D" w:rsidRDefault="00B5736D">
      <w:r>
        <w:separator/>
      </w:r>
    </w:p>
  </w:footnote>
  <w:footnote w:type="continuationSeparator" w:id="0">
    <w:p w14:paraId="2BD93BDD" w14:textId="77777777" w:rsidR="00B5736D" w:rsidRDefault="00B5736D">
      <w:r>
        <w:continuationSeparator/>
      </w:r>
    </w:p>
  </w:footnote>
  <w:footnote w:id="1">
    <w:p w14:paraId="67665B19" w14:textId="77777777" w:rsidR="00EE700C" w:rsidRPr="002753FF" w:rsidRDefault="00C90D1C">
      <w:pPr>
        <w:widowControl w:val="0"/>
        <w:rPr>
          <w:sz w:val="20"/>
          <w:szCs w:val="20"/>
          <w:vertAlign w:val="superscript"/>
        </w:rPr>
      </w:pPr>
      <w:r w:rsidRPr="002753FF">
        <w:rPr>
          <w:rStyle w:val="FootnoteReference"/>
          <w:sz w:val="20"/>
          <w:szCs w:val="20"/>
        </w:rPr>
        <w:footnoteRef/>
      </w:r>
      <w:r w:rsidRPr="002753FF">
        <w:rPr>
          <w:sz w:val="20"/>
          <w:szCs w:val="20"/>
        </w:rPr>
        <w:t xml:space="preserve"> </w:t>
      </w:r>
      <w:bookmarkStart w:id="4" w:name="_Hlk535464610"/>
      <w:r w:rsidRPr="002753FF">
        <w:rPr>
          <w:i/>
          <w:iCs/>
          <w:sz w:val="20"/>
          <w:szCs w:val="20"/>
        </w:rPr>
        <w:t>Unlicensed Use of the 6 GHz Band</w:t>
      </w:r>
      <w:r w:rsidRPr="002753FF">
        <w:rPr>
          <w:sz w:val="20"/>
          <w:szCs w:val="20"/>
        </w:rPr>
        <w:t>, Notice of Proposed Rulemaking, ET Docket No. 18-295 (rel. Oct. 24, 2018).</w:t>
      </w:r>
      <w:bookmarkEnd w:id="4"/>
    </w:p>
    <w:p w14:paraId="5CC1B15C" w14:textId="77777777" w:rsidR="00EE700C" w:rsidRPr="002753FF" w:rsidRDefault="00EE700C">
      <w:pPr>
        <w:widowControl w:val="0"/>
        <w:rPr>
          <w:sz w:val="20"/>
          <w:szCs w:val="20"/>
        </w:rPr>
      </w:pPr>
    </w:p>
  </w:footnote>
  <w:footnote w:id="2">
    <w:p w14:paraId="0DBE0A1D" w14:textId="77777777" w:rsidR="00EE700C" w:rsidRPr="002753FF" w:rsidRDefault="00C90D1C">
      <w:pPr>
        <w:rPr>
          <w:sz w:val="22"/>
          <w:szCs w:val="22"/>
          <w:vertAlign w:val="superscript"/>
        </w:rPr>
      </w:pPr>
      <w:r w:rsidRPr="002753FF">
        <w:rPr>
          <w:rStyle w:val="FootnoteReference"/>
          <w:sz w:val="22"/>
          <w:szCs w:val="22"/>
        </w:rPr>
        <w:footnoteRef/>
      </w:r>
      <w:r w:rsidRPr="002753FF">
        <w:rPr>
          <w:sz w:val="22"/>
          <w:szCs w:val="22"/>
        </w:rPr>
        <w:t xml:space="preserve"> </w:t>
      </w:r>
      <w:r w:rsidRPr="002753FF">
        <w:rPr>
          <w:sz w:val="20"/>
          <w:szCs w:val="20"/>
        </w:rPr>
        <w:t xml:space="preserve">Many incumbent licensees relocated to the 6 GHz band when the 2 GHz band was reallocated. </w:t>
      </w:r>
      <w:r w:rsidRPr="002753FF">
        <w:rPr>
          <w:i/>
          <w:iCs/>
          <w:sz w:val="20"/>
          <w:szCs w:val="20"/>
        </w:rPr>
        <w:t xml:space="preserve">See </w:t>
      </w:r>
      <w:r w:rsidRPr="002753FF">
        <w:rPr>
          <w:sz w:val="20"/>
          <w:szCs w:val="20"/>
        </w:rPr>
        <w:t xml:space="preserve">Redevelopment of Spectrum to Encourage Innovation in the Use of New Telecommunications Technologies, </w:t>
      </w:r>
      <w:r w:rsidRPr="002753FF">
        <w:rPr>
          <w:i/>
          <w:iCs/>
          <w:sz w:val="20"/>
          <w:szCs w:val="20"/>
        </w:rPr>
        <w:t>First Report and Order and Third Notice of Proposed Rule Making</w:t>
      </w:r>
      <w:r w:rsidRPr="002753FF">
        <w:rPr>
          <w:sz w:val="20"/>
          <w:szCs w:val="20"/>
        </w:rPr>
        <w:t xml:space="preserve">, ET Docket No. 92-9, 7 FCC Rcd 6886 (1992) (reallocating portions of the 2 GHz band from fixed microwave services to emerging technology systems, including personal communications services); </w:t>
      </w:r>
      <w:r w:rsidRPr="002753FF">
        <w:rPr>
          <w:i/>
          <w:iCs/>
          <w:sz w:val="20"/>
          <w:szCs w:val="20"/>
        </w:rPr>
        <w:t>and see</w:t>
      </w:r>
      <w:r w:rsidRPr="002753FF">
        <w:rPr>
          <w:sz w:val="20"/>
          <w:szCs w:val="20"/>
        </w:rPr>
        <w:t xml:space="preserve"> Amendment of Section 2.106 of the Commission’s Rules to Allocate Spectrum at 2 GHz for Use by the Mobile Satellite Service, ET Docket No. 95-18, </w:t>
      </w:r>
      <w:r w:rsidRPr="002753FF">
        <w:rPr>
          <w:i/>
          <w:iCs/>
          <w:sz w:val="20"/>
          <w:szCs w:val="20"/>
        </w:rPr>
        <w:t>First Report and Order and Further Notice of Proposed Rule Making</w:t>
      </w:r>
      <w:r w:rsidRPr="002753FF">
        <w:rPr>
          <w:sz w:val="20"/>
          <w:szCs w:val="20"/>
        </w:rPr>
        <w:t>, 12 FCC Rcd 7388 (1997) (reallocating portions of the 2 GHz band from fixed microwave services to emerging technology systems, including mobile satellite services).</w:t>
      </w:r>
    </w:p>
    <w:p w14:paraId="4E96BF65" w14:textId="77777777" w:rsidR="00EE700C" w:rsidRPr="002753FF" w:rsidRDefault="00EE700C">
      <w:pPr>
        <w:rPr>
          <w:sz w:val="20"/>
          <w:szCs w:val="20"/>
        </w:rPr>
      </w:pPr>
    </w:p>
  </w:footnote>
  <w:footnote w:id="3">
    <w:p w14:paraId="08395CC3" w14:textId="77777777" w:rsidR="00EE700C" w:rsidRPr="002753FF" w:rsidRDefault="00C90D1C">
      <w:pPr>
        <w:widowControl w:val="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 xml:space="preserve">See </w:t>
      </w:r>
      <w:r w:rsidRPr="002753FF">
        <w:rPr>
          <w:sz w:val="20"/>
          <w:szCs w:val="20"/>
        </w:rPr>
        <w:t xml:space="preserve">Comments of the Utilities Technology Council and the Edison Electric Institute in GN Docket No. 17-183 filed Oct. 2, 2017.  </w:t>
      </w:r>
      <w:r w:rsidRPr="002753FF">
        <w:rPr>
          <w:i/>
          <w:iCs/>
          <w:sz w:val="20"/>
          <w:szCs w:val="20"/>
        </w:rPr>
        <w:t>See also</w:t>
      </w:r>
      <w:r w:rsidRPr="002753FF">
        <w:rPr>
          <w:sz w:val="20"/>
          <w:szCs w:val="20"/>
        </w:rPr>
        <w:t xml:space="preserve"> Reply Comments of the Utilities Technology Council and the Edison Electric Institute in GN Docket No. 17-183 filed Nov. 15, 2017.  </w:t>
      </w:r>
    </w:p>
    <w:p w14:paraId="1BA85ADE" w14:textId="77777777" w:rsidR="00EE700C" w:rsidRPr="002753FF" w:rsidRDefault="00EE700C">
      <w:pPr>
        <w:widowControl w:val="0"/>
        <w:rPr>
          <w:sz w:val="20"/>
          <w:szCs w:val="20"/>
        </w:rPr>
      </w:pPr>
    </w:p>
  </w:footnote>
  <w:footnote w:id="4">
    <w:p w14:paraId="24B2A8B4"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Comments of Duke Energy in GN Docket No. 17-183 at 3 (stating that “Duke Energy is concerned that the noise floor in these bands will rise as a result of the aggregated operation of many unlicensed devices.”)  </w:t>
      </w:r>
      <w:r w:rsidRPr="002753FF">
        <w:rPr>
          <w:i/>
          <w:iCs/>
          <w:sz w:val="20"/>
          <w:szCs w:val="20"/>
        </w:rPr>
        <w:t>See also</w:t>
      </w:r>
      <w:r w:rsidRPr="002753FF">
        <w:rPr>
          <w:sz w:val="20"/>
          <w:szCs w:val="20"/>
        </w:rPr>
        <w:t xml:space="preserve"> Comments of Tucson Electric Power Company in GN Docket No. 17-183 at 7-8 (explaining that “[c]omplex modulation used in modern digital microwave systems requires the radio receivers to receive a signal that is free from harmful interference and noise above a minimum threshold,” and that unlicensed operations would potentially interfere with microwave systems that would be rendered more susceptible to inter-symbol interference from noise and co-channel operations growing geometrically with every increase in modulation complexity.). </w:t>
      </w:r>
    </w:p>
  </w:footnote>
  <w:footnote w:id="5">
    <w:p w14:paraId="74FEC1C0" w14:textId="7CF1FFEC" w:rsidR="00EE700C" w:rsidRPr="002753FF" w:rsidRDefault="00C90D1C">
      <w:pPr>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 xml:space="preserve">See </w:t>
      </w:r>
      <w:r w:rsidRPr="002753FF">
        <w:rPr>
          <w:sz w:val="20"/>
          <w:szCs w:val="20"/>
        </w:rPr>
        <w:t xml:space="preserve">Appendix, “Douglas McGinnis, “Spectrum and Utility Communications Networks: How Interference Threatens </w:t>
      </w:r>
      <w:r w:rsidR="00242546" w:rsidRPr="002753FF">
        <w:rPr>
          <w:sz w:val="20"/>
          <w:szCs w:val="20"/>
        </w:rPr>
        <w:t>Reliability” (</w:t>
      </w:r>
      <w:r w:rsidRPr="002753FF">
        <w:rPr>
          <w:sz w:val="20"/>
          <w:szCs w:val="20"/>
        </w:rPr>
        <w:t>2019).</w:t>
      </w:r>
    </w:p>
  </w:footnote>
  <w:footnote w:id="6">
    <w:p w14:paraId="6C5BE413" w14:textId="77777777" w:rsidR="00EE700C" w:rsidRPr="002753FF" w:rsidRDefault="00C90D1C">
      <w:pPr>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Id</w:t>
      </w:r>
      <w:r w:rsidRPr="002753FF">
        <w:rPr>
          <w:sz w:val="20"/>
          <w:szCs w:val="20"/>
        </w:rPr>
        <w:t>. at 6-7.</w:t>
      </w:r>
    </w:p>
  </w:footnote>
  <w:footnote w:id="7">
    <w:p w14:paraId="1C499A86" w14:textId="77777777" w:rsidR="00EE700C" w:rsidRPr="002753FF" w:rsidRDefault="00C90D1C">
      <w:pPr>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Id.</w:t>
      </w:r>
      <w:r w:rsidRPr="002753FF">
        <w:rPr>
          <w:sz w:val="20"/>
          <w:szCs w:val="20"/>
        </w:rPr>
        <w:t xml:space="preserve"> at 17 (“As the industry transforms into the “Utility of the Future,” the reliance and need for reliable and available telecommunications will be ever increasing.”)</w:t>
      </w:r>
    </w:p>
  </w:footnote>
  <w:footnote w:id="8">
    <w:p w14:paraId="4EB9D6A1" w14:textId="77777777" w:rsidR="00EE700C" w:rsidRPr="002753FF" w:rsidRDefault="00C90D1C">
      <w:pPr>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Id</w:t>
      </w:r>
      <w:r w:rsidRPr="002753FF">
        <w:rPr>
          <w:sz w:val="20"/>
          <w:szCs w:val="20"/>
        </w:rPr>
        <w:t>. at 6 (“Overall, while the teleprotection system is fairly simple and requires low bandwidth telecommunications to function, it needs the highest level of reliability and lowest level of latency of any other system within the grid.”)</w:t>
      </w:r>
    </w:p>
  </w:footnote>
  <w:footnote w:id="9">
    <w:p w14:paraId="4A6BB10F" w14:textId="77777777" w:rsidR="00EE700C" w:rsidRPr="002753FF" w:rsidRDefault="00C90D1C">
      <w:pPr>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Id</w:t>
      </w:r>
      <w:r w:rsidRPr="002753FF">
        <w:rPr>
          <w:sz w:val="20"/>
          <w:szCs w:val="20"/>
        </w:rPr>
        <w:t>. at 16.</w:t>
      </w:r>
    </w:p>
  </w:footnote>
  <w:footnote w:id="10">
    <w:p w14:paraId="20746CBC" w14:textId="77777777" w:rsidR="00EE700C" w:rsidRPr="002753FF" w:rsidRDefault="00C90D1C">
      <w:pPr>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Id.</w:t>
      </w:r>
      <w:r w:rsidRPr="002753FF">
        <w:rPr>
          <w:sz w:val="20"/>
          <w:szCs w:val="20"/>
        </w:rPr>
        <w:t xml:space="preserve"> at 2.</w:t>
      </w:r>
    </w:p>
  </w:footnote>
  <w:footnote w:id="11">
    <w:p w14:paraId="2D7C2B6F"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i/>
          <w:iCs/>
          <w:sz w:val="20"/>
          <w:szCs w:val="20"/>
        </w:rPr>
        <w:t>See</w:t>
      </w:r>
      <w:r w:rsidRPr="002753FF">
        <w:rPr>
          <w:sz w:val="20"/>
          <w:szCs w:val="20"/>
        </w:rPr>
        <w:t xml:space="preserve"> Revision of Part 15 of the Commission’s Rules to Permit Unlicensed National Information Infrastructure (U-NII) Devices in the 5 GHz Band, Notice of Proposed Rulemaking, 28 FCC Rcd. 1769, 1775, para. 17 (2013) (stating that “we have seen an increase in interference incidences in U-NII bands that are caused by users unlawfully modifying and operating unlicensed devices that have not been certified to meet the required technical rules for these bands”).  </w:t>
      </w:r>
      <w:r w:rsidRPr="002753FF">
        <w:rPr>
          <w:i/>
          <w:iCs/>
          <w:sz w:val="20"/>
          <w:szCs w:val="20"/>
        </w:rPr>
        <w:t xml:space="preserve">See also </w:t>
      </w:r>
      <w:r w:rsidRPr="002753FF">
        <w:rPr>
          <w:sz w:val="20"/>
          <w:szCs w:val="20"/>
        </w:rPr>
        <w:t xml:space="preserve">NTIA Technical Report TR-11-473, Case Study: Investigation of Interference into 5 GHz Weather Radars from Unlicensed Information Infrastructure Devices, Part 1 (Nov. 2010), available at </w:t>
      </w:r>
      <w:hyperlink r:id="rId1" w:history="1">
        <w:r w:rsidRPr="002753FF">
          <w:rPr>
            <w:sz w:val="20"/>
            <w:szCs w:val="20"/>
            <w:u w:val="single" w:color="0000FF"/>
          </w:rPr>
          <w:t>http://www.its.bldrdoc.gov/publications/2548.aspx</w:t>
        </w:r>
      </w:hyperlink>
      <w:r w:rsidRPr="002753FF">
        <w:rPr>
          <w:sz w:val="20"/>
          <w:szCs w:val="20"/>
        </w:rPr>
        <w:t xml:space="preserve">; NTIA Technical Report TR-11-479, Case Study: Investigation of Interference into 5 GHz Weather Radars from Unlicensed National Information Infrastructure Devices, Part II (July 2011), available at </w:t>
      </w:r>
      <w:hyperlink r:id="rId2" w:history="1">
        <w:r w:rsidRPr="002753FF">
          <w:rPr>
            <w:sz w:val="20"/>
            <w:szCs w:val="20"/>
            <w:u w:val="single" w:color="0000FF"/>
          </w:rPr>
          <w:t>https://www.its.bldrdoc.gov/publications/2554.aspx</w:t>
        </w:r>
      </w:hyperlink>
      <w:r w:rsidRPr="002753FF">
        <w:rPr>
          <w:sz w:val="20"/>
          <w:szCs w:val="20"/>
        </w:rPr>
        <w:t xml:space="preserve">; and NTIA Technical Report TR-12-486, Case Study: Investigation of Interference into 5 GHz Weather Radars from Unlicensed National Information Infrastructure Devices, Part III (June 2012), available at </w:t>
      </w:r>
      <w:hyperlink r:id="rId3" w:history="1">
        <w:r w:rsidRPr="002753FF">
          <w:rPr>
            <w:sz w:val="20"/>
            <w:szCs w:val="20"/>
            <w:u w:val="single" w:color="0000FF"/>
          </w:rPr>
          <w:t>http://www.its.bldrdoc.gov/publications/2677.aspx</w:t>
        </w:r>
      </w:hyperlink>
      <w:r w:rsidRPr="002753FF">
        <w:rPr>
          <w:sz w:val="20"/>
          <w:szCs w:val="20"/>
        </w:rPr>
        <w:t xml:space="preserve">. </w:t>
      </w:r>
    </w:p>
  </w:footnote>
  <w:footnote w:id="12">
    <w:p w14:paraId="0F9B1193"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See e.g.</w:t>
      </w:r>
      <w:r w:rsidRPr="002753FF">
        <w:rPr>
          <w:sz w:val="20"/>
          <w:szCs w:val="20"/>
        </w:rPr>
        <w:t xml:space="preserve"> NTIA Technical Report TR-11-473, Case Study: Investigation of Interference into 5 GHz Weather Radars from Unlicensed Information Infrastructure Devices, Part 1, Section 5, pp 19-22 (Nov. 2010), available at </w:t>
      </w:r>
      <w:hyperlink r:id="rId4" w:history="1">
        <w:r w:rsidRPr="002753FF">
          <w:rPr>
            <w:sz w:val="20"/>
            <w:szCs w:val="20"/>
            <w:u w:val="single" w:color="0000FF"/>
          </w:rPr>
          <w:t>http://www.its.bldrdoc.gov/publications/2548.aspx</w:t>
        </w:r>
      </w:hyperlink>
      <w:r w:rsidRPr="002753FF">
        <w:rPr>
          <w:sz w:val="20"/>
          <w:szCs w:val="20"/>
        </w:rPr>
        <w:t xml:space="preserve"> (finding that two of the three UNII-1 devices failed to detect TDWR signals and stop transmissions that interfered with the TDWR systems).</w:t>
      </w:r>
    </w:p>
  </w:footnote>
  <w:footnote w:id="13">
    <w:p w14:paraId="4AFDFC7C" w14:textId="77777777" w:rsidR="00EE700C" w:rsidRPr="002753FF" w:rsidRDefault="00C90D1C">
      <w:pPr>
        <w:widowControl w:val="0"/>
        <w:rPr>
          <w:sz w:val="20"/>
          <w:szCs w:val="20"/>
          <w:vertAlign w:val="superscript"/>
        </w:rPr>
      </w:pPr>
      <w:r w:rsidRPr="002753FF">
        <w:rPr>
          <w:rStyle w:val="FootnoteReference"/>
          <w:sz w:val="20"/>
          <w:szCs w:val="20"/>
        </w:rPr>
        <w:footnoteRef/>
      </w:r>
      <w:r w:rsidRPr="002753FF">
        <w:rPr>
          <w:i/>
          <w:iCs/>
          <w:sz w:val="20"/>
          <w:szCs w:val="20"/>
        </w:rPr>
        <w:t>See</w:t>
      </w:r>
      <w:r w:rsidRPr="002753FF">
        <w:rPr>
          <w:sz w:val="20"/>
          <w:szCs w:val="20"/>
        </w:rPr>
        <w:t xml:space="preserve"> </w:t>
      </w:r>
      <w:r w:rsidRPr="002753FF">
        <w:rPr>
          <w:i/>
          <w:iCs/>
          <w:sz w:val="20"/>
          <w:szCs w:val="20"/>
        </w:rPr>
        <w:t>NPRM</w:t>
      </w:r>
      <w:r w:rsidRPr="002753FF">
        <w:rPr>
          <w:sz w:val="20"/>
          <w:szCs w:val="20"/>
        </w:rPr>
        <w:t xml:space="preserve"> at ¶73 (inviting comment on permitting low-power, indoor-only unlicensed devices to operate in the U-NII-5 and U-NII-7 bands without being under the control of an AFC system.)</w:t>
      </w:r>
    </w:p>
    <w:p w14:paraId="0CCBF0D9" w14:textId="77777777" w:rsidR="00EE700C" w:rsidRPr="002753FF" w:rsidRDefault="00EE700C">
      <w:pPr>
        <w:widowControl w:val="0"/>
        <w:rPr>
          <w:sz w:val="20"/>
          <w:szCs w:val="20"/>
        </w:rPr>
      </w:pPr>
    </w:p>
  </w:footnote>
  <w:footnote w:id="14">
    <w:p w14:paraId="06E37978" w14:textId="77777777" w:rsidR="00EE700C" w:rsidRPr="002753FF" w:rsidRDefault="00C90D1C">
      <w:pPr>
        <w:widowControl w:val="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See e.g.</w:t>
      </w:r>
      <w:r w:rsidRPr="002753FF">
        <w:rPr>
          <w:sz w:val="20"/>
          <w:szCs w:val="20"/>
        </w:rPr>
        <w:t xml:space="preserve"> Letter from Cheng Liu and Mitchel Lazarus Counsel for the Fixed Wireless Communications Coalition to Marlene H. Dortch, Secretary Federal Communications Commission, WT Docket No. 17-158, 4-6 (filed, Oct. 2, 2018), </w:t>
      </w:r>
      <w:r w:rsidRPr="002753FF">
        <w:rPr>
          <w:i/>
          <w:iCs/>
          <w:sz w:val="20"/>
          <w:szCs w:val="20"/>
        </w:rPr>
        <w:t xml:space="preserve">citing </w:t>
      </w:r>
      <w:r w:rsidRPr="002753FF">
        <w:rPr>
          <w:sz w:val="20"/>
          <w:szCs w:val="20"/>
        </w:rPr>
        <w:t xml:space="preserve">Letter from Alex Roytblat, Senior Director of Regulatory Affairs, Wi-Fi Alliance to Marlene Dortch, Secretary, FCC at 4 (filed Sept. 18, 2018)(concluding that on average there is 20 db attenuation for in-building operation of unlicensed devices, and contrasting that conclusion with claims by the Wi-Fi Alliance that estimate attenuation of 30 db by building walls). </w:t>
      </w:r>
    </w:p>
    <w:p w14:paraId="5FB7B2C1" w14:textId="77777777" w:rsidR="00EE700C" w:rsidRPr="002753FF" w:rsidRDefault="00C90D1C">
      <w:pPr>
        <w:widowControl w:val="0"/>
        <w:rPr>
          <w:sz w:val="20"/>
          <w:szCs w:val="20"/>
        </w:rPr>
      </w:pPr>
      <w:r w:rsidRPr="002753FF">
        <w:rPr>
          <w:sz w:val="20"/>
          <w:szCs w:val="20"/>
        </w:rPr>
        <w:t xml:space="preserve">. </w:t>
      </w:r>
    </w:p>
  </w:footnote>
  <w:footnote w:id="15">
    <w:p w14:paraId="25517EDD"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 xml:space="preserve">Id. </w:t>
      </w:r>
      <w:r w:rsidRPr="002753FF">
        <w:rPr>
          <w:sz w:val="20"/>
          <w:szCs w:val="20"/>
        </w:rPr>
        <w:t>Concluding that even assuming there was 30 db attenuation of in-building unlicensed operations there would still be interference within 12 km of a microwave system.</w:t>
      </w:r>
    </w:p>
  </w:footnote>
  <w:footnote w:id="16">
    <w:p w14:paraId="427CBB94"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NPRM</w:t>
      </w:r>
      <w:r w:rsidRPr="002753FF">
        <w:rPr>
          <w:sz w:val="20"/>
          <w:szCs w:val="20"/>
        </w:rPr>
        <w:t xml:space="preserve"> at ¶73.</w:t>
      </w:r>
    </w:p>
  </w:footnote>
  <w:footnote w:id="17">
    <w:p w14:paraId="4634E7B2"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Frequency Sharing for Radio Local Area Networks in the 6 GHz Band</w:t>
      </w:r>
      <w:r w:rsidRPr="002753FF">
        <w:rPr>
          <w:sz w:val="20"/>
          <w:szCs w:val="20"/>
        </w:rPr>
        <w:t xml:space="preserve"> </w:t>
      </w:r>
      <w:r w:rsidRPr="002753FF">
        <w:rPr>
          <w:i/>
          <w:iCs/>
          <w:sz w:val="20"/>
          <w:szCs w:val="20"/>
        </w:rPr>
        <w:t>January 2018</w:t>
      </w:r>
      <w:r w:rsidRPr="002753FF">
        <w:rPr>
          <w:sz w:val="20"/>
          <w:szCs w:val="20"/>
        </w:rPr>
        <w:t xml:space="preserve"> at 45, attached to Letter from Paul Margie, Counsel to Apple Inc., </w:t>
      </w:r>
      <w:r w:rsidRPr="002753FF">
        <w:rPr>
          <w:i/>
          <w:iCs/>
          <w:sz w:val="20"/>
          <w:szCs w:val="20"/>
        </w:rPr>
        <w:t>et al</w:t>
      </w:r>
      <w:r w:rsidRPr="002753FF">
        <w:rPr>
          <w:sz w:val="20"/>
          <w:szCs w:val="20"/>
        </w:rPr>
        <w:t>. to Marlene Dortch, Secretary, FCC (filed Jan. 26, 2018) (“RKF Engineering Study”) (finding a probability of interference of 0.209%, which would mean that as a practical matter that approximately 200 links would be affected by interference).</w:t>
      </w:r>
    </w:p>
  </w:footnote>
  <w:footnote w:id="18">
    <w:p w14:paraId="76A963B7" w14:textId="77777777" w:rsidR="00EE700C" w:rsidRPr="002753FF" w:rsidRDefault="00C90D1C">
      <w:pPr>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 xml:space="preserve">See </w:t>
      </w:r>
      <w:r w:rsidRPr="002753FF">
        <w:rPr>
          <w:sz w:val="20"/>
          <w:szCs w:val="20"/>
        </w:rPr>
        <w:t>RKF Engineering Study at 31 (arguing that since the access point busy hour is before midnight, access points only transmit when they have traffic, and multipath occurs primarily after midnight, a significant portion of the link fade margin can be used to relax, dB-for-dB).</w:t>
      </w:r>
    </w:p>
  </w:footnote>
  <w:footnote w:id="19">
    <w:p w14:paraId="5B634B54"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NPRM</w:t>
      </w:r>
      <w:r w:rsidRPr="002753FF">
        <w:rPr>
          <w:sz w:val="20"/>
          <w:szCs w:val="20"/>
        </w:rPr>
        <w:t xml:space="preserve"> at ¶¶37-58.</w:t>
      </w:r>
    </w:p>
  </w:footnote>
  <w:footnote w:id="20">
    <w:p w14:paraId="0B4DCC6E"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Id</w:t>
      </w:r>
      <w:r w:rsidRPr="002753FF">
        <w:rPr>
          <w:sz w:val="20"/>
          <w:szCs w:val="20"/>
        </w:rPr>
        <w:t>. at ¶37.</w:t>
      </w:r>
    </w:p>
  </w:footnote>
  <w:footnote w:id="21">
    <w:p w14:paraId="42A8558D"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Id.</w:t>
      </w:r>
    </w:p>
  </w:footnote>
  <w:footnote w:id="22">
    <w:p w14:paraId="4EE6E7E6"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 xml:space="preserve">Id. </w:t>
      </w:r>
      <w:r w:rsidRPr="002753FF">
        <w:rPr>
          <w:sz w:val="20"/>
          <w:szCs w:val="20"/>
        </w:rPr>
        <w:t>at ¶39.</w:t>
      </w:r>
    </w:p>
  </w:footnote>
  <w:footnote w:id="23">
    <w:p w14:paraId="0B5B4F0E"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Id.</w:t>
      </w:r>
      <w:r w:rsidRPr="002753FF">
        <w:rPr>
          <w:sz w:val="20"/>
          <w:szCs w:val="20"/>
        </w:rPr>
        <w:t xml:space="preserve"> </w:t>
      </w:r>
    </w:p>
  </w:footnote>
  <w:footnote w:id="24">
    <w:p w14:paraId="48F48029"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Note that this approach would also address the other problem with relying exclusively on the ULS database, which is that some microwave systems are blanket licensed to operate across an entire state or locality, rather than one specific set of geographic coordinates.  </w:t>
      </w:r>
      <w:r w:rsidRPr="002753FF">
        <w:rPr>
          <w:i/>
          <w:iCs/>
          <w:sz w:val="20"/>
          <w:szCs w:val="20"/>
        </w:rPr>
        <w:t>See Id.</w:t>
      </w:r>
      <w:r w:rsidRPr="002753FF">
        <w:rPr>
          <w:sz w:val="20"/>
          <w:szCs w:val="20"/>
        </w:rPr>
        <w:t xml:space="preserve"> at ¶41.</w:t>
      </w:r>
    </w:p>
  </w:footnote>
  <w:footnote w:id="25">
    <w:p w14:paraId="66E587F3" w14:textId="77777777" w:rsidR="00EE700C" w:rsidRPr="002753FF" w:rsidRDefault="00C90D1C">
      <w:pPr>
        <w:widowControl w:val="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Id.</w:t>
      </w:r>
      <w:r w:rsidRPr="002753FF">
        <w:rPr>
          <w:sz w:val="20"/>
          <w:szCs w:val="20"/>
        </w:rPr>
        <w:t>at ¶¶40-41 (requesting comment on information that is collected and stored in ULS and how to account for blanket licensing and temporary fixed operations that may not be sufficiently addressed through ULS data).</w:t>
      </w:r>
    </w:p>
    <w:p w14:paraId="0E9D5411" w14:textId="77777777" w:rsidR="00EE700C" w:rsidRPr="002753FF" w:rsidRDefault="00EE700C">
      <w:pPr>
        <w:widowControl w:val="0"/>
        <w:rPr>
          <w:sz w:val="20"/>
          <w:szCs w:val="20"/>
        </w:rPr>
      </w:pPr>
    </w:p>
  </w:footnote>
  <w:footnote w:id="26">
    <w:p w14:paraId="44AEBB09"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Id.</w:t>
      </w:r>
      <w:r w:rsidRPr="002753FF">
        <w:rPr>
          <w:sz w:val="20"/>
          <w:szCs w:val="20"/>
        </w:rPr>
        <w:t xml:space="preserve"> at ¶44.</w:t>
      </w:r>
    </w:p>
  </w:footnote>
  <w:footnote w:id="27">
    <w:p w14:paraId="7E4A1E35"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rFonts w:ascii="TimesNewRomanPSMT" w:eastAsia="TimesNewRomanPSMT" w:hAnsi="TimesNewRomanPSMT" w:cs="TimesNewRomanPSMT"/>
          <w:sz w:val="20"/>
          <w:szCs w:val="20"/>
        </w:rPr>
        <w:t xml:space="preserve">FWCC July 17, 2018 </w:t>
      </w:r>
      <w:r w:rsidRPr="002753FF">
        <w:rPr>
          <w:rFonts w:ascii="TimesNewRomanPS-ItalicMT" w:eastAsia="TimesNewRomanPS-ItalicMT" w:hAnsi="TimesNewRomanPS-ItalicMT" w:cs="TimesNewRomanPS-ItalicMT"/>
          <w:i/>
          <w:iCs/>
          <w:sz w:val="20"/>
          <w:szCs w:val="20"/>
        </w:rPr>
        <w:t>Ex Parte</w:t>
      </w:r>
      <w:r w:rsidRPr="002753FF">
        <w:rPr>
          <w:rFonts w:ascii="TimesNewRomanPSMT" w:eastAsia="TimesNewRomanPSMT" w:hAnsi="TimesNewRomanPSMT" w:cs="TimesNewRomanPSMT"/>
          <w:sz w:val="20"/>
          <w:szCs w:val="20"/>
        </w:rPr>
        <w:t>, at 17 (suggesting adjacent channel protection in every case and second-adjacent channels protection where appropriate.).</w:t>
      </w:r>
    </w:p>
  </w:footnote>
  <w:footnote w:id="28">
    <w:p w14:paraId="7C75E491" w14:textId="77777777" w:rsidR="00EE700C" w:rsidRPr="002753FF" w:rsidRDefault="00C90D1C">
      <w:pPr>
        <w:widowControl w:val="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But see</w:t>
      </w:r>
      <w:r w:rsidRPr="002753FF">
        <w:rPr>
          <w:sz w:val="20"/>
          <w:szCs w:val="20"/>
        </w:rPr>
        <w:t xml:space="preserve"> </w:t>
      </w:r>
      <w:r w:rsidRPr="002753FF">
        <w:rPr>
          <w:i/>
          <w:iCs/>
          <w:sz w:val="20"/>
          <w:szCs w:val="20"/>
        </w:rPr>
        <w:t>NPRM</w:t>
      </w:r>
      <w:r w:rsidRPr="002753FF">
        <w:rPr>
          <w:sz w:val="20"/>
          <w:szCs w:val="20"/>
        </w:rPr>
        <w:t xml:space="preserve"> at ¶46 (observing that “outside low latitude coastal regions, atmospheric multipath fading occurs most often during humid seasons with low precipitation” and suggesting that the interference protection criteria could be relaxed or other allowances made in areas where fades are not as prominent or during certain seasons and times of the day when fading occurs in conjunction with the relative busy hours for unlicensed traffic.) </w:t>
      </w:r>
    </w:p>
    <w:p w14:paraId="51CE7EB1" w14:textId="77777777" w:rsidR="00EE700C" w:rsidRPr="002753FF" w:rsidRDefault="00EE700C">
      <w:pPr>
        <w:widowControl w:val="0"/>
        <w:rPr>
          <w:sz w:val="20"/>
          <w:szCs w:val="20"/>
        </w:rPr>
      </w:pPr>
    </w:p>
  </w:footnote>
  <w:footnote w:id="29">
    <w:p w14:paraId="79DF3B6B"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NPRM</w:t>
      </w:r>
      <w:r w:rsidRPr="002753FF">
        <w:rPr>
          <w:sz w:val="20"/>
          <w:szCs w:val="20"/>
        </w:rPr>
        <w:t xml:space="preserve"> at ¶¶42-43.</w:t>
      </w:r>
    </w:p>
  </w:footnote>
  <w:footnote w:id="30">
    <w:p w14:paraId="03F76007"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 xml:space="preserve">See </w:t>
      </w:r>
      <w:r w:rsidRPr="002753FF">
        <w:rPr>
          <w:sz w:val="20"/>
          <w:szCs w:val="20"/>
        </w:rPr>
        <w:t xml:space="preserve">FWCC July 17, 2018 </w:t>
      </w:r>
      <w:r w:rsidRPr="002753FF">
        <w:rPr>
          <w:rFonts w:ascii="TimesNewRomanPS-ItalicMT" w:eastAsia="TimesNewRomanPS-ItalicMT" w:hAnsi="TimesNewRomanPS-ItalicMT" w:cs="TimesNewRomanPS-ItalicMT"/>
          <w:i/>
          <w:iCs/>
          <w:sz w:val="20"/>
          <w:szCs w:val="20"/>
        </w:rPr>
        <w:t>Ex Parte</w:t>
      </w:r>
      <w:r w:rsidRPr="002753FF">
        <w:rPr>
          <w:i/>
          <w:iCs/>
          <w:sz w:val="20"/>
          <w:szCs w:val="20"/>
        </w:rPr>
        <w:t>.</w:t>
      </w:r>
      <w:r w:rsidRPr="002753FF">
        <w:rPr>
          <w:sz w:val="20"/>
          <w:szCs w:val="20"/>
        </w:rPr>
        <w:t xml:space="preserve"> at 14.</w:t>
      </w:r>
    </w:p>
  </w:footnote>
  <w:footnote w:id="31">
    <w:p w14:paraId="442B8C3D"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See</w:t>
      </w:r>
      <w:r w:rsidRPr="002753FF">
        <w:rPr>
          <w:sz w:val="20"/>
          <w:szCs w:val="20"/>
        </w:rPr>
        <w:t xml:space="preserve"> </w:t>
      </w:r>
      <w:r w:rsidRPr="002753FF">
        <w:rPr>
          <w:i/>
          <w:iCs/>
          <w:sz w:val="20"/>
          <w:szCs w:val="20"/>
        </w:rPr>
        <w:t>NPRM</w:t>
      </w:r>
      <w:r w:rsidRPr="002753FF">
        <w:rPr>
          <w:sz w:val="20"/>
          <w:szCs w:val="20"/>
        </w:rPr>
        <w:t xml:space="preserve"> at ¶48,</w:t>
      </w:r>
      <w:r w:rsidRPr="002753FF">
        <w:rPr>
          <w:i/>
          <w:iCs/>
          <w:sz w:val="20"/>
          <w:szCs w:val="20"/>
        </w:rPr>
        <w:t xml:space="preserve"> citing </w:t>
      </w:r>
      <w:r w:rsidRPr="002753FF">
        <w:rPr>
          <w:sz w:val="20"/>
          <w:szCs w:val="20"/>
        </w:rPr>
        <w:t xml:space="preserve">FWCC June 25, 2018 </w:t>
      </w:r>
      <w:r w:rsidRPr="002753FF">
        <w:rPr>
          <w:i/>
          <w:iCs/>
          <w:sz w:val="20"/>
          <w:szCs w:val="20"/>
        </w:rPr>
        <w:t>Ex Parte</w:t>
      </w:r>
      <w:r w:rsidRPr="002753FF">
        <w:rPr>
          <w:sz w:val="20"/>
          <w:szCs w:val="20"/>
        </w:rPr>
        <w:t>, at 5.</w:t>
      </w:r>
    </w:p>
  </w:footnote>
  <w:footnote w:id="32">
    <w:p w14:paraId="55AFD3A1" w14:textId="77777777" w:rsidR="00EE700C" w:rsidRPr="002753FF" w:rsidRDefault="00C90D1C">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See NPRM</w:t>
      </w:r>
      <w:r w:rsidRPr="002753FF">
        <w:rPr>
          <w:sz w:val="20"/>
          <w:szCs w:val="20"/>
        </w:rPr>
        <w:t xml:space="preserve"> at ¶¶50-52.</w:t>
      </w:r>
    </w:p>
  </w:footnote>
  <w:footnote w:id="33">
    <w:p w14:paraId="5556AEAA" w14:textId="77777777" w:rsidR="00EE700C" w:rsidRPr="002753FF" w:rsidRDefault="00C90D1C" w:rsidP="004211FA">
      <w:pPr>
        <w:widowControl w:val="0"/>
        <w:spacing w:after="240"/>
        <w:rPr>
          <w:sz w:val="20"/>
          <w:szCs w:val="20"/>
          <w:vertAlign w:val="superscript"/>
        </w:rPr>
      </w:pPr>
      <w:r w:rsidRPr="002753FF">
        <w:rPr>
          <w:rStyle w:val="FootnoteReference"/>
          <w:sz w:val="20"/>
          <w:szCs w:val="20"/>
        </w:rPr>
        <w:footnoteRef/>
      </w:r>
      <w:r w:rsidRPr="002753FF">
        <w:rPr>
          <w:sz w:val="20"/>
          <w:szCs w:val="20"/>
        </w:rPr>
        <w:t xml:space="preserve"> </w:t>
      </w:r>
      <w:r w:rsidRPr="002753FF">
        <w:rPr>
          <w:i/>
          <w:iCs/>
          <w:sz w:val="20"/>
          <w:szCs w:val="20"/>
        </w:rPr>
        <w:t xml:space="preserve">See NPRM </w:t>
      </w:r>
      <w:r w:rsidRPr="002753FF">
        <w:rPr>
          <w:sz w:val="20"/>
          <w:szCs w:val="20"/>
        </w:rPr>
        <w:t>at ¶25 (inviting comment on whether the AFC model should be centralized or de-centralized).</w:t>
      </w:r>
    </w:p>
  </w:footnote>
  <w:footnote w:id="34">
    <w:p w14:paraId="7A95DC5D" w14:textId="6AF40B59" w:rsidR="00EE700C" w:rsidRPr="002753FF" w:rsidRDefault="00C90D1C" w:rsidP="004211FA">
      <w:pPr>
        <w:widowControl w:val="0"/>
        <w:spacing w:after="240"/>
        <w:rPr>
          <w:sz w:val="20"/>
          <w:szCs w:val="20"/>
        </w:rPr>
      </w:pPr>
      <w:r w:rsidRPr="002753FF">
        <w:rPr>
          <w:rStyle w:val="FootnoteReference"/>
          <w:sz w:val="20"/>
          <w:szCs w:val="20"/>
        </w:rPr>
        <w:footnoteRef/>
      </w:r>
      <w:r w:rsidR="004211FA" w:rsidRPr="002753FF">
        <w:rPr>
          <w:sz w:val="20"/>
          <w:szCs w:val="20"/>
          <w:vertAlign w:val="superscript"/>
        </w:rPr>
        <w:t xml:space="preserve"> </w:t>
      </w:r>
      <w:r w:rsidRPr="002753FF">
        <w:rPr>
          <w:i/>
          <w:iCs/>
          <w:sz w:val="20"/>
          <w:szCs w:val="20"/>
        </w:rPr>
        <w:t>Id.</w:t>
      </w:r>
      <w:r w:rsidRPr="002753FF">
        <w:rPr>
          <w:sz w:val="20"/>
          <w:szCs w:val="20"/>
        </w:rPr>
        <w:t xml:space="preserve"> at ¶¶29-30.</w:t>
      </w:r>
    </w:p>
  </w:footnote>
  <w:footnote w:id="35">
    <w:p w14:paraId="774F6FE6" w14:textId="2F645709" w:rsidR="00EE700C" w:rsidRDefault="00C90D1C" w:rsidP="004211FA">
      <w:pPr>
        <w:widowControl w:val="0"/>
        <w:spacing w:after="240"/>
        <w:rPr>
          <w:sz w:val="20"/>
          <w:szCs w:val="20"/>
        </w:rPr>
      </w:pPr>
      <w:r w:rsidRPr="002753FF">
        <w:rPr>
          <w:rStyle w:val="FootnoteReference"/>
          <w:sz w:val="20"/>
          <w:szCs w:val="20"/>
        </w:rPr>
        <w:footnoteRef/>
      </w:r>
      <w:r w:rsidR="004211FA" w:rsidRPr="002753FF">
        <w:rPr>
          <w:sz w:val="20"/>
          <w:szCs w:val="20"/>
          <w:vertAlign w:val="superscript"/>
        </w:rPr>
        <w:t xml:space="preserve"> </w:t>
      </w:r>
      <w:r w:rsidRPr="002753FF">
        <w:rPr>
          <w:i/>
          <w:iCs/>
          <w:sz w:val="20"/>
          <w:szCs w:val="20"/>
        </w:rPr>
        <w:t>Id.</w:t>
      </w:r>
      <w:r w:rsidRPr="002753FF">
        <w:rPr>
          <w:sz w:val="20"/>
          <w:szCs w:val="20"/>
        </w:rPr>
        <w:t xml:space="preserve"> at ¶¶31-32.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13248" w14:textId="77777777" w:rsidR="00EE700C" w:rsidRDefault="00EE700C">
    <w:pPr>
      <w:widowControl w:val="0"/>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2F6D89"/>
    <w:multiLevelType w:val="hybridMultilevel"/>
    <w:tmpl w:val="E63E765C"/>
    <w:lvl w:ilvl="0" w:tplc="1FCC268E">
      <w:numFmt w:val="bullet"/>
      <w:lvlText w:val=""/>
      <w:lvlJc w:val="left"/>
      <w:pPr>
        <w:ind w:left="840" w:hanging="360"/>
      </w:pPr>
      <w:rPr>
        <w:rFonts w:ascii="Symbol" w:eastAsia="Symbol" w:hAnsi="Symbol" w:cs="Symbol" w:hint="default"/>
        <w:color w:val="44536A"/>
        <w:w w:val="100"/>
        <w:sz w:val="24"/>
        <w:szCs w:val="24"/>
        <w:lang w:val="en-US" w:eastAsia="en-US" w:bidi="en-US"/>
      </w:rPr>
    </w:lvl>
    <w:lvl w:ilvl="1" w:tplc="8F2639C6">
      <w:numFmt w:val="bullet"/>
      <w:lvlText w:val="•"/>
      <w:lvlJc w:val="left"/>
      <w:pPr>
        <w:ind w:left="1752" w:hanging="360"/>
      </w:pPr>
      <w:rPr>
        <w:rFonts w:hint="default"/>
        <w:lang w:val="en-US" w:eastAsia="en-US" w:bidi="en-US"/>
      </w:rPr>
    </w:lvl>
    <w:lvl w:ilvl="2" w:tplc="D144C07A">
      <w:numFmt w:val="bullet"/>
      <w:lvlText w:val="•"/>
      <w:lvlJc w:val="left"/>
      <w:pPr>
        <w:ind w:left="2664" w:hanging="360"/>
      </w:pPr>
      <w:rPr>
        <w:rFonts w:hint="default"/>
        <w:lang w:val="en-US" w:eastAsia="en-US" w:bidi="en-US"/>
      </w:rPr>
    </w:lvl>
    <w:lvl w:ilvl="3" w:tplc="B9184796">
      <w:numFmt w:val="bullet"/>
      <w:lvlText w:val="•"/>
      <w:lvlJc w:val="left"/>
      <w:pPr>
        <w:ind w:left="3576" w:hanging="360"/>
      </w:pPr>
      <w:rPr>
        <w:rFonts w:hint="default"/>
        <w:lang w:val="en-US" w:eastAsia="en-US" w:bidi="en-US"/>
      </w:rPr>
    </w:lvl>
    <w:lvl w:ilvl="4" w:tplc="DC3EE204">
      <w:numFmt w:val="bullet"/>
      <w:lvlText w:val="•"/>
      <w:lvlJc w:val="left"/>
      <w:pPr>
        <w:ind w:left="4488" w:hanging="360"/>
      </w:pPr>
      <w:rPr>
        <w:rFonts w:hint="default"/>
        <w:lang w:val="en-US" w:eastAsia="en-US" w:bidi="en-US"/>
      </w:rPr>
    </w:lvl>
    <w:lvl w:ilvl="5" w:tplc="4462DDF0">
      <w:numFmt w:val="bullet"/>
      <w:lvlText w:val="•"/>
      <w:lvlJc w:val="left"/>
      <w:pPr>
        <w:ind w:left="5400" w:hanging="360"/>
      </w:pPr>
      <w:rPr>
        <w:rFonts w:hint="default"/>
        <w:lang w:val="en-US" w:eastAsia="en-US" w:bidi="en-US"/>
      </w:rPr>
    </w:lvl>
    <w:lvl w:ilvl="6" w:tplc="F55EB97E">
      <w:numFmt w:val="bullet"/>
      <w:lvlText w:val="•"/>
      <w:lvlJc w:val="left"/>
      <w:pPr>
        <w:ind w:left="6312" w:hanging="360"/>
      </w:pPr>
      <w:rPr>
        <w:rFonts w:hint="default"/>
        <w:lang w:val="en-US" w:eastAsia="en-US" w:bidi="en-US"/>
      </w:rPr>
    </w:lvl>
    <w:lvl w:ilvl="7" w:tplc="ADD07588">
      <w:numFmt w:val="bullet"/>
      <w:lvlText w:val="•"/>
      <w:lvlJc w:val="left"/>
      <w:pPr>
        <w:ind w:left="7224" w:hanging="360"/>
      </w:pPr>
      <w:rPr>
        <w:rFonts w:hint="default"/>
        <w:lang w:val="en-US" w:eastAsia="en-US" w:bidi="en-US"/>
      </w:rPr>
    </w:lvl>
    <w:lvl w:ilvl="8" w:tplc="49804A56">
      <w:numFmt w:val="bullet"/>
      <w:lvlText w:val="•"/>
      <w:lvlJc w:val="left"/>
      <w:pPr>
        <w:ind w:left="8136"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0C"/>
    <w:rsid w:val="0005070D"/>
    <w:rsid w:val="000733AE"/>
    <w:rsid w:val="0011345F"/>
    <w:rsid w:val="00143D6E"/>
    <w:rsid w:val="00210FB9"/>
    <w:rsid w:val="0023098E"/>
    <w:rsid w:val="00242546"/>
    <w:rsid w:val="00257C83"/>
    <w:rsid w:val="002753FF"/>
    <w:rsid w:val="00293C9D"/>
    <w:rsid w:val="002A299B"/>
    <w:rsid w:val="00323815"/>
    <w:rsid w:val="003A68F0"/>
    <w:rsid w:val="003D7356"/>
    <w:rsid w:val="004015BA"/>
    <w:rsid w:val="00407254"/>
    <w:rsid w:val="00413FB5"/>
    <w:rsid w:val="004211FA"/>
    <w:rsid w:val="004274AA"/>
    <w:rsid w:val="004701E7"/>
    <w:rsid w:val="004C153B"/>
    <w:rsid w:val="00504319"/>
    <w:rsid w:val="00511EF7"/>
    <w:rsid w:val="0053418D"/>
    <w:rsid w:val="005C2B41"/>
    <w:rsid w:val="0060271D"/>
    <w:rsid w:val="00683D18"/>
    <w:rsid w:val="00693160"/>
    <w:rsid w:val="006A1122"/>
    <w:rsid w:val="0070254E"/>
    <w:rsid w:val="007438AB"/>
    <w:rsid w:val="00753952"/>
    <w:rsid w:val="00825F97"/>
    <w:rsid w:val="008C53FA"/>
    <w:rsid w:val="00975EFE"/>
    <w:rsid w:val="009D6AD3"/>
    <w:rsid w:val="00A3696B"/>
    <w:rsid w:val="00AC1004"/>
    <w:rsid w:val="00AE25A4"/>
    <w:rsid w:val="00B01DEC"/>
    <w:rsid w:val="00B5736D"/>
    <w:rsid w:val="00BB17F2"/>
    <w:rsid w:val="00C90D1C"/>
    <w:rsid w:val="00E530C4"/>
    <w:rsid w:val="00E612EC"/>
    <w:rsid w:val="00E875E2"/>
    <w:rsid w:val="00EE6E4A"/>
    <w:rsid w:val="00EE700C"/>
    <w:rsid w:val="00F258D9"/>
    <w:rsid w:val="00F25F8E"/>
    <w:rsid w:val="00F323F9"/>
    <w:rsid w:val="00F609F2"/>
    <w:rsid w:val="00F63E60"/>
    <w:rsid w:val="00FF2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8CADC"/>
  <w15:docId w15:val="{84C7C599-24D3-45B6-B424-95655A54F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Pr>
      <w:color w:val="808080"/>
    </w:rPr>
  </w:style>
  <w:style w:type="character" w:styleId="CommentReference">
    <w:name w:val="annotation reference"/>
    <w:basedOn w:val="DefaultParagraphFont"/>
    <w:rsid w:val="00805BCE"/>
    <w:rPr>
      <w:sz w:val="16"/>
      <w:szCs w:val="16"/>
    </w:rPr>
  </w:style>
  <w:style w:type="character" w:styleId="FootnoteReference">
    <w:name w:val="footnote reference"/>
    <w:basedOn w:val="DefaultParagraphFont"/>
    <w:rsid w:val="00805BCE"/>
    <w:rPr>
      <w:vertAlign w:val="superscript"/>
    </w:rPr>
  </w:style>
  <w:style w:type="paragraph" w:styleId="FootnoteText">
    <w:name w:val="footnote text"/>
    <w:basedOn w:val="Normal"/>
    <w:rsid w:val="00805BCE"/>
    <w:rPr>
      <w:sz w:val="20"/>
      <w:szCs w:val="2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AC10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1004"/>
    <w:rPr>
      <w:rFonts w:ascii="Segoe UI" w:hAnsi="Segoe UI" w:cs="Segoe UI"/>
      <w:sz w:val="18"/>
      <w:szCs w:val="18"/>
    </w:rPr>
  </w:style>
  <w:style w:type="paragraph" w:styleId="Header">
    <w:name w:val="header"/>
    <w:basedOn w:val="Normal"/>
    <w:link w:val="HeaderChar"/>
    <w:uiPriority w:val="99"/>
    <w:unhideWhenUsed/>
    <w:rsid w:val="002753FF"/>
    <w:pPr>
      <w:tabs>
        <w:tab w:val="center" w:pos="4680"/>
        <w:tab w:val="right" w:pos="9360"/>
      </w:tabs>
    </w:pPr>
  </w:style>
  <w:style w:type="character" w:customStyle="1" w:styleId="HeaderChar">
    <w:name w:val="Header Char"/>
    <w:basedOn w:val="DefaultParagraphFont"/>
    <w:link w:val="Header"/>
    <w:uiPriority w:val="99"/>
    <w:rsid w:val="002753FF"/>
    <w:rPr>
      <w:sz w:val="24"/>
      <w:szCs w:val="24"/>
    </w:rPr>
  </w:style>
  <w:style w:type="paragraph" w:styleId="Footer">
    <w:name w:val="footer"/>
    <w:basedOn w:val="Normal"/>
    <w:link w:val="FooterChar"/>
    <w:uiPriority w:val="99"/>
    <w:unhideWhenUsed/>
    <w:rsid w:val="002753FF"/>
    <w:pPr>
      <w:tabs>
        <w:tab w:val="center" w:pos="4680"/>
        <w:tab w:val="right" w:pos="9360"/>
      </w:tabs>
    </w:pPr>
  </w:style>
  <w:style w:type="character" w:customStyle="1" w:styleId="FooterChar">
    <w:name w:val="Footer Char"/>
    <w:basedOn w:val="DefaultParagraphFont"/>
    <w:link w:val="Footer"/>
    <w:uiPriority w:val="99"/>
    <w:rsid w:val="002753FF"/>
    <w:rPr>
      <w:sz w:val="24"/>
      <w:szCs w:val="24"/>
    </w:rPr>
  </w:style>
  <w:style w:type="paragraph" w:styleId="TOC1">
    <w:name w:val="toc 1"/>
    <w:basedOn w:val="Normal"/>
    <w:uiPriority w:val="1"/>
    <w:qFormat/>
    <w:rsid w:val="004274AA"/>
    <w:pPr>
      <w:widowControl w:val="0"/>
      <w:autoSpaceDE w:val="0"/>
      <w:autoSpaceDN w:val="0"/>
      <w:spacing w:before="159"/>
      <w:ind w:right="193"/>
      <w:jc w:val="center"/>
    </w:pPr>
    <w:rPr>
      <w:b/>
      <w:bCs/>
      <w:sz w:val="22"/>
      <w:szCs w:val="22"/>
      <w:lang w:bidi="en-US"/>
    </w:rPr>
  </w:style>
  <w:style w:type="paragraph" w:styleId="TOC2">
    <w:name w:val="toc 2"/>
    <w:basedOn w:val="Normal"/>
    <w:uiPriority w:val="1"/>
    <w:qFormat/>
    <w:rsid w:val="004274AA"/>
    <w:pPr>
      <w:widowControl w:val="0"/>
      <w:autoSpaceDE w:val="0"/>
      <w:autoSpaceDN w:val="0"/>
      <w:spacing w:before="157"/>
      <w:ind w:left="120"/>
    </w:pPr>
    <w:rPr>
      <w:b/>
      <w:bCs/>
      <w:i/>
      <w:lang w:bidi="en-US"/>
    </w:rPr>
  </w:style>
  <w:style w:type="paragraph" w:styleId="TOC3">
    <w:name w:val="toc 3"/>
    <w:basedOn w:val="Normal"/>
    <w:uiPriority w:val="1"/>
    <w:qFormat/>
    <w:rsid w:val="004274AA"/>
    <w:pPr>
      <w:widowControl w:val="0"/>
      <w:autoSpaceDE w:val="0"/>
      <w:autoSpaceDN w:val="0"/>
      <w:spacing w:before="155"/>
      <w:ind w:left="360"/>
    </w:pPr>
    <w:rPr>
      <w:b/>
      <w:bCs/>
      <w:sz w:val="22"/>
      <w:szCs w:val="22"/>
      <w:lang w:bidi="en-US"/>
    </w:rPr>
  </w:style>
  <w:style w:type="paragraph" w:styleId="BodyText">
    <w:name w:val="Body Text"/>
    <w:basedOn w:val="Normal"/>
    <w:link w:val="BodyTextChar"/>
    <w:uiPriority w:val="1"/>
    <w:qFormat/>
    <w:rsid w:val="004274AA"/>
    <w:pPr>
      <w:widowControl w:val="0"/>
      <w:autoSpaceDE w:val="0"/>
      <w:autoSpaceDN w:val="0"/>
      <w:ind w:left="120"/>
    </w:pPr>
    <w:rPr>
      <w:lang w:bidi="en-US"/>
    </w:rPr>
  </w:style>
  <w:style w:type="character" w:customStyle="1" w:styleId="BodyTextChar">
    <w:name w:val="Body Text Char"/>
    <w:basedOn w:val="DefaultParagraphFont"/>
    <w:link w:val="BodyText"/>
    <w:uiPriority w:val="1"/>
    <w:rsid w:val="004274AA"/>
    <w:rPr>
      <w:sz w:val="24"/>
      <w:szCs w:val="24"/>
      <w:lang w:bidi="en-US"/>
    </w:rPr>
  </w:style>
  <w:style w:type="paragraph" w:styleId="ListParagraph">
    <w:name w:val="List Paragraph"/>
    <w:basedOn w:val="Normal"/>
    <w:uiPriority w:val="1"/>
    <w:qFormat/>
    <w:rsid w:val="004274AA"/>
    <w:pPr>
      <w:widowControl w:val="0"/>
      <w:autoSpaceDE w:val="0"/>
      <w:autoSpaceDN w:val="0"/>
      <w:spacing w:line="293" w:lineRule="exact"/>
      <w:ind w:left="840" w:hanging="360"/>
    </w:pPr>
    <w:rPr>
      <w:sz w:val="22"/>
      <w:szCs w:val="22"/>
      <w:lang w:bidi="en-US"/>
    </w:rPr>
  </w:style>
  <w:style w:type="paragraph" w:styleId="TOCHeading">
    <w:name w:val="TOC Heading"/>
    <w:basedOn w:val="Heading1"/>
    <w:next w:val="Normal"/>
    <w:uiPriority w:val="39"/>
    <w:semiHidden/>
    <w:unhideWhenUsed/>
    <w:qFormat/>
    <w:rsid w:val="00753952"/>
    <w:pPr>
      <w:keepLines/>
      <w:spacing w:after="0"/>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edrosetele.com/" TargetMode="Externa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header" Target="header1.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glossaryDocument" Target="glossary/document.xml"/><Relationship Id="rId10" Type="http://schemas.openxmlformats.org/officeDocument/2006/relationships/footer" Target="footer3.xm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ts.bldrdoc.gov/publications/2677.aspx" TargetMode="External"/><Relationship Id="rId2" Type="http://schemas.openxmlformats.org/officeDocument/2006/relationships/hyperlink" Target="https://www.its.bldrdoc.gov/publications/2554.aspx" TargetMode="External"/><Relationship Id="rId1" Type="http://schemas.openxmlformats.org/officeDocument/2006/relationships/hyperlink" Target="http://www.its.bldrdoc.gov/publications/2548.aspx" TargetMode="External"/><Relationship Id="rId4" Type="http://schemas.openxmlformats.org/officeDocument/2006/relationships/hyperlink" Target="http://www.its.bldrdoc.gov/publications/2548.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22675703"/>
        <w:category>
          <w:name w:val="General"/>
          <w:gallery w:val="placeholder"/>
        </w:category>
        <w:types>
          <w:type w:val="bbPlcHdr"/>
        </w:types>
        <w:behaviors>
          <w:behavior w:val="content"/>
        </w:behaviors>
        <w:guid w:val="{2BD7B84F-5508-45DB-8518-832B8918A9F8}"/>
      </w:docPartPr>
      <w:docPartBody>
        <w:p w:rsidR="00842B01" w:rsidRDefault="00E51EE9">
          <w:r>
            <w:rPr>
              <w:rStyle w:val="PlaceholderText1"/>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imes New Roman Bold">
    <w:panose1 w:val="02020803070505020304"/>
    <w:charset w:val="00"/>
    <w:family w:val="roman"/>
    <w:notTrueType/>
    <w:pitch w:val="default"/>
  </w:font>
  <w:font w:name="Lucida Console">
    <w:panose1 w:val="020B0609040504020204"/>
    <w:charset w:val="00"/>
    <w:family w:val="modern"/>
    <w:pitch w:val="fixed"/>
    <w:sig w:usb0="8000028F" w:usb1="00001800" w:usb2="00000000" w:usb3="00000000" w:csb0="0000001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842B01"/>
    <w:rsid w:val="00225C75"/>
    <w:rsid w:val="00366E43"/>
    <w:rsid w:val="00367AA1"/>
    <w:rsid w:val="003B3D66"/>
    <w:rsid w:val="005120D6"/>
    <w:rsid w:val="00842B01"/>
    <w:rsid w:val="00A37A81"/>
    <w:rsid w:val="00E51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77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ceholderText1">
    <w:name w:val="Placeholder Text1"/>
    <w:basedOn w:val="DefaultParagraphFont"/>
    <w:uiPriority w:val="99"/>
    <w:semiHidden/>
    <w:rsid w:val="003B3D66"/>
    <w:rPr>
      <w:color w:val="808080"/>
    </w:rPr>
  </w:style>
  <w:style w:type="paragraph" w:customStyle="1" w:styleId="6F84CA05F0924BCD87E9DEF8A12A51C9">
    <w:name w:val="6F84CA05F0924BCD87E9DEF8A12A51C9"/>
    <w:rsid w:val="003B3D66"/>
    <w:pPr>
      <w:spacing w:after="160" w:line="259" w:lineRule="auto"/>
    </w:pPr>
    <w:rPr>
      <w:rFonts w:asciiTheme="minorHAnsi" w:eastAsiaTheme="minorEastAsia" w:hAnsiTheme="minorHAnsi" w:cstheme="minorBidi"/>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41</Pages>
  <Words>12386</Words>
  <Characters>70605</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Fishman, Aryeh</dc:creator>
  <cp:lastModifiedBy>Brett Kilbourne</cp:lastModifiedBy>
  <cp:revision>3</cp:revision>
  <dcterms:created xsi:type="dcterms:W3CDTF">2019-02-15T20:54:00Z</dcterms:created>
  <dcterms:modified xsi:type="dcterms:W3CDTF">2019-02-15T21:44:00Z</dcterms:modified>
</cp:coreProperties>
</file>