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7178" w:rsidRPr="00DD45F7" w:rsidRDefault="00387178" w:rsidP="00B76B77">
      <w:pPr>
        <w:pStyle w:val="TxBrc15"/>
        <w:tabs>
          <w:tab w:val="left" w:pos="5663"/>
        </w:tabs>
        <w:spacing w:line="240" w:lineRule="auto"/>
        <w:outlineLvl w:val="0"/>
        <w:rPr>
          <w:rFonts w:ascii="Times New Roman" w:hAnsi="Times New Roman" w:cs="Times New Roman"/>
          <w:b/>
          <w:bCs/>
        </w:rPr>
      </w:pPr>
      <w:bookmarkStart w:id="0" w:name="_GoBack"/>
      <w:bookmarkEnd w:id="0"/>
      <w:r w:rsidRPr="00DD45F7">
        <w:rPr>
          <w:rFonts w:ascii="Times New Roman" w:hAnsi="Times New Roman" w:cs="Times New Roman"/>
          <w:b/>
          <w:bCs/>
        </w:rPr>
        <w:t>Before the</w:t>
      </w:r>
    </w:p>
    <w:p w:rsidR="00387178" w:rsidRPr="00DD45F7" w:rsidRDefault="00387178" w:rsidP="00387178">
      <w:pPr>
        <w:pStyle w:val="TxBrc15"/>
        <w:tabs>
          <w:tab w:val="left" w:pos="5663"/>
        </w:tabs>
        <w:spacing w:line="240" w:lineRule="auto"/>
        <w:outlineLvl w:val="0"/>
        <w:rPr>
          <w:rFonts w:ascii="Times New Roman" w:hAnsi="Times New Roman" w:cs="Times New Roman"/>
          <w:b/>
          <w:bCs/>
        </w:rPr>
      </w:pPr>
      <w:r w:rsidRPr="00DD45F7">
        <w:rPr>
          <w:rFonts w:ascii="Times New Roman" w:hAnsi="Times New Roman" w:cs="Times New Roman"/>
          <w:b/>
          <w:bCs/>
        </w:rPr>
        <w:t>Federal Communications Commission</w:t>
      </w:r>
    </w:p>
    <w:p w:rsidR="00387178" w:rsidRPr="00DD45F7" w:rsidRDefault="00387178" w:rsidP="00387178">
      <w:pPr>
        <w:pStyle w:val="TxBrc15"/>
        <w:tabs>
          <w:tab w:val="left" w:pos="5663"/>
        </w:tabs>
        <w:spacing w:line="240" w:lineRule="auto"/>
        <w:outlineLvl w:val="0"/>
        <w:rPr>
          <w:rFonts w:ascii="Times New Roman" w:hAnsi="Times New Roman" w:cs="Times New Roman"/>
          <w:b/>
          <w:bCs/>
        </w:rPr>
      </w:pPr>
      <w:r w:rsidRPr="00DD45F7">
        <w:rPr>
          <w:rFonts w:ascii="Times New Roman" w:hAnsi="Times New Roman" w:cs="Times New Roman"/>
          <w:b/>
          <w:bCs/>
        </w:rPr>
        <w:t>Washington, D.C.  20554</w:t>
      </w:r>
    </w:p>
    <w:p w:rsidR="00387178" w:rsidRPr="00DD45F7" w:rsidRDefault="00387178" w:rsidP="00387178">
      <w:pPr>
        <w:spacing w:after="0" w:line="240" w:lineRule="auto"/>
        <w:rPr>
          <w:rFonts w:ascii="Times New Roman" w:hAnsi="Times New Roman" w:cs="Times New Roman"/>
          <w:b/>
          <w:bCs/>
          <w:sz w:val="24"/>
          <w:szCs w:val="24"/>
        </w:rPr>
      </w:pPr>
    </w:p>
    <w:tbl>
      <w:tblPr>
        <w:tblW w:w="0" w:type="auto"/>
        <w:tblLayout w:type="fixed"/>
        <w:tblLook w:val="0000" w:firstRow="0" w:lastRow="0" w:firstColumn="0" w:lastColumn="0" w:noHBand="0" w:noVBand="0"/>
      </w:tblPr>
      <w:tblGrid>
        <w:gridCol w:w="4698"/>
        <w:gridCol w:w="630"/>
        <w:gridCol w:w="4248"/>
      </w:tblGrid>
      <w:tr w:rsidR="00387178" w:rsidRPr="00DD45F7" w:rsidTr="00B002D5">
        <w:tc>
          <w:tcPr>
            <w:tcW w:w="4698" w:type="dxa"/>
          </w:tcPr>
          <w:p w:rsidR="00387178" w:rsidRPr="00DD45F7" w:rsidRDefault="00387178" w:rsidP="00387178">
            <w:pPr>
              <w:tabs>
                <w:tab w:val="center" w:pos="4680"/>
              </w:tabs>
              <w:suppressAutoHyphens/>
              <w:spacing w:after="0" w:line="240" w:lineRule="auto"/>
              <w:rPr>
                <w:rFonts w:ascii="Times New Roman" w:hAnsi="Times New Roman" w:cs="Times New Roman"/>
                <w:spacing w:val="-2"/>
                <w:sz w:val="24"/>
                <w:szCs w:val="24"/>
              </w:rPr>
            </w:pPr>
            <w:r w:rsidRPr="00DD45F7">
              <w:rPr>
                <w:rFonts w:ascii="Times New Roman" w:hAnsi="Times New Roman" w:cs="Times New Roman"/>
                <w:spacing w:val="-2"/>
                <w:sz w:val="24"/>
                <w:szCs w:val="24"/>
              </w:rPr>
              <w:t>In the Matter of</w:t>
            </w:r>
          </w:p>
          <w:p w:rsidR="00387178" w:rsidRPr="00DD45F7" w:rsidRDefault="00387178" w:rsidP="00387178">
            <w:pPr>
              <w:tabs>
                <w:tab w:val="center" w:pos="4680"/>
              </w:tabs>
              <w:suppressAutoHyphens/>
              <w:spacing w:after="0" w:line="240" w:lineRule="auto"/>
              <w:rPr>
                <w:rFonts w:ascii="Times New Roman" w:hAnsi="Times New Roman" w:cs="Times New Roman"/>
                <w:spacing w:val="-2"/>
                <w:sz w:val="24"/>
                <w:szCs w:val="24"/>
              </w:rPr>
            </w:pPr>
          </w:p>
          <w:p w:rsidR="00387178" w:rsidRPr="00DD45F7" w:rsidRDefault="00387178" w:rsidP="00387178">
            <w:pPr>
              <w:tabs>
                <w:tab w:val="center" w:pos="4680"/>
              </w:tabs>
              <w:suppressAutoHyphens/>
              <w:spacing w:after="0" w:line="240" w:lineRule="auto"/>
              <w:rPr>
                <w:rFonts w:ascii="Times New Roman" w:hAnsi="Times New Roman" w:cs="Times New Roman"/>
                <w:spacing w:val="-2"/>
                <w:sz w:val="24"/>
                <w:szCs w:val="24"/>
              </w:rPr>
            </w:pPr>
            <w:r w:rsidRPr="00DD45F7">
              <w:rPr>
                <w:rFonts w:ascii="Times New Roman" w:hAnsi="Times New Roman" w:cs="Times New Roman"/>
                <w:spacing w:val="-2"/>
                <w:sz w:val="24"/>
                <w:szCs w:val="24"/>
              </w:rPr>
              <w:t>Accelerating Wireline Broadband Deployment by Removing Barriers to Infrastructure Investment</w:t>
            </w:r>
          </w:p>
          <w:p w:rsidR="00387178" w:rsidRPr="00DD45F7" w:rsidRDefault="00387178" w:rsidP="00387178">
            <w:pPr>
              <w:spacing w:after="0" w:line="240" w:lineRule="auto"/>
              <w:rPr>
                <w:rFonts w:ascii="Times New Roman" w:hAnsi="Times New Roman" w:cs="Times New Roman"/>
                <w:sz w:val="24"/>
                <w:szCs w:val="24"/>
              </w:rPr>
            </w:pPr>
          </w:p>
          <w:p w:rsidR="00387178" w:rsidRPr="00DD45F7" w:rsidRDefault="00387178" w:rsidP="00387178">
            <w:pPr>
              <w:tabs>
                <w:tab w:val="center" w:pos="4680"/>
              </w:tabs>
              <w:suppressAutoHyphens/>
              <w:spacing w:after="0" w:line="240" w:lineRule="auto"/>
              <w:rPr>
                <w:rFonts w:ascii="Times New Roman" w:hAnsi="Times New Roman" w:cs="Times New Roman"/>
                <w:spacing w:val="-2"/>
                <w:sz w:val="24"/>
                <w:szCs w:val="24"/>
              </w:rPr>
            </w:pPr>
          </w:p>
        </w:tc>
        <w:tc>
          <w:tcPr>
            <w:tcW w:w="630" w:type="dxa"/>
          </w:tcPr>
          <w:p w:rsidR="00387178" w:rsidRPr="00DD45F7" w:rsidRDefault="00387178" w:rsidP="00387178">
            <w:pPr>
              <w:tabs>
                <w:tab w:val="center" w:pos="4680"/>
              </w:tabs>
              <w:suppressAutoHyphens/>
              <w:spacing w:after="0" w:line="240" w:lineRule="auto"/>
              <w:rPr>
                <w:rFonts w:ascii="Times New Roman" w:hAnsi="Times New Roman" w:cs="Times New Roman"/>
                <w:b/>
                <w:spacing w:val="-2"/>
                <w:sz w:val="24"/>
                <w:szCs w:val="24"/>
              </w:rPr>
            </w:pPr>
            <w:r w:rsidRPr="00DD45F7">
              <w:rPr>
                <w:rFonts w:ascii="Times New Roman" w:hAnsi="Times New Roman" w:cs="Times New Roman"/>
                <w:b/>
                <w:spacing w:val="-2"/>
                <w:sz w:val="24"/>
                <w:szCs w:val="24"/>
              </w:rPr>
              <w:t>)</w:t>
            </w:r>
          </w:p>
          <w:p w:rsidR="00387178" w:rsidRPr="00DD45F7" w:rsidRDefault="00387178" w:rsidP="00387178">
            <w:pPr>
              <w:tabs>
                <w:tab w:val="center" w:pos="4680"/>
              </w:tabs>
              <w:suppressAutoHyphens/>
              <w:spacing w:after="0" w:line="240" w:lineRule="auto"/>
              <w:rPr>
                <w:rFonts w:ascii="Times New Roman" w:hAnsi="Times New Roman" w:cs="Times New Roman"/>
                <w:b/>
                <w:spacing w:val="-2"/>
                <w:sz w:val="24"/>
                <w:szCs w:val="24"/>
              </w:rPr>
            </w:pPr>
            <w:r w:rsidRPr="00DD45F7">
              <w:rPr>
                <w:rFonts w:ascii="Times New Roman" w:hAnsi="Times New Roman" w:cs="Times New Roman"/>
                <w:b/>
                <w:spacing w:val="-2"/>
                <w:sz w:val="24"/>
                <w:szCs w:val="24"/>
              </w:rPr>
              <w:t>)</w:t>
            </w:r>
          </w:p>
          <w:p w:rsidR="00387178" w:rsidRPr="00DD45F7" w:rsidRDefault="00387178" w:rsidP="00387178">
            <w:pPr>
              <w:tabs>
                <w:tab w:val="center" w:pos="4680"/>
              </w:tabs>
              <w:suppressAutoHyphens/>
              <w:spacing w:after="0" w:line="240" w:lineRule="auto"/>
              <w:rPr>
                <w:rFonts w:ascii="Times New Roman" w:hAnsi="Times New Roman" w:cs="Times New Roman"/>
                <w:b/>
                <w:spacing w:val="-2"/>
                <w:sz w:val="24"/>
                <w:szCs w:val="24"/>
              </w:rPr>
            </w:pPr>
            <w:r w:rsidRPr="00DD45F7">
              <w:rPr>
                <w:rFonts w:ascii="Times New Roman" w:hAnsi="Times New Roman" w:cs="Times New Roman"/>
                <w:b/>
                <w:spacing w:val="-2"/>
                <w:sz w:val="24"/>
                <w:szCs w:val="24"/>
              </w:rPr>
              <w:t>)</w:t>
            </w:r>
          </w:p>
          <w:p w:rsidR="00387178" w:rsidRPr="00DD45F7" w:rsidRDefault="00387178" w:rsidP="00387178">
            <w:pPr>
              <w:tabs>
                <w:tab w:val="center" w:pos="4680"/>
              </w:tabs>
              <w:suppressAutoHyphens/>
              <w:spacing w:after="0" w:line="240" w:lineRule="auto"/>
              <w:rPr>
                <w:rFonts w:ascii="Times New Roman" w:hAnsi="Times New Roman" w:cs="Times New Roman"/>
                <w:b/>
                <w:spacing w:val="-2"/>
                <w:sz w:val="24"/>
                <w:szCs w:val="24"/>
              </w:rPr>
            </w:pPr>
            <w:r w:rsidRPr="00DD45F7">
              <w:rPr>
                <w:rFonts w:ascii="Times New Roman" w:hAnsi="Times New Roman" w:cs="Times New Roman"/>
                <w:b/>
                <w:spacing w:val="-2"/>
                <w:sz w:val="24"/>
                <w:szCs w:val="24"/>
              </w:rPr>
              <w:t>)</w:t>
            </w:r>
          </w:p>
          <w:p w:rsidR="00387178" w:rsidRPr="00DD45F7" w:rsidRDefault="00387178" w:rsidP="00387178">
            <w:pPr>
              <w:tabs>
                <w:tab w:val="center" w:pos="4680"/>
              </w:tabs>
              <w:suppressAutoHyphens/>
              <w:spacing w:after="0" w:line="240" w:lineRule="auto"/>
              <w:rPr>
                <w:rFonts w:ascii="Times New Roman" w:hAnsi="Times New Roman" w:cs="Times New Roman"/>
                <w:b/>
                <w:spacing w:val="-2"/>
                <w:sz w:val="24"/>
                <w:szCs w:val="24"/>
              </w:rPr>
            </w:pPr>
            <w:r w:rsidRPr="00DD45F7">
              <w:rPr>
                <w:rFonts w:ascii="Times New Roman" w:hAnsi="Times New Roman" w:cs="Times New Roman"/>
                <w:b/>
                <w:spacing w:val="-2"/>
                <w:sz w:val="24"/>
                <w:szCs w:val="24"/>
              </w:rPr>
              <w:t>)</w:t>
            </w:r>
          </w:p>
          <w:p w:rsidR="00387178" w:rsidRPr="00DD45F7" w:rsidRDefault="00387178" w:rsidP="00387178">
            <w:pPr>
              <w:tabs>
                <w:tab w:val="center" w:pos="4680"/>
              </w:tabs>
              <w:suppressAutoHyphens/>
              <w:spacing w:after="0" w:line="240" w:lineRule="auto"/>
              <w:rPr>
                <w:rFonts w:ascii="Times New Roman" w:hAnsi="Times New Roman" w:cs="Times New Roman"/>
                <w:b/>
                <w:spacing w:val="-2"/>
                <w:sz w:val="24"/>
                <w:szCs w:val="24"/>
              </w:rPr>
            </w:pPr>
          </w:p>
          <w:p w:rsidR="00387178" w:rsidRPr="00DD45F7" w:rsidRDefault="00387178" w:rsidP="00387178">
            <w:pPr>
              <w:tabs>
                <w:tab w:val="center" w:pos="4680"/>
              </w:tabs>
              <w:suppressAutoHyphens/>
              <w:spacing w:after="0" w:line="240" w:lineRule="auto"/>
              <w:rPr>
                <w:rFonts w:ascii="Times New Roman" w:hAnsi="Times New Roman" w:cs="Times New Roman"/>
                <w:b/>
                <w:spacing w:val="-2"/>
                <w:sz w:val="24"/>
                <w:szCs w:val="24"/>
              </w:rPr>
            </w:pPr>
          </w:p>
        </w:tc>
        <w:tc>
          <w:tcPr>
            <w:tcW w:w="4248" w:type="dxa"/>
          </w:tcPr>
          <w:p w:rsidR="00387178" w:rsidRPr="00DD45F7" w:rsidRDefault="00387178" w:rsidP="00387178">
            <w:pPr>
              <w:tabs>
                <w:tab w:val="center" w:pos="4680"/>
              </w:tabs>
              <w:suppressAutoHyphens/>
              <w:spacing w:after="0" w:line="240" w:lineRule="auto"/>
              <w:rPr>
                <w:rFonts w:ascii="Times New Roman" w:hAnsi="Times New Roman" w:cs="Times New Roman"/>
                <w:spacing w:val="-2"/>
                <w:sz w:val="24"/>
                <w:szCs w:val="24"/>
              </w:rPr>
            </w:pPr>
          </w:p>
          <w:p w:rsidR="00387178" w:rsidRPr="00DD45F7" w:rsidRDefault="00387178" w:rsidP="00387178">
            <w:pPr>
              <w:pStyle w:val="TOAHeading"/>
              <w:tabs>
                <w:tab w:val="clear" w:pos="9360"/>
                <w:tab w:val="center" w:pos="4680"/>
              </w:tabs>
              <w:rPr>
                <w:spacing w:val="-2"/>
                <w:sz w:val="24"/>
                <w:szCs w:val="24"/>
              </w:rPr>
            </w:pPr>
          </w:p>
          <w:p w:rsidR="00387178" w:rsidRPr="00DD45F7" w:rsidRDefault="00387178" w:rsidP="00387178">
            <w:pPr>
              <w:tabs>
                <w:tab w:val="center" w:pos="4680"/>
              </w:tabs>
              <w:suppressAutoHyphens/>
              <w:spacing w:after="0" w:line="240" w:lineRule="auto"/>
              <w:rPr>
                <w:rFonts w:ascii="Times New Roman" w:hAnsi="Times New Roman" w:cs="Times New Roman"/>
                <w:spacing w:val="-2"/>
                <w:sz w:val="24"/>
                <w:szCs w:val="24"/>
              </w:rPr>
            </w:pPr>
            <w:r w:rsidRPr="00DD45F7">
              <w:rPr>
                <w:rFonts w:ascii="Times New Roman" w:hAnsi="Times New Roman" w:cs="Times New Roman"/>
                <w:spacing w:val="-2"/>
                <w:sz w:val="24"/>
                <w:szCs w:val="24"/>
              </w:rPr>
              <w:t>WC Docket No. 17-84</w:t>
            </w:r>
          </w:p>
          <w:p w:rsidR="00387178" w:rsidRPr="00DD45F7" w:rsidRDefault="00387178" w:rsidP="00387178">
            <w:pPr>
              <w:tabs>
                <w:tab w:val="center" w:pos="4680"/>
              </w:tabs>
              <w:suppressAutoHyphens/>
              <w:spacing w:after="0" w:line="240" w:lineRule="auto"/>
              <w:rPr>
                <w:rFonts w:ascii="Times New Roman" w:hAnsi="Times New Roman" w:cs="Times New Roman"/>
                <w:sz w:val="24"/>
                <w:szCs w:val="24"/>
              </w:rPr>
            </w:pPr>
          </w:p>
          <w:p w:rsidR="00387178" w:rsidRPr="00DD45F7" w:rsidRDefault="00387178" w:rsidP="00387178">
            <w:pPr>
              <w:tabs>
                <w:tab w:val="center" w:pos="4680"/>
              </w:tabs>
              <w:suppressAutoHyphens/>
              <w:spacing w:after="0" w:line="240" w:lineRule="auto"/>
              <w:rPr>
                <w:rFonts w:ascii="Times New Roman" w:hAnsi="Times New Roman" w:cs="Times New Roman"/>
                <w:sz w:val="24"/>
                <w:szCs w:val="24"/>
              </w:rPr>
            </w:pPr>
          </w:p>
          <w:p w:rsidR="00387178" w:rsidRPr="00DD45F7" w:rsidRDefault="00387178" w:rsidP="00387178">
            <w:pPr>
              <w:tabs>
                <w:tab w:val="center" w:pos="4680"/>
              </w:tabs>
              <w:suppressAutoHyphens/>
              <w:spacing w:after="0" w:line="240" w:lineRule="auto"/>
              <w:rPr>
                <w:rFonts w:ascii="Times New Roman" w:hAnsi="Times New Roman" w:cs="Times New Roman"/>
                <w:spacing w:val="-2"/>
                <w:sz w:val="24"/>
                <w:szCs w:val="24"/>
              </w:rPr>
            </w:pPr>
          </w:p>
        </w:tc>
      </w:tr>
    </w:tbl>
    <w:p w:rsidR="00387178" w:rsidRPr="00DD45F7" w:rsidRDefault="00387178" w:rsidP="00387178">
      <w:pPr>
        <w:spacing w:after="0" w:line="240" w:lineRule="auto"/>
        <w:jc w:val="center"/>
        <w:outlineLvl w:val="0"/>
        <w:rPr>
          <w:rFonts w:ascii="Times New Roman" w:hAnsi="Times New Roman" w:cs="Times New Roman"/>
          <w:b/>
          <w:bCs/>
          <w:sz w:val="24"/>
          <w:szCs w:val="24"/>
        </w:rPr>
      </w:pPr>
      <w:r w:rsidRPr="00DD45F7">
        <w:rPr>
          <w:rFonts w:ascii="Times New Roman" w:hAnsi="Times New Roman" w:cs="Times New Roman"/>
          <w:b/>
          <w:bCs/>
          <w:sz w:val="24"/>
          <w:szCs w:val="24"/>
        </w:rPr>
        <w:t xml:space="preserve">REPLY COMMENTS OF </w:t>
      </w:r>
    </w:p>
    <w:p w:rsidR="00387178" w:rsidRPr="00DD45F7" w:rsidRDefault="00387178" w:rsidP="00387178">
      <w:pPr>
        <w:spacing w:after="0" w:line="240" w:lineRule="auto"/>
        <w:jc w:val="center"/>
        <w:outlineLvl w:val="0"/>
        <w:rPr>
          <w:rFonts w:ascii="Times New Roman" w:hAnsi="Times New Roman" w:cs="Times New Roman"/>
          <w:b/>
          <w:bCs/>
          <w:sz w:val="24"/>
          <w:szCs w:val="24"/>
        </w:rPr>
      </w:pPr>
      <w:r w:rsidRPr="00DD45F7">
        <w:rPr>
          <w:rFonts w:ascii="Times New Roman" w:hAnsi="Times New Roman" w:cs="Times New Roman"/>
          <w:b/>
          <w:bCs/>
          <w:sz w:val="24"/>
          <w:szCs w:val="24"/>
        </w:rPr>
        <w:t>THE PENNSYLVANIA PUBLIC UTILITY COMMISSION</w:t>
      </w:r>
    </w:p>
    <w:p w:rsidR="00387178" w:rsidRPr="00DD45F7" w:rsidRDefault="00387178" w:rsidP="00387178">
      <w:pPr>
        <w:spacing w:after="0" w:line="240" w:lineRule="auto"/>
        <w:jc w:val="center"/>
        <w:outlineLvl w:val="0"/>
        <w:rPr>
          <w:rFonts w:ascii="Times New Roman" w:hAnsi="Times New Roman" w:cs="Times New Roman"/>
          <w:b/>
          <w:bCs/>
          <w:sz w:val="24"/>
          <w:szCs w:val="24"/>
        </w:rPr>
      </w:pPr>
    </w:p>
    <w:p w:rsidR="00387178" w:rsidRPr="00DD45F7" w:rsidRDefault="00387178" w:rsidP="00387178">
      <w:pPr>
        <w:autoSpaceDE w:val="0"/>
        <w:autoSpaceDN w:val="0"/>
        <w:spacing w:line="480" w:lineRule="auto"/>
        <w:ind w:firstLine="720"/>
        <w:rPr>
          <w:rFonts w:ascii="Times New Roman" w:hAnsi="Times New Roman" w:cs="Times New Roman"/>
          <w:bCs/>
          <w:sz w:val="24"/>
          <w:szCs w:val="24"/>
        </w:rPr>
      </w:pPr>
      <w:r w:rsidRPr="00DD45F7">
        <w:rPr>
          <w:rFonts w:ascii="Times New Roman" w:hAnsi="Times New Roman" w:cs="Times New Roman"/>
          <w:color w:val="000000"/>
          <w:spacing w:val="-1"/>
          <w:sz w:val="24"/>
          <w:szCs w:val="24"/>
        </w:rPr>
        <w:t xml:space="preserve">The Pennsylvania Public Utility Commission (Pa. PUC) files these Reply Comments to the </w:t>
      </w:r>
      <w:r w:rsidRPr="00DD45F7">
        <w:rPr>
          <w:rFonts w:ascii="Times New Roman" w:hAnsi="Times New Roman" w:cs="Times New Roman"/>
          <w:i/>
          <w:sz w:val="24"/>
          <w:szCs w:val="24"/>
        </w:rPr>
        <w:t>Report and Order, Declaratory Ruling, and FNPRM</w:t>
      </w:r>
      <w:r w:rsidRPr="003408C2">
        <w:rPr>
          <w:rStyle w:val="FootnoteReference"/>
          <w:rFonts w:ascii="Times New Roman" w:hAnsi="Times New Roman" w:cs="Times New Roman"/>
          <w:sz w:val="24"/>
          <w:szCs w:val="24"/>
        </w:rPr>
        <w:footnoteReference w:id="1"/>
      </w:r>
      <w:r w:rsidRPr="00DD45F7">
        <w:rPr>
          <w:rFonts w:ascii="Times New Roman" w:hAnsi="Times New Roman" w:cs="Times New Roman"/>
          <w:sz w:val="24"/>
          <w:szCs w:val="24"/>
        </w:rPr>
        <w:t xml:space="preserve"> on further changes to the pole attachment rules, network change disclosure processes and </w:t>
      </w:r>
      <w:r w:rsidR="00350285">
        <w:rPr>
          <w:rFonts w:ascii="Times New Roman" w:hAnsi="Times New Roman" w:cs="Times New Roman"/>
          <w:sz w:val="24"/>
          <w:szCs w:val="24"/>
        </w:rPr>
        <w:t>S</w:t>
      </w:r>
      <w:r w:rsidR="00350285" w:rsidRPr="00DD45F7">
        <w:rPr>
          <w:rFonts w:ascii="Times New Roman" w:hAnsi="Times New Roman" w:cs="Times New Roman"/>
          <w:sz w:val="24"/>
          <w:szCs w:val="24"/>
        </w:rPr>
        <w:t xml:space="preserve">ection </w:t>
      </w:r>
      <w:r w:rsidRPr="00DD45F7">
        <w:rPr>
          <w:rFonts w:ascii="Times New Roman" w:hAnsi="Times New Roman" w:cs="Times New Roman"/>
          <w:sz w:val="24"/>
          <w:szCs w:val="24"/>
        </w:rPr>
        <w:t>214(a) discontinuance processes.</w:t>
      </w:r>
      <w:r w:rsidR="00CB1820" w:rsidRPr="00DD45F7">
        <w:rPr>
          <w:rFonts w:ascii="Times New Roman" w:hAnsi="Times New Roman" w:cs="Times New Roman"/>
          <w:sz w:val="24"/>
          <w:szCs w:val="24"/>
        </w:rPr>
        <w:t xml:space="preserve">  </w:t>
      </w:r>
      <w:r w:rsidR="008969A6">
        <w:rPr>
          <w:rFonts w:ascii="Times New Roman" w:hAnsi="Times New Roman" w:cs="Times New Roman"/>
          <w:sz w:val="24"/>
          <w:szCs w:val="24"/>
        </w:rPr>
        <w:t xml:space="preserve">In the </w:t>
      </w:r>
      <w:r w:rsidR="008969A6" w:rsidRPr="008969A6">
        <w:rPr>
          <w:rFonts w:ascii="Times New Roman" w:hAnsi="Times New Roman" w:cs="Times New Roman"/>
          <w:i/>
          <w:sz w:val="24"/>
          <w:szCs w:val="24"/>
        </w:rPr>
        <w:t>FNPRM</w:t>
      </w:r>
      <w:r w:rsidR="008969A6">
        <w:rPr>
          <w:rFonts w:ascii="Times New Roman" w:hAnsi="Times New Roman" w:cs="Times New Roman"/>
          <w:sz w:val="24"/>
          <w:szCs w:val="24"/>
        </w:rPr>
        <w:t xml:space="preserve">, the Federal Communications Commission </w:t>
      </w:r>
      <w:r w:rsidR="00524E78">
        <w:rPr>
          <w:rFonts w:ascii="Times New Roman" w:hAnsi="Times New Roman" w:cs="Times New Roman"/>
          <w:sz w:val="24"/>
          <w:szCs w:val="24"/>
        </w:rPr>
        <w:t xml:space="preserve">(Commission) seeks comment on additional </w:t>
      </w:r>
      <w:r w:rsidR="00524E78" w:rsidRPr="00524E78">
        <w:rPr>
          <w:rFonts w:ascii="Times New Roman" w:hAnsi="Times New Roman" w:cs="Times New Roman"/>
          <w:sz w:val="24"/>
          <w:szCs w:val="24"/>
        </w:rPr>
        <w:t xml:space="preserve">reforms that </w:t>
      </w:r>
      <w:r w:rsidR="00524E78">
        <w:rPr>
          <w:rFonts w:ascii="Times New Roman" w:hAnsi="Times New Roman" w:cs="Times New Roman"/>
          <w:sz w:val="24"/>
          <w:szCs w:val="24"/>
        </w:rPr>
        <w:t xml:space="preserve">it proposes </w:t>
      </w:r>
      <w:r w:rsidR="00524E78" w:rsidRPr="00524E78">
        <w:rPr>
          <w:rFonts w:ascii="Times New Roman" w:hAnsi="Times New Roman" w:cs="Times New Roman"/>
          <w:sz w:val="24"/>
          <w:szCs w:val="24"/>
        </w:rPr>
        <w:t>will better enable providers to invest in next-generation networks.</w:t>
      </w:r>
      <w:r w:rsidR="00524E78">
        <w:rPr>
          <w:rFonts w:ascii="Times New Roman" w:hAnsi="Times New Roman" w:cs="Times New Roman"/>
          <w:sz w:val="24"/>
          <w:szCs w:val="24"/>
        </w:rPr>
        <w:t xml:space="preserve">  </w:t>
      </w:r>
      <w:r w:rsidR="000238EA">
        <w:rPr>
          <w:rFonts w:ascii="Times New Roman" w:hAnsi="Times New Roman" w:cs="Times New Roman"/>
          <w:sz w:val="24"/>
          <w:szCs w:val="24"/>
        </w:rPr>
        <w:t xml:space="preserve">Comments were filed on </w:t>
      </w:r>
      <w:r w:rsidR="003408C2">
        <w:rPr>
          <w:rFonts w:ascii="Times New Roman" w:hAnsi="Times New Roman" w:cs="Times New Roman"/>
          <w:sz w:val="24"/>
          <w:szCs w:val="24"/>
        </w:rPr>
        <w:t xml:space="preserve">January 17, 2018.  </w:t>
      </w:r>
      <w:r w:rsidRPr="00DD45F7">
        <w:rPr>
          <w:rFonts w:ascii="Times New Roman" w:hAnsi="Times New Roman" w:cs="Times New Roman"/>
          <w:sz w:val="24"/>
          <w:szCs w:val="24"/>
        </w:rPr>
        <w:t>Reply c</w:t>
      </w:r>
      <w:r w:rsidRPr="00DD45F7">
        <w:rPr>
          <w:rFonts w:ascii="Times New Roman" w:hAnsi="Times New Roman" w:cs="Times New Roman"/>
          <w:bCs/>
          <w:sz w:val="24"/>
          <w:szCs w:val="24"/>
        </w:rPr>
        <w:t>omments are due on February 16, 2018.</w:t>
      </w:r>
    </w:p>
    <w:p w:rsidR="00685A67" w:rsidRPr="00685A67" w:rsidRDefault="00685A67" w:rsidP="00387178">
      <w:pPr>
        <w:tabs>
          <w:tab w:val="left" w:pos="720"/>
        </w:tabs>
        <w:autoSpaceDE w:val="0"/>
        <w:autoSpaceDN w:val="0"/>
        <w:adjustRightInd w:val="0"/>
        <w:spacing w:after="0" w:line="480" w:lineRule="auto"/>
        <w:rPr>
          <w:rFonts w:ascii="Times New Roman" w:hAnsi="Times New Roman" w:cs="Times New Roman"/>
          <w:b/>
          <w:sz w:val="24"/>
          <w:szCs w:val="24"/>
        </w:rPr>
      </w:pPr>
      <w:r w:rsidRPr="00685A67">
        <w:rPr>
          <w:rFonts w:ascii="Times New Roman" w:hAnsi="Times New Roman" w:cs="Times New Roman"/>
          <w:b/>
          <w:sz w:val="24"/>
          <w:szCs w:val="24"/>
        </w:rPr>
        <w:t>Introduction</w:t>
      </w:r>
      <w:r w:rsidR="00387178" w:rsidRPr="00685A67">
        <w:rPr>
          <w:rFonts w:ascii="Times New Roman" w:hAnsi="Times New Roman" w:cs="Times New Roman"/>
          <w:b/>
          <w:sz w:val="24"/>
          <w:szCs w:val="24"/>
        </w:rPr>
        <w:tab/>
      </w:r>
    </w:p>
    <w:p w:rsidR="001D7555" w:rsidRPr="00DD45F7" w:rsidRDefault="00685A67" w:rsidP="00387178">
      <w:pPr>
        <w:tabs>
          <w:tab w:val="left" w:pos="720"/>
        </w:tabs>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3162DB" w:rsidRPr="00DD45F7">
        <w:rPr>
          <w:rFonts w:ascii="Times New Roman" w:hAnsi="Times New Roman" w:cs="Times New Roman"/>
          <w:sz w:val="24"/>
          <w:szCs w:val="24"/>
        </w:rPr>
        <w:t>The Pa</w:t>
      </w:r>
      <w:r w:rsidR="00D73B67" w:rsidRPr="00DD45F7">
        <w:rPr>
          <w:rFonts w:ascii="Times New Roman" w:hAnsi="Times New Roman" w:cs="Times New Roman"/>
          <w:sz w:val="24"/>
          <w:szCs w:val="24"/>
        </w:rPr>
        <w:t xml:space="preserve">. </w:t>
      </w:r>
      <w:r w:rsidR="003162DB" w:rsidRPr="00DD45F7">
        <w:rPr>
          <w:rFonts w:ascii="Times New Roman" w:hAnsi="Times New Roman" w:cs="Times New Roman"/>
          <w:sz w:val="24"/>
          <w:szCs w:val="24"/>
        </w:rPr>
        <w:t xml:space="preserve">PUC </w:t>
      </w:r>
      <w:r w:rsidR="00B426B3">
        <w:rPr>
          <w:rFonts w:ascii="Times New Roman" w:hAnsi="Times New Roman" w:cs="Times New Roman"/>
          <w:sz w:val="24"/>
          <w:szCs w:val="24"/>
        </w:rPr>
        <w:t>supports</w:t>
      </w:r>
      <w:r w:rsidR="001D7555" w:rsidRPr="00DD45F7">
        <w:rPr>
          <w:rFonts w:ascii="Times New Roman" w:hAnsi="Times New Roman" w:cs="Times New Roman"/>
          <w:sz w:val="24"/>
          <w:szCs w:val="24"/>
        </w:rPr>
        <w:t xml:space="preserve"> the Commission’s efforts to ensure its rules allow carriers to invest in modern networks.  </w:t>
      </w:r>
      <w:r w:rsidR="003408C2">
        <w:rPr>
          <w:rFonts w:ascii="Times New Roman" w:hAnsi="Times New Roman" w:cs="Times New Roman"/>
          <w:sz w:val="24"/>
          <w:szCs w:val="24"/>
        </w:rPr>
        <w:t xml:space="preserve">While </w:t>
      </w:r>
      <w:r w:rsidR="003162DB" w:rsidRPr="00DD45F7">
        <w:rPr>
          <w:rFonts w:ascii="Times New Roman" w:hAnsi="Times New Roman" w:cs="Times New Roman"/>
          <w:sz w:val="24"/>
          <w:szCs w:val="24"/>
        </w:rPr>
        <w:t>accelerating technology transitions</w:t>
      </w:r>
      <w:r w:rsidR="000C56D4" w:rsidRPr="00DD45F7">
        <w:rPr>
          <w:rFonts w:ascii="Times New Roman" w:hAnsi="Times New Roman" w:cs="Times New Roman"/>
          <w:sz w:val="24"/>
          <w:szCs w:val="24"/>
        </w:rPr>
        <w:t xml:space="preserve"> and encouraging investment in next-generation networks</w:t>
      </w:r>
      <w:r w:rsidR="001D7555" w:rsidRPr="00DD45F7">
        <w:rPr>
          <w:rFonts w:ascii="Times New Roman" w:hAnsi="Times New Roman" w:cs="Times New Roman"/>
          <w:sz w:val="24"/>
          <w:szCs w:val="24"/>
        </w:rPr>
        <w:t xml:space="preserve"> is laudable</w:t>
      </w:r>
      <w:r w:rsidR="00595C69" w:rsidRPr="00DD45F7">
        <w:rPr>
          <w:rFonts w:ascii="Times New Roman" w:hAnsi="Times New Roman" w:cs="Times New Roman"/>
          <w:sz w:val="24"/>
          <w:szCs w:val="24"/>
        </w:rPr>
        <w:t xml:space="preserve">, </w:t>
      </w:r>
      <w:r w:rsidR="003162DB" w:rsidRPr="00DD45F7">
        <w:rPr>
          <w:rFonts w:ascii="Times New Roman" w:hAnsi="Times New Roman" w:cs="Times New Roman"/>
          <w:sz w:val="24"/>
          <w:szCs w:val="24"/>
        </w:rPr>
        <w:t xml:space="preserve">the </w:t>
      </w:r>
      <w:r w:rsidR="001D7555" w:rsidRPr="00DD45F7">
        <w:rPr>
          <w:rFonts w:ascii="Times New Roman" w:hAnsi="Times New Roman" w:cs="Times New Roman"/>
          <w:sz w:val="24"/>
          <w:szCs w:val="24"/>
        </w:rPr>
        <w:t xml:space="preserve">Commission </w:t>
      </w:r>
      <w:r w:rsidR="00B426B3">
        <w:rPr>
          <w:rFonts w:ascii="Times New Roman" w:hAnsi="Times New Roman" w:cs="Times New Roman"/>
          <w:sz w:val="24"/>
          <w:szCs w:val="24"/>
        </w:rPr>
        <w:t>must</w:t>
      </w:r>
      <w:r w:rsidR="00B426B3" w:rsidRPr="00DD45F7">
        <w:rPr>
          <w:rFonts w:ascii="Times New Roman" w:hAnsi="Times New Roman" w:cs="Times New Roman"/>
          <w:sz w:val="24"/>
          <w:szCs w:val="24"/>
        </w:rPr>
        <w:t xml:space="preserve"> </w:t>
      </w:r>
      <w:r w:rsidR="006D1314">
        <w:rPr>
          <w:rFonts w:ascii="Times New Roman" w:hAnsi="Times New Roman" w:cs="Times New Roman"/>
          <w:sz w:val="24"/>
          <w:szCs w:val="24"/>
        </w:rPr>
        <w:t>do so in a manner that respects state law</w:t>
      </w:r>
      <w:r w:rsidR="003408C2">
        <w:rPr>
          <w:rFonts w:ascii="Times New Roman" w:hAnsi="Times New Roman" w:cs="Times New Roman"/>
          <w:sz w:val="24"/>
          <w:szCs w:val="24"/>
        </w:rPr>
        <w:t xml:space="preserve">, where applicable, and </w:t>
      </w:r>
      <w:r w:rsidR="006D1314">
        <w:rPr>
          <w:rFonts w:ascii="Times New Roman" w:hAnsi="Times New Roman" w:cs="Times New Roman"/>
          <w:sz w:val="24"/>
          <w:szCs w:val="24"/>
        </w:rPr>
        <w:t xml:space="preserve">continues to be </w:t>
      </w:r>
      <w:r w:rsidR="003162DB" w:rsidRPr="00DD45F7">
        <w:rPr>
          <w:rFonts w:ascii="Times New Roman" w:hAnsi="Times New Roman" w:cs="Times New Roman"/>
          <w:sz w:val="24"/>
          <w:szCs w:val="24"/>
        </w:rPr>
        <w:t xml:space="preserve">mindful of </w:t>
      </w:r>
      <w:r w:rsidR="003408C2">
        <w:rPr>
          <w:rFonts w:ascii="Times New Roman" w:hAnsi="Times New Roman" w:cs="Times New Roman"/>
          <w:sz w:val="24"/>
          <w:szCs w:val="24"/>
        </w:rPr>
        <w:t xml:space="preserve">the Commission’s need </w:t>
      </w:r>
      <w:r w:rsidR="00B42D37">
        <w:rPr>
          <w:rFonts w:ascii="Times New Roman" w:hAnsi="Times New Roman" w:cs="Times New Roman"/>
          <w:sz w:val="24"/>
          <w:szCs w:val="24"/>
        </w:rPr>
        <w:t xml:space="preserve">to </w:t>
      </w:r>
      <w:r w:rsidR="003162DB" w:rsidRPr="00DD45F7">
        <w:rPr>
          <w:rFonts w:ascii="Times New Roman" w:hAnsi="Times New Roman" w:cs="Times New Roman"/>
          <w:sz w:val="24"/>
          <w:szCs w:val="24"/>
        </w:rPr>
        <w:t>balanc</w:t>
      </w:r>
      <w:r w:rsidR="00B426B3">
        <w:rPr>
          <w:rFonts w:ascii="Times New Roman" w:hAnsi="Times New Roman" w:cs="Times New Roman"/>
          <w:sz w:val="24"/>
          <w:szCs w:val="24"/>
        </w:rPr>
        <w:t>e</w:t>
      </w:r>
      <w:r w:rsidR="003162DB" w:rsidRPr="00DD45F7">
        <w:rPr>
          <w:rFonts w:ascii="Times New Roman" w:hAnsi="Times New Roman" w:cs="Times New Roman"/>
          <w:sz w:val="24"/>
          <w:szCs w:val="24"/>
        </w:rPr>
        <w:t xml:space="preserve"> its desire to minimize the burden of transitioning from legacy to next-generation technologies w</w:t>
      </w:r>
      <w:r w:rsidR="00595C69" w:rsidRPr="00DD45F7">
        <w:rPr>
          <w:rFonts w:ascii="Times New Roman" w:hAnsi="Times New Roman" w:cs="Times New Roman"/>
          <w:sz w:val="24"/>
          <w:szCs w:val="24"/>
        </w:rPr>
        <w:t xml:space="preserve">ith </w:t>
      </w:r>
      <w:r w:rsidR="006D1314">
        <w:rPr>
          <w:rFonts w:ascii="Times New Roman" w:hAnsi="Times New Roman" w:cs="Times New Roman"/>
          <w:sz w:val="24"/>
          <w:szCs w:val="24"/>
        </w:rPr>
        <w:t>the FCC</w:t>
      </w:r>
      <w:r w:rsidR="003408C2">
        <w:rPr>
          <w:rFonts w:ascii="Times New Roman" w:hAnsi="Times New Roman" w:cs="Times New Roman"/>
          <w:sz w:val="24"/>
          <w:szCs w:val="24"/>
        </w:rPr>
        <w:t xml:space="preserve">’s </w:t>
      </w:r>
      <w:r w:rsidR="006D1314">
        <w:rPr>
          <w:rFonts w:ascii="Times New Roman" w:hAnsi="Times New Roman" w:cs="Times New Roman"/>
          <w:sz w:val="24"/>
          <w:szCs w:val="24"/>
        </w:rPr>
        <w:t xml:space="preserve">and </w:t>
      </w:r>
      <w:r w:rsidR="003408C2">
        <w:rPr>
          <w:rFonts w:ascii="Times New Roman" w:hAnsi="Times New Roman" w:cs="Times New Roman"/>
          <w:sz w:val="24"/>
          <w:szCs w:val="24"/>
        </w:rPr>
        <w:t xml:space="preserve">the </w:t>
      </w:r>
      <w:r w:rsidR="006D1314">
        <w:rPr>
          <w:rFonts w:ascii="Times New Roman" w:hAnsi="Times New Roman" w:cs="Times New Roman"/>
          <w:sz w:val="24"/>
          <w:szCs w:val="24"/>
        </w:rPr>
        <w:t xml:space="preserve">states’ </w:t>
      </w:r>
      <w:r w:rsidR="003408C2">
        <w:rPr>
          <w:rFonts w:ascii="Times New Roman" w:hAnsi="Times New Roman" w:cs="Times New Roman"/>
          <w:sz w:val="24"/>
          <w:szCs w:val="24"/>
        </w:rPr>
        <w:t xml:space="preserve">joint and several </w:t>
      </w:r>
      <w:r w:rsidR="00595C69" w:rsidRPr="00DD45F7">
        <w:rPr>
          <w:rFonts w:ascii="Times New Roman" w:hAnsi="Times New Roman" w:cs="Times New Roman"/>
          <w:sz w:val="24"/>
          <w:szCs w:val="24"/>
        </w:rPr>
        <w:t xml:space="preserve">responsibility to </w:t>
      </w:r>
      <w:r w:rsidR="003162DB" w:rsidRPr="00DD45F7">
        <w:rPr>
          <w:rFonts w:ascii="Times New Roman" w:hAnsi="Times New Roman" w:cs="Times New Roman"/>
          <w:sz w:val="24"/>
          <w:szCs w:val="24"/>
        </w:rPr>
        <w:t>protect</w:t>
      </w:r>
      <w:r w:rsidR="00595C69" w:rsidRPr="00DD45F7">
        <w:rPr>
          <w:rFonts w:ascii="Times New Roman" w:hAnsi="Times New Roman" w:cs="Times New Roman"/>
          <w:sz w:val="24"/>
          <w:szCs w:val="24"/>
        </w:rPr>
        <w:t xml:space="preserve"> </w:t>
      </w:r>
      <w:r w:rsidR="003162DB" w:rsidRPr="00DD45F7">
        <w:rPr>
          <w:rFonts w:ascii="Times New Roman" w:hAnsi="Times New Roman" w:cs="Times New Roman"/>
          <w:sz w:val="24"/>
          <w:szCs w:val="24"/>
        </w:rPr>
        <w:t xml:space="preserve">consumers.  </w:t>
      </w:r>
    </w:p>
    <w:p w:rsidR="003408C2" w:rsidRDefault="00DC1960" w:rsidP="001D7555">
      <w:pPr>
        <w:tabs>
          <w:tab w:val="left" w:pos="720"/>
        </w:tabs>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t>To be clear, t</w:t>
      </w:r>
      <w:r w:rsidR="003162DB" w:rsidRPr="00DD45F7">
        <w:rPr>
          <w:rFonts w:ascii="Times New Roman" w:hAnsi="Times New Roman" w:cs="Times New Roman"/>
          <w:sz w:val="24"/>
          <w:szCs w:val="24"/>
        </w:rPr>
        <w:t>he Pa</w:t>
      </w:r>
      <w:r w:rsidR="00D73B67" w:rsidRPr="00DD45F7">
        <w:rPr>
          <w:rFonts w:ascii="Times New Roman" w:hAnsi="Times New Roman" w:cs="Times New Roman"/>
          <w:sz w:val="24"/>
          <w:szCs w:val="24"/>
        </w:rPr>
        <w:t xml:space="preserve">. </w:t>
      </w:r>
      <w:r w:rsidR="003162DB" w:rsidRPr="00DD45F7">
        <w:rPr>
          <w:rFonts w:ascii="Times New Roman" w:hAnsi="Times New Roman" w:cs="Times New Roman"/>
          <w:sz w:val="24"/>
          <w:szCs w:val="24"/>
        </w:rPr>
        <w:t xml:space="preserve">PUC does not </w:t>
      </w:r>
      <w:r w:rsidR="006D1314">
        <w:rPr>
          <w:rFonts w:ascii="Times New Roman" w:hAnsi="Times New Roman" w:cs="Times New Roman"/>
          <w:sz w:val="24"/>
          <w:szCs w:val="24"/>
        </w:rPr>
        <w:t xml:space="preserve">support the maintenance of legacy networks in perpetuity when alternative and more advanced facilities and their ensuing services become available.  However, in encouraging the deployment of advanced networks and services, the </w:t>
      </w:r>
      <w:r w:rsidR="003162DB" w:rsidRPr="00DD45F7">
        <w:rPr>
          <w:rFonts w:ascii="Times New Roman" w:hAnsi="Times New Roman" w:cs="Times New Roman"/>
          <w:sz w:val="24"/>
          <w:szCs w:val="24"/>
        </w:rPr>
        <w:t xml:space="preserve">Commission should </w:t>
      </w:r>
      <w:r w:rsidR="00595C69" w:rsidRPr="00DD45F7">
        <w:rPr>
          <w:rFonts w:ascii="Times New Roman" w:hAnsi="Times New Roman" w:cs="Times New Roman"/>
          <w:sz w:val="24"/>
          <w:szCs w:val="24"/>
        </w:rPr>
        <w:t xml:space="preserve">refrain from adopting any proposals that would undercut its role to ensure </w:t>
      </w:r>
      <w:r w:rsidR="00654EF5">
        <w:rPr>
          <w:rFonts w:ascii="Times New Roman" w:hAnsi="Times New Roman" w:cs="Times New Roman"/>
          <w:sz w:val="24"/>
          <w:szCs w:val="24"/>
        </w:rPr>
        <w:t>that</w:t>
      </w:r>
      <w:r w:rsidR="00350285">
        <w:rPr>
          <w:rFonts w:ascii="Times New Roman" w:hAnsi="Times New Roman" w:cs="Times New Roman"/>
          <w:sz w:val="24"/>
          <w:szCs w:val="24"/>
        </w:rPr>
        <w:t xml:space="preserve">: (1) </w:t>
      </w:r>
      <w:r w:rsidR="00595C69" w:rsidRPr="00DD45F7">
        <w:rPr>
          <w:rFonts w:ascii="Times New Roman" w:hAnsi="Times New Roman" w:cs="Times New Roman"/>
          <w:sz w:val="24"/>
          <w:szCs w:val="24"/>
        </w:rPr>
        <w:t xml:space="preserve">consumers have adequate </w:t>
      </w:r>
      <w:r w:rsidR="004233CD">
        <w:rPr>
          <w:rFonts w:ascii="Times New Roman" w:hAnsi="Times New Roman" w:cs="Times New Roman"/>
          <w:sz w:val="24"/>
          <w:szCs w:val="24"/>
        </w:rPr>
        <w:t xml:space="preserve">and reliable </w:t>
      </w:r>
      <w:r w:rsidR="003408C2">
        <w:rPr>
          <w:rFonts w:ascii="Times New Roman" w:hAnsi="Times New Roman" w:cs="Times New Roman"/>
          <w:sz w:val="24"/>
          <w:szCs w:val="24"/>
        </w:rPr>
        <w:t xml:space="preserve">common carrier </w:t>
      </w:r>
      <w:r w:rsidR="00595C69" w:rsidRPr="00DD45F7">
        <w:rPr>
          <w:rFonts w:ascii="Times New Roman" w:hAnsi="Times New Roman" w:cs="Times New Roman"/>
          <w:sz w:val="24"/>
          <w:szCs w:val="24"/>
        </w:rPr>
        <w:t xml:space="preserve">communications </w:t>
      </w:r>
      <w:r w:rsidR="006D1314">
        <w:rPr>
          <w:rFonts w:ascii="Times New Roman" w:hAnsi="Times New Roman" w:cs="Times New Roman"/>
          <w:sz w:val="24"/>
          <w:szCs w:val="24"/>
        </w:rPr>
        <w:t xml:space="preserve">facilities and </w:t>
      </w:r>
      <w:r w:rsidR="00595C69" w:rsidRPr="00DD45F7">
        <w:rPr>
          <w:rFonts w:ascii="Times New Roman" w:hAnsi="Times New Roman" w:cs="Times New Roman"/>
          <w:sz w:val="24"/>
          <w:szCs w:val="24"/>
        </w:rPr>
        <w:t>services during the deployment of next-generation networks</w:t>
      </w:r>
      <w:r w:rsidR="006C205A">
        <w:rPr>
          <w:rFonts w:ascii="Times New Roman" w:hAnsi="Times New Roman" w:cs="Times New Roman"/>
          <w:sz w:val="24"/>
          <w:szCs w:val="24"/>
        </w:rPr>
        <w:t>;</w:t>
      </w:r>
      <w:r w:rsidR="00DD45F7" w:rsidRPr="00DD45F7">
        <w:rPr>
          <w:rFonts w:ascii="Times New Roman" w:hAnsi="Times New Roman" w:cs="Times New Roman"/>
          <w:sz w:val="24"/>
          <w:szCs w:val="24"/>
        </w:rPr>
        <w:t xml:space="preserve"> and </w:t>
      </w:r>
      <w:r w:rsidR="00350285">
        <w:rPr>
          <w:rFonts w:ascii="Times New Roman" w:hAnsi="Times New Roman" w:cs="Times New Roman"/>
          <w:sz w:val="24"/>
          <w:szCs w:val="24"/>
        </w:rPr>
        <w:t>(2)</w:t>
      </w:r>
      <w:r w:rsidR="00350285" w:rsidRPr="00DD45F7">
        <w:rPr>
          <w:rFonts w:ascii="Times New Roman" w:hAnsi="Times New Roman" w:cs="Times New Roman"/>
          <w:sz w:val="24"/>
          <w:szCs w:val="24"/>
        </w:rPr>
        <w:t xml:space="preserve"> </w:t>
      </w:r>
      <w:r w:rsidR="00DD45F7" w:rsidRPr="00DD45F7">
        <w:rPr>
          <w:rFonts w:ascii="Times New Roman" w:hAnsi="Times New Roman" w:cs="Times New Roman"/>
          <w:sz w:val="24"/>
          <w:szCs w:val="24"/>
        </w:rPr>
        <w:t xml:space="preserve">consumers are given the appropriate educational and outreach materials regarding the </w:t>
      </w:r>
      <w:r w:rsidR="00DD45F7" w:rsidRPr="00627A7F">
        <w:rPr>
          <w:rFonts w:ascii="Times New Roman" w:eastAsia="TimesNewRoman" w:hAnsi="Times New Roman" w:cs="Times New Roman"/>
          <w:sz w:val="24"/>
          <w:szCs w:val="24"/>
        </w:rPr>
        <w:t xml:space="preserve">discontinuance of </w:t>
      </w:r>
      <w:r w:rsidR="003408C2">
        <w:rPr>
          <w:rFonts w:ascii="Times New Roman" w:eastAsia="TimesNewRoman" w:hAnsi="Times New Roman" w:cs="Times New Roman"/>
          <w:sz w:val="24"/>
          <w:szCs w:val="24"/>
        </w:rPr>
        <w:t xml:space="preserve">common carrier </w:t>
      </w:r>
      <w:r w:rsidR="006D1314">
        <w:rPr>
          <w:rFonts w:ascii="Times New Roman" w:eastAsia="TimesNewRoman" w:hAnsi="Times New Roman" w:cs="Times New Roman"/>
          <w:sz w:val="24"/>
          <w:szCs w:val="24"/>
        </w:rPr>
        <w:t xml:space="preserve">traditional networks and their related </w:t>
      </w:r>
      <w:r w:rsidR="00DD45F7" w:rsidRPr="00627A7F">
        <w:rPr>
          <w:rFonts w:ascii="Times New Roman" w:eastAsia="TimesNewRoman" w:hAnsi="Times New Roman" w:cs="Times New Roman"/>
          <w:sz w:val="24"/>
          <w:szCs w:val="24"/>
        </w:rPr>
        <w:t>legacy retail services</w:t>
      </w:r>
      <w:r w:rsidR="00595C69" w:rsidRPr="00627A7F">
        <w:rPr>
          <w:rFonts w:ascii="Times New Roman" w:hAnsi="Times New Roman" w:cs="Times New Roman"/>
          <w:sz w:val="24"/>
          <w:szCs w:val="24"/>
        </w:rPr>
        <w:t>.</w:t>
      </w:r>
      <w:r w:rsidR="001D7555" w:rsidRPr="00DD45F7">
        <w:rPr>
          <w:rFonts w:ascii="Times New Roman" w:hAnsi="Times New Roman" w:cs="Times New Roman"/>
          <w:sz w:val="24"/>
          <w:szCs w:val="24"/>
        </w:rPr>
        <w:t xml:space="preserve">  </w:t>
      </w:r>
    </w:p>
    <w:p w:rsidR="00FC367B" w:rsidRPr="00DD45F7" w:rsidRDefault="003408C2" w:rsidP="001D7555">
      <w:pPr>
        <w:tabs>
          <w:tab w:val="left" w:pos="720"/>
        </w:tabs>
        <w:autoSpaceDE w:val="0"/>
        <w:autoSpaceDN w:val="0"/>
        <w:adjustRightInd w:val="0"/>
        <w:spacing w:after="0" w:line="480" w:lineRule="auto"/>
        <w:rPr>
          <w:rFonts w:ascii="Times New Roman" w:hAnsi="Times New Roman" w:cs="Times New Roman"/>
          <w:sz w:val="24"/>
          <w:szCs w:val="24"/>
          <w:lang w:val="en"/>
        </w:rPr>
      </w:pPr>
      <w:r>
        <w:rPr>
          <w:rFonts w:ascii="Times New Roman" w:hAnsi="Times New Roman" w:cs="Times New Roman"/>
          <w:sz w:val="24"/>
          <w:szCs w:val="24"/>
        </w:rPr>
        <w:tab/>
        <w:t xml:space="preserve">Carriers must obtain </w:t>
      </w:r>
      <w:r w:rsidR="006D1314">
        <w:rPr>
          <w:rFonts w:ascii="Times New Roman" w:hAnsi="Times New Roman" w:cs="Times New Roman"/>
          <w:sz w:val="24"/>
          <w:szCs w:val="24"/>
        </w:rPr>
        <w:t xml:space="preserve">Commission and, where appropriate, state authorization before </w:t>
      </w:r>
      <w:r>
        <w:rPr>
          <w:rFonts w:ascii="Times New Roman" w:hAnsi="Times New Roman" w:cs="Times New Roman"/>
          <w:sz w:val="24"/>
          <w:szCs w:val="24"/>
        </w:rPr>
        <w:t xml:space="preserve">they are </w:t>
      </w:r>
      <w:r w:rsidR="006D1314">
        <w:rPr>
          <w:rFonts w:ascii="Times New Roman" w:hAnsi="Times New Roman" w:cs="Times New Roman"/>
          <w:sz w:val="24"/>
          <w:szCs w:val="24"/>
        </w:rPr>
        <w:t xml:space="preserve">permitted to discontinue, reduce, or impair facilities or services provided over those facilities under state and federal law.  </w:t>
      </w:r>
      <w:r w:rsidR="00724A9B" w:rsidRPr="00DD45F7">
        <w:rPr>
          <w:rFonts w:ascii="Times New Roman" w:hAnsi="Times New Roman" w:cs="Times New Roman"/>
          <w:sz w:val="24"/>
          <w:szCs w:val="24"/>
          <w:lang w:val="en"/>
        </w:rPr>
        <w:t xml:space="preserve">The Commission </w:t>
      </w:r>
      <w:r w:rsidR="007E58A5">
        <w:rPr>
          <w:rFonts w:ascii="Times New Roman" w:hAnsi="Times New Roman" w:cs="Times New Roman"/>
          <w:sz w:val="24"/>
          <w:szCs w:val="24"/>
          <w:lang w:val="en"/>
        </w:rPr>
        <w:t xml:space="preserve">also </w:t>
      </w:r>
      <w:r w:rsidR="00724A9B" w:rsidRPr="00DD45F7">
        <w:rPr>
          <w:rFonts w:ascii="Times New Roman" w:hAnsi="Times New Roman" w:cs="Times New Roman"/>
          <w:sz w:val="24"/>
          <w:szCs w:val="24"/>
          <w:lang w:val="en"/>
        </w:rPr>
        <w:t xml:space="preserve">should reject </w:t>
      </w:r>
      <w:r w:rsidR="009E7074">
        <w:rPr>
          <w:rFonts w:ascii="Times New Roman" w:hAnsi="Times New Roman" w:cs="Times New Roman"/>
          <w:sz w:val="24"/>
          <w:szCs w:val="24"/>
          <w:lang w:val="en"/>
        </w:rPr>
        <w:t>all proposals t</w:t>
      </w:r>
      <w:r w:rsidR="00BC53B9">
        <w:rPr>
          <w:rFonts w:ascii="Times New Roman" w:hAnsi="Times New Roman" w:cs="Times New Roman"/>
          <w:sz w:val="24"/>
          <w:szCs w:val="24"/>
          <w:lang w:val="en"/>
        </w:rPr>
        <w:t>o</w:t>
      </w:r>
      <w:r w:rsidR="009E7074">
        <w:rPr>
          <w:rFonts w:ascii="Times New Roman" w:hAnsi="Times New Roman" w:cs="Times New Roman"/>
          <w:sz w:val="24"/>
          <w:szCs w:val="24"/>
          <w:lang w:val="en"/>
        </w:rPr>
        <w:t xml:space="preserve"> preempt</w:t>
      </w:r>
      <w:r w:rsidR="000C56D4" w:rsidRPr="00DD45F7">
        <w:rPr>
          <w:rFonts w:ascii="Times New Roman" w:hAnsi="Times New Roman" w:cs="Times New Roman"/>
          <w:sz w:val="24"/>
          <w:szCs w:val="24"/>
          <w:lang w:val="en"/>
        </w:rPr>
        <w:t xml:space="preserve"> independent state laws all in the name of promoting technology transitions. </w:t>
      </w:r>
    </w:p>
    <w:p w:rsidR="001D7555" w:rsidRDefault="001D7555" w:rsidP="001D7555">
      <w:pPr>
        <w:spacing w:line="480" w:lineRule="auto"/>
        <w:ind w:firstLine="720"/>
        <w:rPr>
          <w:rFonts w:ascii="Times New Roman" w:eastAsia="Century" w:hAnsi="Times New Roman" w:cs="Times New Roman"/>
          <w:color w:val="000000"/>
          <w:sz w:val="24"/>
          <w:szCs w:val="24"/>
        </w:rPr>
      </w:pPr>
      <w:r w:rsidRPr="00DD45F7">
        <w:rPr>
          <w:rFonts w:ascii="Times New Roman" w:eastAsia="Century" w:hAnsi="Times New Roman" w:cs="Times New Roman"/>
          <w:color w:val="000000"/>
          <w:sz w:val="24"/>
          <w:szCs w:val="24"/>
        </w:rPr>
        <w:t xml:space="preserve">The Pa. PUC appreciates the opportunity to file this reply comment.  As an initial matter, the Pa. PUC’s reply comment should not be construed as binding on the Pa. PUC in any proceeding before the Pa. PUC.  The proposals contained in this reply comment may change in response to subsequent events.  This includes developments at the federal or state level, including the filing of ex parte pleadings.   </w:t>
      </w:r>
    </w:p>
    <w:p w:rsidR="00685A67" w:rsidRPr="00685A67" w:rsidRDefault="00685A67" w:rsidP="00685A67">
      <w:pPr>
        <w:spacing w:line="480" w:lineRule="auto"/>
        <w:rPr>
          <w:rFonts w:ascii="Times New Roman" w:eastAsia="Century" w:hAnsi="Times New Roman" w:cs="Times New Roman"/>
          <w:b/>
          <w:color w:val="000000"/>
          <w:sz w:val="24"/>
          <w:szCs w:val="24"/>
        </w:rPr>
      </w:pPr>
      <w:r w:rsidRPr="00685A67">
        <w:rPr>
          <w:rFonts w:ascii="Times New Roman" w:eastAsia="Century" w:hAnsi="Times New Roman" w:cs="Times New Roman"/>
          <w:b/>
          <w:color w:val="000000"/>
          <w:sz w:val="24"/>
          <w:szCs w:val="24"/>
        </w:rPr>
        <w:t>Executive Summary</w:t>
      </w:r>
    </w:p>
    <w:p w:rsidR="001C1BA3" w:rsidRPr="00B42D37" w:rsidRDefault="00685A67" w:rsidP="001D7555">
      <w:pPr>
        <w:spacing w:line="480" w:lineRule="auto"/>
        <w:ind w:firstLine="720"/>
        <w:rPr>
          <w:rFonts w:ascii="Times New Roman" w:eastAsia="Century" w:hAnsi="Times New Roman" w:cs="Times New Roman"/>
          <w:color w:val="000000"/>
          <w:sz w:val="24"/>
          <w:szCs w:val="24"/>
        </w:rPr>
      </w:pPr>
      <w:r>
        <w:rPr>
          <w:rFonts w:ascii="Times New Roman" w:eastAsia="Century" w:hAnsi="Times New Roman" w:cs="Times New Roman"/>
          <w:color w:val="000000"/>
          <w:sz w:val="24"/>
          <w:szCs w:val="24"/>
        </w:rPr>
        <w:t>T</w:t>
      </w:r>
      <w:r w:rsidR="003408C2" w:rsidRPr="00B42D37">
        <w:rPr>
          <w:rFonts w:ascii="Times New Roman" w:eastAsia="Century" w:hAnsi="Times New Roman" w:cs="Times New Roman"/>
          <w:color w:val="000000"/>
          <w:sz w:val="24"/>
          <w:szCs w:val="24"/>
        </w:rPr>
        <w:t xml:space="preserve">he Pa. PUC believes that calculation of the waiting period under Section 51.333(b) should trigger from the date of FCC notice not the date of filing by a carrier.  </w:t>
      </w:r>
      <w:r w:rsidR="001C1BA3" w:rsidRPr="00B42D37">
        <w:rPr>
          <w:rFonts w:ascii="Times New Roman" w:eastAsia="Century" w:hAnsi="Times New Roman" w:cs="Times New Roman"/>
          <w:color w:val="000000"/>
          <w:sz w:val="24"/>
          <w:szCs w:val="24"/>
        </w:rPr>
        <w:t xml:space="preserve">The Pa. PUC also believes that the Section 51.325(a)(3) and 68.110(b) rules should be retained, particularly for consumers with disabilities or other </w:t>
      </w:r>
      <w:r w:rsidR="00B42D37" w:rsidRPr="00B42D37">
        <w:rPr>
          <w:rFonts w:ascii="Times New Roman" w:eastAsia="Century" w:hAnsi="Times New Roman" w:cs="Times New Roman"/>
          <w:color w:val="000000"/>
          <w:sz w:val="24"/>
          <w:szCs w:val="24"/>
        </w:rPr>
        <w:t xml:space="preserve">technology-sensitive </w:t>
      </w:r>
      <w:r w:rsidR="001C1BA3" w:rsidRPr="00B42D37">
        <w:rPr>
          <w:rFonts w:ascii="Times New Roman" w:eastAsia="Century" w:hAnsi="Times New Roman" w:cs="Times New Roman"/>
          <w:color w:val="000000"/>
          <w:sz w:val="24"/>
          <w:szCs w:val="24"/>
        </w:rPr>
        <w:t>service</w:t>
      </w:r>
      <w:r w:rsidR="00B42D37" w:rsidRPr="00B42D37">
        <w:rPr>
          <w:rFonts w:ascii="Times New Roman" w:eastAsia="Century" w:hAnsi="Times New Roman" w:cs="Times New Roman"/>
          <w:color w:val="000000"/>
          <w:sz w:val="24"/>
          <w:szCs w:val="24"/>
        </w:rPr>
        <w:t>s</w:t>
      </w:r>
      <w:r w:rsidR="001C1BA3" w:rsidRPr="00B42D37">
        <w:rPr>
          <w:rFonts w:ascii="Times New Roman" w:eastAsia="Century" w:hAnsi="Times New Roman" w:cs="Times New Roman"/>
          <w:color w:val="000000"/>
          <w:sz w:val="24"/>
          <w:szCs w:val="24"/>
        </w:rPr>
        <w:t xml:space="preserve"> such as medical alerts or home alarm services.  The Pa. PUC further </w:t>
      </w:r>
      <w:r w:rsidR="003408C2" w:rsidRPr="00B42D37">
        <w:rPr>
          <w:rFonts w:ascii="Times New Roman" w:eastAsia="Century" w:hAnsi="Times New Roman" w:cs="Times New Roman"/>
          <w:color w:val="000000"/>
          <w:sz w:val="24"/>
          <w:szCs w:val="24"/>
        </w:rPr>
        <w:t xml:space="preserve">believes that carriers should have the obligation to notify </w:t>
      </w:r>
      <w:r w:rsidR="003408C2" w:rsidRPr="00B42D37">
        <w:rPr>
          <w:rFonts w:ascii="Times New Roman" w:eastAsia="Century" w:hAnsi="Times New Roman" w:cs="Times New Roman"/>
          <w:color w:val="000000"/>
          <w:sz w:val="24"/>
          <w:szCs w:val="24"/>
        </w:rPr>
        <w:lastRenderedPageBreak/>
        <w:t xml:space="preserve">consumers of changes that could impact </w:t>
      </w:r>
      <w:r w:rsidR="00B42D37" w:rsidRPr="00B42D37">
        <w:rPr>
          <w:rFonts w:ascii="Times New Roman" w:eastAsia="Century" w:hAnsi="Times New Roman" w:cs="Times New Roman"/>
          <w:color w:val="000000"/>
          <w:sz w:val="24"/>
          <w:szCs w:val="24"/>
        </w:rPr>
        <w:t>c</w:t>
      </w:r>
      <w:r w:rsidR="003408C2" w:rsidRPr="00B42D37">
        <w:rPr>
          <w:rFonts w:ascii="Times New Roman" w:eastAsia="Century" w:hAnsi="Times New Roman" w:cs="Times New Roman"/>
          <w:color w:val="000000"/>
          <w:sz w:val="24"/>
          <w:szCs w:val="24"/>
        </w:rPr>
        <w:t xml:space="preserve">ustomer </w:t>
      </w:r>
      <w:r w:rsidR="00B42D37" w:rsidRPr="00B42D37">
        <w:rPr>
          <w:rFonts w:ascii="Times New Roman" w:eastAsia="Century" w:hAnsi="Times New Roman" w:cs="Times New Roman"/>
          <w:color w:val="000000"/>
          <w:sz w:val="24"/>
          <w:szCs w:val="24"/>
        </w:rPr>
        <w:t>p</w:t>
      </w:r>
      <w:r w:rsidR="003408C2" w:rsidRPr="00B42D37">
        <w:rPr>
          <w:rFonts w:ascii="Times New Roman" w:eastAsia="Century" w:hAnsi="Times New Roman" w:cs="Times New Roman"/>
          <w:color w:val="000000"/>
          <w:sz w:val="24"/>
          <w:szCs w:val="24"/>
        </w:rPr>
        <w:t xml:space="preserve">remises </w:t>
      </w:r>
      <w:r w:rsidR="00B42D37" w:rsidRPr="00B42D37">
        <w:rPr>
          <w:rFonts w:ascii="Times New Roman" w:eastAsia="Century" w:hAnsi="Times New Roman" w:cs="Times New Roman"/>
          <w:color w:val="000000"/>
          <w:sz w:val="24"/>
          <w:szCs w:val="24"/>
        </w:rPr>
        <w:t>e</w:t>
      </w:r>
      <w:r w:rsidR="003408C2" w:rsidRPr="00B42D37">
        <w:rPr>
          <w:rFonts w:ascii="Times New Roman" w:eastAsia="Century" w:hAnsi="Times New Roman" w:cs="Times New Roman"/>
          <w:color w:val="000000"/>
          <w:sz w:val="24"/>
          <w:szCs w:val="24"/>
        </w:rPr>
        <w:t xml:space="preserve">quipment, except in those instances where a network change or service is deemed not significant.  </w:t>
      </w:r>
    </w:p>
    <w:p w:rsidR="001C1BA3" w:rsidRPr="00B42D37" w:rsidRDefault="001C1BA3" w:rsidP="001D7555">
      <w:pPr>
        <w:spacing w:line="480" w:lineRule="auto"/>
        <w:ind w:firstLine="720"/>
        <w:rPr>
          <w:rFonts w:ascii="Times New Roman" w:eastAsia="Century" w:hAnsi="Times New Roman" w:cs="Times New Roman"/>
          <w:color w:val="000000"/>
          <w:sz w:val="24"/>
          <w:szCs w:val="24"/>
        </w:rPr>
      </w:pPr>
      <w:r w:rsidRPr="00B42D37">
        <w:rPr>
          <w:rFonts w:ascii="Times New Roman" w:eastAsia="Century" w:hAnsi="Times New Roman" w:cs="Times New Roman"/>
          <w:color w:val="000000"/>
          <w:sz w:val="24"/>
          <w:szCs w:val="24"/>
        </w:rPr>
        <w:t xml:space="preserve">Moreover, restoration of essential telecommunications service or networks following an emergency, and any accompanying waivers, is not the same as non-emergency reconstruction of networks or services.  The </w:t>
      </w:r>
      <w:r w:rsidR="003408C2" w:rsidRPr="00B42D37">
        <w:rPr>
          <w:rFonts w:ascii="Times New Roman" w:eastAsia="Century" w:hAnsi="Times New Roman" w:cs="Times New Roman"/>
          <w:color w:val="000000"/>
          <w:sz w:val="24"/>
          <w:szCs w:val="24"/>
        </w:rPr>
        <w:t>Pa. PUC opposes any forbearance</w:t>
      </w:r>
      <w:r w:rsidR="00B42D37">
        <w:rPr>
          <w:rFonts w:ascii="Times New Roman" w:eastAsia="Century" w:hAnsi="Times New Roman" w:cs="Times New Roman"/>
          <w:color w:val="000000"/>
          <w:sz w:val="24"/>
          <w:szCs w:val="24"/>
        </w:rPr>
        <w:t>,</w:t>
      </w:r>
      <w:r w:rsidR="003408C2" w:rsidRPr="00B42D37">
        <w:rPr>
          <w:rFonts w:ascii="Times New Roman" w:eastAsia="Century" w:hAnsi="Times New Roman" w:cs="Times New Roman"/>
          <w:color w:val="000000"/>
          <w:sz w:val="24"/>
          <w:szCs w:val="24"/>
        </w:rPr>
        <w:t xml:space="preserve"> </w:t>
      </w:r>
      <w:r w:rsidRPr="00B42D37">
        <w:rPr>
          <w:rFonts w:ascii="Times New Roman" w:eastAsia="Century" w:hAnsi="Times New Roman" w:cs="Times New Roman"/>
          <w:color w:val="000000"/>
          <w:sz w:val="24"/>
          <w:szCs w:val="24"/>
        </w:rPr>
        <w:t xml:space="preserve">and the Commission should not adopt additional streamlined procedures for the discontinuance of a common carrier network or service based solely on the </w:t>
      </w:r>
      <w:r w:rsidR="00B42D37">
        <w:rPr>
          <w:rFonts w:ascii="Times New Roman" w:eastAsia="Century" w:hAnsi="Times New Roman" w:cs="Times New Roman"/>
          <w:color w:val="000000"/>
          <w:sz w:val="24"/>
          <w:szCs w:val="24"/>
        </w:rPr>
        <w:t>self-c</w:t>
      </w:r>
      <w:r w:rsidRPr="00B42D37">
        <w:rPr>
          <w:rFonts w:ascii="Times New Roman" w:eastAsia="Century" w:hAnsi="Times New Roman" w:cs="Times New Roman"/>
          <w:color w:val="000000"/>
          <w:sz w:val="24"/>
          <w:szCs w:val="24"/>
        </w:rPr>
        <w:t>ertification by carriers that competitive alternatives exist.  The Pa. PUC supports retention of the outreach and education requirements</w:t>
      </w:r>
      <w:r w:rsidR="00B42D37">
        <w:rPr>
          <w:rFonts w:ascii="Times New Roman" w:eastAsia="Century" w:hAnsi="Times New Roman" w:cs="Times New Roman"/>
          <w:color w:val="000000"/>
          <w:sz w:val="24"/>
          <w:szCs w:val="24"/>
        </w:rPr>
        <w:t xml:space="preserve"> from the </w:t>
      </w:r>
      <w:r w:rsidR="00B42D37">
        <w:rPr>
          <w:rFonts w:ascii="Times New Roman" w:eastAsia="Century" w:hAnsi="Times New Roman" w:cs="Times New Roman"/>
          <w:i/>
          <w:color w:val="000000"/>
          <w:sz w:val="24"/>
          <w:szCs w:val="24"/>
        </w:rPr>
        <w:t>2016 Technology Transitions Order</w:t>
      </w:r>
      <w:r w:rsidRPr="00B42D37">
        <w:rPr>
          <w:rFonts w:ascii="Times New Roman" w:eastAsia="Century" w:hAnsi="Times New Roman" w:cs="Times New Roman"/>
          <w:color w:val="000000"/>
          <w:sz w:val="24"/>
          <w:szCs w:val="24"/>
        </w:rPr>
        <w:t>.</w:t>
      </w:r>
      <w:r w:rsidR="00685A67">
        <w:rPr>
          <w:rStyle w:val="FootnoteReference"/>
          <w:rFonts w:ascii="Times New Roman" w:eastAsia="Century" w:hAnsi="Times New Roman" w:cs="Times New Roman"/>
          <w:color w:val="000000"/>
          <w:sz w:val="24"/>
          <w:szCs w:val="24"/>
        </w:rPr>
        <w:footnoteReference w:id="2"/>
      </w:r>
      <w:r w:rsidRPr="00B42D37">
        <w:rPr>
          <w:rFonts w:ascii="Times New Roman" w:eastAsia="Century" w:hAnsi="Times New Roman" w:cs="Times New Roman"/>
          <w:color w:val="000000"/>
          <w:sz w:val="24"/>
          <w:szCs w:val="24"/>
        </w:rPr>
        <w:t xml:space="preserve">  </w:t>
      </w:r>
    </w:p>
    <w:p w:rsidR="001D7555" w:rsidRPr="00DD45F7" w:rsidRDefault="001D7555" w:rsidP="000F0211">
      <w:pPr>
        <w:autoSpaceDE w:val="0"/>
        <w:autoSpaceDN w:val="0"/>
        <w:adjustRightInd w:val="0"/>
        <w:spacing w:after="0" w:line="240" w:lineRule="auto"/>
        <w:rPr>
          <w:rFonts w:ascii="Times New Roman" w:hAnsi="Times New Roman" w:cs="Times New Roman"/>
          <w:b/>
          <w:bCs/>
          <w:sz w:val="24"/>
          <w:szCs w:val="24"/>
        </w:rPr>
      </w:pPr>
      <w:r w:rsidRPr="00DD45F7">
        <w:rPr>
          <w:rFonts w:ascii="Times New Roman" w:hAnsi="Times New Roman" w:cs="Times New Roman"/>
          <w:b/>
          <w:bCs/>
          <w:sz w:val="24"/>
          <w:szCs w:val="24"/>
        </w:rPr>
        <w:t>Discussion</w:t>
      </w:r>
    </w:p>
    <w:p w:rsidR="001D7555" w:rsidRPr="00DD45F7" w:rsidRDefault="001D7555" w:rsidP="000F0211">
      <w:pPr>
        <w:autoSpaceDE w:val="0"/>
        <w:autoSpaceDN w:val="0"/>
        <w:adjustRightInd w:val="0"/>
        <w:spacing w:after="0" w:line="240" w:lineRule="auto"/>
        <w:rPr>
          <w:rFonts w:ascii="Times New Roman" w:hAnsi="Times New Roman" w:cs="Times New Roman"/>
          <w:b/>
          <w:bCs/>
          <w:sz w:val="24"/>
          <w:szCs w:val="24"/>
        </w:rPr>
      </w:pPr>
    </w:p>
    <w:p w:rsidR="00292C70" w:rsidRPr="00DD45F7" w:rsidRDefault="00292C70" w:rsidP="00292C70">
      <w:pPr>
        <w:pStyle w:val="ListParagraph"/>
        <w:numPr>
          <w:ilvl w:val="0"/>
          <w:numId w:val="2"/>
        </w:numPr>
        <w:autoSpaceDE w:val="0"/>
        <w:autoSpaceDN w:val="0"/>
        <w:adjustRightInd w:val="0"/>
        <w:spacing w:after="0" w:line="240" w:lineRule="auto"/>
        <w:rPr>
          <w:rFonts w:ascii="TimesNewRoman,BoldItalic" w:hAnsi="TimesNewRoman,BoldItalic" w:cs="TimesNewRoman,BoldItalic"/>
          <w:bCs/>
          <w:iCs/>
          <w:sz w:val="24"/>
          <w:szCs w:val="24"/>
        </w:rPr>
      </w:pPr>
      <w:r w:rsidRPr="00DD45F7">
        <w:rPr>
          <w:rFonts w:ascii="TimesNewRoman,Bold" w:hAnsi="TimesNewRoman,Bold" w:cs="TimesNewRoman,Bold"/>
          <w:b/>
          <w:bCs/>
          <w:sz w:val="24"/>
          <w:szCs w:val="24"/>
        </w:rPr>
        <w:t>Calculation of Waiting Period Under Section 51.333(b)</w:t>
      </w:r>
    </w:p>
    <w:p w:rsidR="00292C70" w:rsidRPr="00DD45F7" w:rsidRDefault="00292C70" w:rsidP="00292C70">
      <w:pPr>
        <w:autoSpaceDE w:val="0"/>
        <w:autoSpaceDN w:val="0"/>
        <w:adjustRightInd w:val="0"/>
        <w:spacing w:after="0" w:line="240" w:lineRule="auto"/>
        <w:rPr>
          <w:rFonts w:ascii="TimesNewRoman" w:hAnsi="TimesNewRoman" w:cs="TimesNewRoman"/>
          <w:sz w:val="24"/>
          <w:szCs w:val="24"/>
        </w:rPr>
      </w:pPr>
    </w:p>
    <w:p w:rsidR="00292C70" w:rsidRPr="00627A7F" w:rsidRDefault="00BA7F10" w:rsidP="00627A7F">
      <w:pPr>
        <w:spacing w:line="480" w:lineRule="auto"/>
        <w:ind w:firstLine="720"/>
        <w:rPr>
          <w:rFonts w:ascii="Times New Roman" w:eastAsia="Century" w:hAnsi="Times New Roman" w:cs="Times New Roman"/>
          <w:color w:val="000000"/>
          <w:sz w:val="24"/>
          <w:szCs w:val="24"/>
        </w:rPr>
      </w:pPr>
      <w:r w:rsidRPr="00627A7F">
        <w:rPr>
          <w:rFonts w:ascii="Times New Roman" w:eastAsia="Century" w:hAnsi="Times New Roman" w:cs="Times New Roman"/>
          <w:color w:val="000000"/>
          <w:sz w:val="24"/>
          <w:szCs w:val="24"/>
        </w:rPr>
        <w:t xml:space="preserve">Section 51.333(b) of the Commission’s rules provides that </w:t>
      </w:r>
      <w:r w:rsidR="00B42D37">
        <w:rPr>
          <w:rFonts w:ascii="Times New Roman" w:eastAsia="Century" w:hAnsi="Times New Roman" w:cs="Times New Roman"/>
          <w:color w:val="000000"/>
          <w:sz w:val="24"/>
          <w:szCs w:val="24"/>
        </w:rPr>
        <w:t>an incumbent local exchange carrier’s (</w:t>
      </w:r>
      <w:r w:rsidR="00C85F69">
        <w:rPr>
          <w:rFonts w:ascii="Times New Roman" w:eastAsia="Century" w:hAnsi="Times New Roman" w:cs="Times New Roman"/>
          <w:color w:val="000000"/>
          <w:sz w:val="24"/>
          <w:szCs w:val="24"/>
        </w:rPr>
        <w:t>ILEC</w:t>
      </w:r>
      <w:r w:rsidR="00B42D37">
        <w:rPr>
          <w:rFonts w:ascii="Times New Roman" w:eastAsia="Century" w:hAnsi="Times New Roman" w:cs="Times New Roman"/>
          <w:color w:val="000000"/>
          <w:sz w:val="24"/>
          <w:szCs w:val="24"/>
        </w:rPr>
        <w:t>)</w:t>
      </w:r>
      <w:r w:rsidRPr="00627A7F">
        <w:rPr>
          <w:rFonts w:ascii="Times New Roman" w:eastAsia="Century" w:hAnsi="Times New Roman" w:cs="Times New Roman"/>
          <w:color w:val="000000"/>
          <w:sz w:val="24"/>
          <w:szCs w:val="24"/>
        </w:rPr>
        <w:t xml:space="preserve"> network change referenced in a short-term notice “shall be deemed final on the tenth business day after the release of the Commission's public notice.”</w:t>
      </w:r>
      <w:r w:rsidR="00FC5744">
        <w:rPr>
          <w:rFonts w:ascii="Times New Roman" w:eastAsia="Century" w:hAnsi="Times New Roman" w:cs="Times New Roman"/>
          <w:color w:val="000000"/>
          <w:sz w:val="24"/>
          <w:szCs w:val="24"/>
        </w:rPr>
        <w:t xml:space="preserve"> </w:t>
      </w:r>
      <w:r w:rsidR="00FC5744" w:rsidRPr="00DD45F7">
        <w:rPr>
          <w:rFonts w:ascii="Times New Roman" w:hAnsi="Times New Roman" w:cs="Times New Roman"/>
          <w:sz w:val="24"/>
          <w:szCs w:val="24"/>
        </w:rPr>
        <w:t>47 C.F.R. §</w:t>
      </w:r>
      <w:r w:rsidR="00FC5744">
        <w:rPr>
          <w:rFonts w:ascii="Times New Roman" w:hAnsi="Times New Roman" w:cs="Times New Roman"/>
          <w:sz w:val="24"/>
          <w:szCs w:val="24"/>
        </w:rPr>
        <w:t> 51.333</w:t>
      </w:r>
      <w:r w:rsidR="000D60CB">
        <w:rPr>
          <w:rFonts w:ascii="Times New Roman" w:hAnsi="Times New Roman" w:cs="Times New Roman"/>
          <w:sz w:val="24"/>
          <w:szCs w:val="24"/>
        </w:rPr>
        <w:t>(b).</w:t>
      </w:r>
      <w:r w:rsidRPr="00627A7F">
        <w:rPr>
          <w:rFonts w:ascii="Times New Roman" w:eastAsia="Century" w:hAnsi="Times New Roman" w:cs="Times New Roman"/>
          <w:color w:val="000000"/>
          <w:sz w:val="24"/>
          <w:szCs w:val="24"/>
        </w:rPr>
        <w:t xml:space="preserve">  </w:t>
      </w:r>
      <w:r w:rsidR="00292C70" w:rsidRPr="00627A7F">
        <w:rPr>
          <w:rFonts w:ascii="Times New Roman" w:eastAsia="Century" w:hAnsi="Times New Roman" w:cs="Times New Roman"/>
          <w:color w:val="000000"/>
          <w:sz w:val="24"/>
          <w:szCs w:val="24"/>
        </w:rPr>
        <w:t xml:space="preserve">In the </w:t>
      </w:r>
      <w:r w:rsidR="00292C70" w:rsidRPr="00627A7F">
        <w:rPr>
          <w:rFonts w:ascii="Times New Roman" w:eastAsia="Century" w:hAnsi="Times New Roman" w:cs="Times New Roman"/>
          <w:i/>
          <w:color w:val="000000"/>
          <w:sz w:val="24"/>
          <w:szCs w:val="24"/>
        </w:rPr>
        <w:t>FNPRM</w:t>
      </w:r>
      <w:r w:rsidR="00292C70" w:rsidRPr="00627A7F">
        <w:rPr>
          <w:rFonts w:ascii="Times New Roman" w:eastAsia="Century" w:hAnsi="Times New Roman" w:cs="Times New Roman"/>
          <w:color w:val="000000"/>
          <w:sz w:val="24"/>
          <w:szCs w:val="24"/>
        </w:rPr>
        <w:t xml:space="preserve">, the Commission sought comment on AT&amp;T’s proposal that the Commission revise the rule governing short-term network change notices to calculate the effective date of such notices from the date the </w:t>
      </w:r>
      <w:r w:rsidR="00F83854">
        <w:rPr>
          <w:rFonts w:ascii="Times New Roman" w:eastAsia="Century" w:hAnsi="Times New Roman" w:cs="Times New Roman"/>
          <w:color w:val="000000"/>
          <w:sz w:val="24"/>
          <w:szCs w:val="24"/>
        </w:rPr>
        <w:t>I</w:t>
      </w:r>
      <w:r w:rsidR="00292C70" w:rsidRPr="00627A7F">
        <w:rPr>
          <w:rFonts w:ascii="Times New Roman" w:eastAsia="Century" w:hAnsi="Times New Roman" w:cs="Times New Roman"/>
          <w:color w:val="000000"/>
          <w:sz w:val="24"/>
          <w:szCs w:val="24"/>
        </w:rPr>
        <w:t xml:space="preserve">LEC files its notice or certification of the change rather than from the date the Commission releases its public notice.  According to AT&amp;T, tying the effective date to </w:t>
      </w:r>
      <w:r w:rsidR="004233CD">
        <w:rPr>
          <w:rFonts w:ascii="Times New Roman" w:eastAsia="Century" w:hAnsi="Times New Roman" w:cs="Times New Roman"/>
          <w:color w:val="000000"/>
          <w:sz w:val="24"/>
          <w:szCs w:val="24"/>
        </w:rPr>
        <w:t xml:space="preserve">the </w:t>
      </w:r>
      <w:r w:rsidR="00292C70" w:rsidRPr="00627A7F">
        <w:rPr>
          <w:rFonts w:ascii="Times New Roman" w:eastAsia="Century" w:hAnsi="Times New Roman" w:cs="Times New Roman"/>
          <w:color w:val="000000"/>
          <w:sz w:val="24"/>
          <w:szCs w:val="24"/>
        </w:rPr>
        <w:t xml:space="preserve">release of the Commission’s public notice is unnecessary because </w:t>
      </w:r>
      <w:r w:rsidR="00DD45F7" w:rsidRPr="00627A7F">
        <w:rPr>
          <w:rFonts w:ascii="Times New Roman" w:eastAsia="Century" w:hAnsi="Times New Roman" w:cs="Times New Roman"/>
          <w:color w:val="000000"/>
          <w:sz w:val="24"/>
          <w:szCs w:val="24"/>
        </w:rPr>
        <w:t xml:space="preserve">ILECs </w:t>
      </w:r>
      <w:r w:rsidR="00292C70" w:rsidRPr="00627A7F">
        <w:rPr>
          <w:rFonts w:ascii="Times New Roman" w:eastAsia="Century" w:hAnsi="Times New Roman" w:cs="Times New Roman"/>
          <w:color w:val="000000"/>
          <w:sz w:val="24"/>
          <w:szCs w:val="24"/>
        </w:rPr>
        <w:t xml:space="preserve">are required to </w:t>
      </w:r>
      <w:r w:rsidR="00292C70" w:rsidRPr="00627A7F">
        <w:rPr>
          <w:rFonts w:ascii="Times New Roman" w:eastAsia="Century" w:hAnsi="Times New Roman" w:cs="Times New Roman"/>
          <w:color w:val="000000"/>
          <w:sz w:val="24"/>
          <w:szCs w:val="24"/>
        </w:rPr>
        <w:lastRenderedPageBreak/>
        <w:t>provide direct notice to interconnecting carriers.  Thus, the Commission sought comment on the benefits and burdens of revising the rule as AT&amp;T suggests.</w:t>
      </w:r>
    </w:p>
    <w:p w:rsidR="00C85F69" w:rsidRDefault="00B42D37" w:rsidP="00BA7F10">
      <w:pPr>
        <w:spacing w:line="480" w:lineRule="auto"/>
        <w:ind w:firstLine="720"/>
        <w:rPr>
          <w:rFonts w:ascii="Times New Roman" w:eastAsia="Century" w:hAnsi="Times New Roman" w:cs="Times New Roman"/>
          <w:color w:val="000000"/>
          <w:sz w:val="24"/>
          <w:szCs w:val="24"/>
        </w:rPr>
      </w:pPr>
      <w:r>
        <w:rPr>
          <w:rFonts w:ascii="Times New Roman" w:eastAsia="Century" w:hAnsi="Times New Roman" w:cs="Times New Roman"/>
          <w:color w:val="000000"/>
          <w:sz w:val="24"/>
          <w:szCs w:val="24"/>
        </w:rPr>
        <w:t>The Pa. PUC does not support</w:t>
      </w:r>
      <w:r w:rsidR="00BA7F10">
        <w:rPr>
          <w:rFonts w:ascii="Times New Roman" w:eastAsia="Century" w:hAnsi="Times New Roman" w:cs="Times New Roman"/>
          <w:color w:val="000000"/>
          <w:sz w:val="24"/>
          <w:szCs w:val="24"/>
        </w:rPr>
        <w:t xml:space="preserve"> AT&amp;T</w:t>
      </w:r>
      <w:r>
        <w:rPr>
          <w:rFonts w:ascii="Times New Roman" w:eastAsia="Century" w:hAnsi="Times New Roman" w:cs="Times New Roman"/>
          <w:color w:val="000000"/>
          <w:sz w:val="24"/>
          <w:szCs w:val="24"/>
        </w:rPr>
        <w:t>’s</w:t>
      </w:r>
      <w:r w:rsidR="00BA7F10">
        <w:rPr>
          <w:rFonts w:ascii="Times New Roman" w:eastAsia="Century" w:hAnsi="Times New Roman" w:cs="Times New Roman"/>
          <w:color w:val="000000"/>
          <w:sz w:val="24"/>
          <w:szCs w:val="24"/>
        </w:rPr>
        <w:t xml:space="preserve"> proposal.  </w:t>
      </w:r>
      <w:r w:rsidR="006D1314">
        <w:rPr>
          <w:rFonts w:ascii="Times New Roman" w:eastAsia="Century" w:hAnsi="Times New Roman" w:cs="Times New Roman"/>
          <w:color w:val="000000"/>
          <w:sz w:val="24"/>
          <w:szCs w:val="24"/>
        </w:rPr>
        <w:t xml:space="preserve">The Pa. PUC believes that the Commission should continue to trigger the 10-day notice period from the date of publication by the FCC.  </w:t>
      </w:r>
      <w:r w:rsidR="00C85F69">
        <w:rPr>
          <w:rFonts w:ascii="Times New Roman" w:eastAsia="Century" w:hAnsi="Times New Roman" w:cs="Times New Roman"/>
          <w:color w:val="000000"/>
          <w:sz w:val="24"/>
          <w:szCs w:val="24"/>
        </w:rPr>
        <w:t xml:space="preserve">The </w:t>
      </w:r>
      <w:r w:rsidR="006D1314">
        <w:rPr>
          <w:rFonts w:ascii="Times New Roman" w:eastAsia="Century" w:hAnsi="Times New Roman" w:cs="Times New Roman"/>
          <w:color w:val="000000"/>
          <w:sz w:val="24"/>
          <w:szCs w:val="24"/>
        </w:rPr>
        <w:t>time gap between filing and the FCC’s formal publication of that notice, if adopted, will actually truncate the time period that carriers have to provide notice to prepare for the transition</w:t>
      </w:r>
      <w:r w:rsidR="001F336D">
        <w:rPr>
          <w:rFonts w:ascii="Times New Roman" w:eastAsia="Century" w:hAnsi="Times New Roman" w:cs="Times New Roman"/>
          <w:color w:val="000000"/>
          <w:sz w:val="24"/>
          <w:szCs w:val="24"/>
        </w:rPr>
        <w:t xml:space="preserve">. </w:t>
      </w:r>
      <w:r w:rsidR="00C85F69">
        <w:rPr>
          <w:rFonts w:ascii="Times New Roman" w:eastAsia="Century" w:hAnsi="Times New Roman" w:cs="Times New Roman"/>
          <w:color w:val="000000"/>
          <w:sz w:val="24"/>
          <w:szCs w:val="24"/>
        </w:rPr>
        <w:t xml:space="preserve">This, in turn, could harm competition and consumers.  </w:t>
      </w:r>
    </w:p>
    <w:p w:rsidR="00C85F69" w:rsidRDefault="00C85F69" w:rsidP="00BA7F10">
      <w:pPr>
        <w:spacing w:line="480" w:lineRule="auto"/>
        <w:ind w:firstLine="720"/>
        <w:rPr>
          <w:rFonts w:ascii="Times New Roman" w:eastAsia="Century" w:hAnsi="Times New Roman" w:cs="Times New Roman"/>
          <w:color w:val="000000"/>
          <w:sz w:val="24"/>
          <w:szCs w:val="24"/>
        </w:rPr>
      </w:pPr>
      <w:r>
        <w:rPr>
          <w:rFonts w:ascii="Times New Roman" w:eastAsia="Century" w:hAnsi="Times New Roman" w:cs="Times New Roman"/>
          <w:color w:val="000000"/>
          <w:sz w:val="24"/>
          <w:szCs w:val="24"/>
        </w:rPr>
        <w:t xml:space="preserve">The </w:t>
      </w:r>
      <w:r w:rsidR="00292C70" w:rsidRPr="00627A7F">
        <w:rPr>
          <w:rFonts w:ascii="Times New Roman" w:eastAsia="Century" w:hAnsi="Times New Roman" w:cs="Times New Roman"/>
          <w:color w:val="000000"/>
          <w:sz w:val="24"/>
          <w:szCs w:val="24"/>
        </w:rPr>
        <w:t xml:space="preserve">Commission stated that commenters did not point to any specific instance in which a planned copper retirement had to be delayed due to the timing of </w:t>
      </w:r>
      <w:r w:rsidR="00842238">
        <w:rPr>
          <w:rFonts w:ascii="Times New Roman" w:eastAsia="Century" w:hAnsi="Times New Roman" w:cs="Times New Roman"/>
          <w:color w:val="000000"/>
          <w:sz w:val="24"/>
          <w:szCs w:val="24"/>
        </w:rPr>
        <w:t>the</w:t>
      </w:r>
      <w:r w:rsidR="00842238" w:rsidRPr="00627A7F">
        <w:rPr>
          <w:rFonts w:ascii="Times New Roman" w:eastAsia="Century" w:hAnsi="Times New Roman" w:cs="Times New Roman"/>
          <w:color w:val="000000"/>
          <w:sz w:val="24"/>
          <w:szCs w:val="24"/>
        </w:rPr>
        <w:t xml:space="preserve"> </w:t>
      </w:r>
      <w:r w:rsidR="00292C70" w:rsidRPr="00627A7F">
        <w:rPr>
          <w:rFonts w:ascii="Times New Roman" w:eastAsia="Century" w:hAnsi="Times New Roman" w:cs="Times New Roman"/>
          <w:color w:val="000000"/>
          <w:sz w:val="24"/>
          <w:szCs w:val="24"/>
        </w:rPr>
        <w:t xml:space="preserve">release of the relevant public notice.  </w:t>
      </w:r>
      <w:r w:rsidR="006B5BB5">
        <w:rPr>
          <w:rFonts w:ascii="Times New Roman" w:eastAsia="Century" w:hAnsi="Times New Roman" w:cs="Times New Roman"/>
          <w:i/>
          <w:color w:val="000000"/>
          <w:sz w:val="24"/>
          <w:szCs w:val="24"/>
        </w:rPr>
        <w:t>FNRPM</w:t>
      </w:r>
      <w:r w:rsidR="006B5BB5" w:rsidRPr="00627A7F">
        <w:rPr>
          <w:rFonts w:ascii="Times New Roman" w:eastAsia="Century" w:hAnsi="Times New Roman" w:cs="Times New Roman"/>
          <w:color w:val="000000"/>
          <w:sz w:val="24"/>
          <w:szCs w:val="24"/>
        </w:rPr>
        <w:t xml:space="preserve"> </w:t>
      </w:r>
      <w:r w:rsidR="00292C70" w:rsidRPr="00627A7F">
        <w:rPr>
          <w:rFonts w:ascii="Times New Roman" w:eastAsia="Century" w:hAnsi="Times New Roman" w:cs="Times New Roman"/>
          <w:color w:val="000000"/>
          <w:sz w:val="24"/>
          <w:szCs w:val="24"/>
        </w:rPr>
        <w:t xml:space="preserve">at 28, para. 65.  In </w:t>
      </w:r>
      <w:r w:rsidR="00E01A56">
        <w:rPr>
          <w:rFonts w:ascii="Times New Roman" w:eastAsia="Century" w:hAnsi="Times New Roman" w:cs="Times New Roman"/>
          <w:color w:val="000000"/>
          <w:sz w:val="24"/>
          <w:szCs w:val="24"/>
        </w:rPr>
        <w:t xml:space="preserve">their </w:t>
      </w:r>
      <w:r w:rsidR="00292C70" w:rsidRPr="00627A7F">
        <w:rPr>
          <w:rFonts w:ascii="Times New Roman" w:eastAsia="Century" w:hAnsi="Times New Roman" w:cs="Times New Roman"/>
          <w:color w:val="000000"/>
          <w:sz w:val="24"/>
          <w:szCs w:val="24"/>
        </w:rPr>
        <w:t xml:space="preserve">comments to the </w:t>
      </w:r>
      <w:r w:rsidR="00292C70" w:rsidRPr="00627A7F">
        <w:rPr>
          <w:rFonts w:ascii="Times New Roman" w:eastAsia="Century" w:hAnsi="Times New Roman" w:cs="Times New Roman"/>
          <w:i/>
          <w:color w:val="000000"/>
          <w:sz w:val="24"/>
          <w:szCs w:val="24"/>
        </w:rPr>
        <w:t>FNPRM</w:t>
      </w:r>
      <w:r w:rsidR="00292C70" w:rsidRPr="00627A7F">
        <w:rPr>
          <w:rFonts w:ascii="Times New Roman" w:eastAsia="Century" w:hAnsi="Times New Roman" w:cs="Times New Roman"/>
          <w:color w:val="000000"/>
          <w:sz w:val="24"/>
          <w:szCs w:val="24"/>
        </w:rPr>
        <w:t xml:space="preserve"> advocating for this proposal, </w:t>
      </w:r>
      <w:r w:rsidR="0072251A">
        <w:rPr>
          <w:rFonts w:ascii="Times New Roman" w:eastAsia="Century" w:hAnsi="Times New Roman" w:cs="Times New Roman"/>
          <w:color w:val="000000"/>
          <w:sz w:val="24"/>
          <w:szCs w:val="24"/>
        </w:rPr>
        <w:t xml:space="preserve">these parties </w:t>
      </w:r>
      <w:r w:rsidR="00292C70" w:rsidRPr="00627A7F">
        <w:rPr>
          <w:rFonts w:ascii="Times New Roman" w:eastAsia="Century" w:hAnsi="Times New Roman" w:cs="Times New Roman"/>
          <w:color w:val="000000"/>
          <w:sz w:val="24"/>
          <w:szCs w:val="24"/>
        </w:rPr>
        <w:t>again have failed to remedy this shortcoming.</w:t>
      </w:r>
      <w:r w:rsidR="00BA7F10">
        <w:rPr>
          <w:rFonts w:ascii="Times New Roman" w:eastAsia="Century" w:hAnsi="Times New Roman" w:cs="Times New Roman"/>
          <w:color w:val="000000"/>
          <w:sz w:val="24"/>
          <w:szCs w:val="24"/>
        </w:rPr>
        <w:t xml:space="preserve">  Moreover, a</w:t>
      </w:r>
      <w:r w:rsidR="00292C70" w:rsidRPr="00627A7F">
        <w:rPr>
          <w:rFonts w:ascii="Times New Roman" w:eastAsia="Century" w:hAnsi="Times New Roman" w:cs="Times New Roman"/>
          <w:color w:val="000000"/>
          <w:sz w:val="24"/>
          <w:szCs w:val="24"/>
        </w:rPr>
        <w:t xml:space="preserve">s the Commission itself stated in the </w:t>
      </w:r>
      <w:r w:rsidR="0072251A">
        <w:rPr>
          <w:rFonts w:ascii="Times New Roman" w:eastAsia="Century" w:hAnsi="Times New Roman" w:cs="Times New Roman"/>
          <w:i/>
          <w:color w:val="000000"/>
          <w:sz w:val="24"/>
          <w:szCs w:val="24"/>
        </w:rPr>
        <w:t>FNRPM</w:t>
      </w:r>
      <w:r w:rsidR="00292C70" w:rsidRPr="00627A7F">
        <w:rPr>
          <w:rFonts w:ascii="Times New Roman" w:eastAsia="Century" w:hAnsi="Times New Roman" w:cs="Times New Roman"/>
          <w:color w:val="000000"/>
          <w:sz w:val="24"/>
          <w:szCs w:val="24"/>
        </w:rPr>
        <w:t xml:space="preserve">, having the waiting period run from the date it releases a public notice of the filing affords Commission staff the necessary opportunity to review filings for mistakes and/or non-compliance with the rules.  </w:t>
      </w:r>
      <w:r w:rsidR="00292C70" w:rsidRPr="00627A7F">
        <w:rPr>
          <w:rFonts w:ascii="Times New Roman" w:eastAsia="Century" w:hAnsi="Times New Roman" w:cs="Times New Roman"/>
          <w:i/>
          <w:color w:val="000000"/>
          <w:sz w:val="24"/>
          <w:szCs w:val="24"/>
        </w:rPr>
        <w:t>Id.</w:t>
      </w:r>
      <w:r w:rsidR="00292C70" w:rsidRPr="00627A7F">
        <w:rPr>
          <w:rFonts w:ascii="Times New Roman" w:eastAsia="Century" w:hAnsi="Times New Roman" w:cs="Times New Roman"/>
          <w:color w:val="000000"/>
          <w:sz w:val="24"/>
          <w:szCs w:val="24"/>
        </w:rPr>
        <w:t xml:space="preserve">  This routine review allows Commission staff to clarify or correct information contained in filings or to add required information that is missing, which </w:t>
      </w:r>
      <w:r w:rsidR="00C466A2">
        <w:rPr>
          <w:rFonts w:ascii="Times New Roman" w:eastAsia="Century" w:hAnsi="Times New Roman" w:cs="Times New Roman"/>
          <w:color w:val="000000"/>
          <w:sz w:val="24"/>
          <w:szCs w:val="24"/>
        </w:rPr>
        <w:t>ensures</w:t>
      </w:r>
      <w:r w:rsidR="00C466A2" w:rsidRPr="00627A7F">
        <w:rPr>
          <w:rFonts w:ascii="Times New Roman" w:eastAsia="Century" w:hAnsi="Times New Roman" w:cs="Times New Roman"/>
          <w:color w:val="000000"/>
          <w:sz w:val="24"/>
          <w:szCs w:val="24"/>
        </w:rPr>
        <w:t xml:space="preserve"> </w:t>
      </w:r>
      <w:r w:rsidR="00292C70" w:rsidRPr="00627A7F">
        <w:rPr>
          <w:rFonts w:ascii="Times New Roman" w:eastAsia="Century" w:hAnsi="Times New Roman" w:cs="Times New Roman"/>
          <w:color w:val="000000"/>
          <w:sz w:val="24"/>
          <w:szCs w:val="24"/>
        </w:rPr>
        <w:t xml:space="preserve">the integrity of the filing process.  </w:t>
      </w:r>
    </w:p>
    <w:p w:rsidR="00292C70" w:rsidRPr="00627A7F" w:rsidRDefault="0048358B" w:rsidP="00BA7F10">
      <w:pPr>
        <w:spacing w:line="480" w:lineRule="auto"/>
        <w:ind w:firstLine="720"/>
        <w:rPr>
          <w:rFonts w:ascii="Times New Roman" w:eastAsia="Century" w:hAnsi="Times New Roman" w:cs="Times New Roman"/>
          <w:color w:val="000000"/>
          <w:sz w:val="24"/>
          <w:szCs w:val="24"/>
        </w:rPr>
      </w:pPr>
      <w:r>
        <w:rPr>
          <w:rFonts w:ascii="Times New Roman" w:eastAsia="Century" w:hAnsi="Times New Roman" w:cs="Times New Roman"/>
          <w:color w:val="000000"/>
          <w:sz w:val="24"/>
          <w:szCs w:val="24"/>
        </w:rPr>
        <w:t xml:space="preserve">Retention of the publication notice for triggering the 10-day period gives the Commission time to review filings, as noted, but, equally important, gives carriers and their consumers the time they may need to prepare for the removal of those traditional networks and related legacy services.  </w:t>
      </w:r>
      <w:r w:rsidR="00BA7F10">
        <w:rPr>
          <w:rFonts w:ascii="Times New Roman" w:eastAsia="Century" w:hAnsi="Times New Roman" w:cs="Times New Roman"/>
          <w:color w:val="000000"/>
          <w:sz w:val="24"/>
          <w:szCs w:val="24"/>
        </w:rPr>
        <w:t>For these reasons</w:t>
      </w:r>
      <w:r w:rsidR="00292C70" w:rsidRPr="00627A7F">
        <w:rPr>
          <w:rFonts w:ascii="Times New Roman" w:eastAsia="Century" w:hAnsi="Times New Roman" w:cs="Times New Roman"/>
          <w:color w:val="000000"/>
          <w:sz w:val="24"/>
          <w:szCs w:val="24"/>
        </w:rPr>
        <w:t xml:space="preserve">, the Commission should reject this proposal. </w:t>
      </w:r>
    </w:p>
    <w:p w:rsidR="00963C6B" w:rsidRPr="00DD45F7" w:rsidRDefault="00963C6B" w:rsidP="00EC2552">
      <w:pPr>
        <w:pStyle w:val="ListParagraph"/>
        <w:numPr>
          <w:ilvl w:val="0"/>
          <w:numId w:val="2"/>
        </w:numPr>
        <w:autoSpaceDE w:val="0"/>
        <w:autoSpaceDN w:val="0"/>
        <w:adjustRightInd w:val="0"/>
        <w:spacing w:after="0" w:line="240" w:lineRule="auto"/>
        <w:rPr>
          <w:rFonts w:ascii="Times New Roman" w:hAnsi="Times New Roman" w:cs="Times New Roman"/>
          <w:b/>
          <w:sz w:val="24"/>
          <w:szCs w:val="24"/>
        </w:rPr>
      </w:pPr>
      <w:r w:rsidRPr="00DD45F7">
        <w:rPr>
          <w:rFonts w:ascii="Times New Roman" w:hAnsi="Times New Roman" w:cs="Times New Roman"/>
          <w:b/>
          <w:sz w:val="24"/>
          <w:szCs w:val="24"/>
        </w:rPr>
        <w:t>Public Notice of Network Changes Affecting Interoperability of Customer Premises Equipment</w:t>
      </w:r>
    </w:p>
    <w:p w:rsidR="00963C6B" w:rsidRPr="00DD45F7" w:rsidRDefault="00963C6B" w:rsidP="00963C6B">
      <w:pPr>
        <w:autoSpaceDE w:val="0"/>
        <w:autoSpaceDN w:val="0"/>
        <w:adjustRightInd w:val="0"/>
        <w:spacing w:after="0" w:line="240" w:lineRule="auto"/>
        <w:ind w:firstLine="720"/>
        <w:rPr>
          <w:rFonts w:ascii="Times New Roman" w:hAnsi="Times New Roman" w:cs="Times New Roman"/>
          <w:sz w:val="24"/>
          <w:szCs w:val="24"/>
        </w:rPr>
      </w:pPr>
      <w:r w:rsidRPr="00DD45F7">
        <w:rPr>
          <w:rFonts w:ascii="Times New Roman" w:hAnsi="Times New Roman" w:cs="Times New Roman"/>
          <w:sz w:val="24"/>
          <w:szCs w:val="24"/>
        </w:rPr>
        <w:t xml:space="preserve">  </w:t>
      </w:r>
    </w:p>
    <w:p w:rsidR="00B7071D" w:rsidRPr="00DD45F7" w:rsidRDefault="00B7071D" w:rsidP="00B7071D">
      <w:pPr>
        <w:autoSpaceDE w:val="0"/>
        <w:autoSpaceDN w:val="0"/>
        <w:adjustRightInd w:val="0"/>
        <w:spacing w:after="0" w:line="480" w:lineRule="auto"/>
        <w:ind w:firstLine="720"/>
        <w:rPr>
          <w:rFonts w:ascii="Times New Roman" w:hAnsi="Times New Roman" w:cs="Times New Roman"/>
          <w:sz w:val="24"/>
          <w:szCs w:val="24"/>
        </w:rPr>
      </w:pPr>
      <w:r w:rsidRPr="00DD45F7">
        <w:rPr>
          <w:rFonts w:ascii="Times New Roman" w:hAnsi="Times New Roman" w:cs="Times New Roman"/>
          <w:sz w:val="24"/>
          <w:szCs w:val="24"/>
        </w:rPr>
        <w:lastRenderedPageBreak/>
        <w:t>Section 51.325(a)(3) of the Commission</w:t>
      </w:r>
      <w:r w:rsidR="00C85F69">
        <w:rPr>
          <w:rFonts w:ascii="Times New Roman" w:hAnsi="Times New Roman" w:cs="Times New Roman"/>
          <w:sz w:val="24"/>
          <w:szCs w:val="24"/>
        </w:rPr>
        <w:t>’s</w:t>
      </w:r>
      <w:r w:rsidRPr="00DD45F7">
        <w:rPr>
          <w:rFonts w:ascii="Times New Roman" w:hAnsi="Times New Roman" w:cs="Times New Roman"/>
          <w:sz w:val="24"/>
          <w:szCs w:val="24"/>
        </w:rPr>
        <w:t xml:space="preserve"> rules require</w:t>
      </w:r>
      <w:r w:rsidR="00EC5236">
        <w:rPr>
          <w:rFonts w:ascii="Times New Roman" w:hAnsi="Times New Roman" w:cs="Times New Roman"/>
          <w:sz w:val="24"/>
          <w:szCs w:val="24"/>
        </w:rPr>
        <w:t>s</w:t>
      </w:r>
      <w:r w:rsidRPr="00DD45F7">
        <w:rPr>
          <w:rFonts w:ascii="Times New Roman" w:hAnsi="Times New Roman" w:cs="Times New Roman"/>
          <w:sz w:val="24"/>
          <w:szCs w:val="24"/>
        </w:rPr>
        <w:t xml:space="preserve"> that </w:t>
      </w:r>
      <w:r w:rsidR="0021734C">
        <w:rPr>
          <w:rFonts w:ascii="Times New Roman" w:hAnsi="Times New Roman" w:cs="Times New Roman"/>
          <w:sz w:val="24"/>
          <w:szCs w:val="24"/>
        </w:rPr>
        <w:t>ILECs</w:t>
      </w:r>
      <w:r w:rsidRPr="00DD45F7">
        <w:rPr>
          <w:rFonts w:ascii="Times New Roman" w:hAnsi="Times New Roman" w:cs="Times New Roman"/>
          <w:sz w:val="24"/>
          <w:szCs w:val="24"/>
        </w:rPr>
        <w:t xml:space="preserve"> provide notice pursuant to the Commission’s network change disclosure rules of any changes to their networks that “will affect the manner in which customer premises equipment is attached to the interstate network.”  47 C.F.R. § 51.325(a)(3).  Section 68.110(b) of the Commission</w:t>
      </w:r>
      <w:r w:rsidR="00C85F69">
        <w:rPr>
          <w:rFonts w:ascii="Times New Roman" w:hAnsi="Times New Roman" w:cs="Times New Roman"/>
          <w:sz w:val="24"/>
          <w:szCs w:val="24"/>
        </w:rPr>
        <w:t>’s</w:t>
      </w:r>
      <w:r w:rsidRPr="00DD45F7">
        <w:rPr>
          <w:rFonts w:ascii="Times New Roman" w:hAnsi="Times New Roman" w:cs="Times New Roman"/>
          <w:sz w:val="24"/>
          <w:szCs w:val="24"/>
        </w:rPr>
        <w:t xml:space="preserve"> rules require</w:t>
      </w:r>
      <w:r w:rsidR="00C6671D">
        <w:rPr>
          <w:rFonts w:ascii="Times New Roman" w:hAnsi="Times New Roman" w:cs="Times New Roman"/>
          <w:sz w:val="24"/>
          <w:szCs w:val="24"/>
        </w:rPr>
        <w:t>s that</w:t>
      </w:r>
      <w:r w:rsidRPr="00DD45F7">
        <w:rPr>
          <w:rFonts w:ascii="Times New Roman" w:hAnsi="Times New Roman" w:cs="Times New Roman"/>
          <w:sz w:val="24"/>
          <w:szCs w:val="24"/>
        </w:rPr>
        <w:t xml:space="preserve"> all wireline telecommunications providers give customers written notice if “any customer’s terminal equipment” would be materially affected by a network change.  47 C.F.R. §</w:t>
      </w:r>
      <w:r>
        <w:rPr>
          <w:rFonts w:ascii="Times New Roman" w:hAnsi="Times New Roman" w:cs="Times New Roman"/>
          <w:sz w:val="24"/>
          <w:szCs w:val="24"/>
        </w:rPr>
        <w:t> </w:t>
      </w:r>
      <w:r w:rsidRPr="00DD45F7">
        <w:rPr>
          <w:rFonts w:ascii="Times New Roman" w:hAnsi="Times New Roman" w:cs="Times New Roman"/>
          <w:sz w:val="24"/>
          <w:szCs w:val="24"/>
        </w:rPr>
        <w:t>68.110(b).</w:t>
      </w:r>
      <w:r>
        <w:rPr>
          <w:rFonts w:ascii="Times New Roman" w:hAnsi="Times New Roman" w:cs="Times New Roman"/>
          <w:sz w:val="24"/>
          <w:szCs w:val="24"/>
        </w:rPr>
        <w:t xml:space="preserve">  </w:t>
      </w:r>
    </w:p>
    <w:p w:rsidR="00523CB9" w:rsidRPr="00DD45F7" w:rsidRDefault="00963C6B" w:rsidP="00DD45F7">
      <w:pPr>
        <w:autoSpaceDE w:val="0"/>
        <w:autoSpaceDN w:val="0"/>
        <w:adjustRightInd w:val="0"/>
        <w:spacing w:after="0" w:line="480" w:lineRule="auto"/>
        <w:ind w:firstLine="720"/>
        <w:rPr>
          <w:rFonts w:ascii="Times New Roman" w:hAnsi="Times New Roman" w:cs="Times New Roman"/>
          <w:sz w:val="24"/>
          <w:szCs w:val="24"/>
        </w:rPr>
      </w:pPr>
      <w:r w:rsidRPr="00DD45F7">
        <w:rPr>
          <w:rFonts w:ascii="Times New Roman" w:hAnsi="Times New Roman" w:cs="Times New Roman"/>
          <w:sz w:val="24"/>
          <w:szCs w:val="24"/>
        </w:rPr>
        <w:t xml:space="preserve">In the </w:t>
      </w:r>
      <w:r w:rsidRPr="00DD45F7">
        <w:rPr>
          <w:rFonts w:ascii="Times New Roman" w:hAnsi="Times New Roman" w:cs="Times New Roman"/>
          <w:i/>
          <w:sz w:val="24"/>
          <w:szCs w:val="24"/>
        </w:rPr>
        <w:t>FNPRM</w:t>
      </w:r>
      <w:r w:rsidRPr="00DD45F7">
        <w:rPr>
          <w:rFonts w:ascii="Times New Roman" w:hAnsi="Times New Roman" w:cs="Times New Roman"/>
          <w:sz w:val="24"/>
          <w:szCs w:val="24"/>
        </w:rPr>
        <w:t>, the Commission sought comment on AT&amp;T’s proposal to eliminate the requirement that wireline carriers provide public notice of network changes affecting the interoperability of customer premises equipment</w:t>
      </w:r>
      <w:r w:rsidR="00DD45F7">
        <w:rPr>
          <w:rFonts w:ascii="Times New Roman" w:hAnsi="Times New Roman" w:cs="Times New Roman"/>
          <w:sz w:val="24"/>
          <w:szCs w:val="24"/>
        </w:rPr>
        <w:t xml:space="preserve"> (CPE)</w:t>
      </w:r>
      <w:r w:rsidRPr="00DD45F7">
        <w:rPr>
          <w:rFonts w:ascii="Times New Roman" w:hAnsi="Times New Roman" w:cs="Times New Roman"/>
          <w:sz w:val="24"/>
          <w:szCs w:val="24"/>
        </w:rPr>
        <w:t>.</w:t>
      </w:r>
      <w:r w:rsidR="00523CB9" w:rsidRPr="00DD45F7">
        <w:rPr>
          <w:rFonts w:ascii="Times New Roman" w:hAnsi="Times New Roman" w:cs="Times New Roman"/>
          <w:sz w:val="24"/>
          <w:szCs w:val="24"/>
        </w:rPr>
        <w:t xml:space="preserve">  </w:t>
      </w:r>
      <w:r w:rsidR="00523CB9" w:rsidRPr="00DD45F7">
        <w:rPr>
          <w:rFonts w:ascii="Times New Roman" w:hAnsi="Times New Roman" w:cs="Times New Roman"/>
          <w:i/>
          <w:sz w:val="24"/>
          <w:szCs w:val="24"/>
        </w:rPr>
        <w:t>FNPRM</w:t>
      </w:r>
      <w:r w:rsidR="00523CB9" w:rsidRPr="00DD45F7">
        <w:rPr>
          <w:rFonts w:ascii="Times New Roman" w:hAnsi="Times New Roman" w:cs="Times New Roman"/>
          <w:sz w:val="24"/>
          <w:szCs w:val="24"/>
        </w:rPr>
        <w:t xml:space="preserve"> at 63-64, para</w:t>
      </w:r>
      <w:r w:rsidR="001B5AAB">
        <w:rPr>
          <w:rFonts w:ascii="Times New Roman" w:hAnsi="Times New Roman" w:cs="Times New Roman"/>
          <w:sz w:val="24"/>
          <w:szCs w:val="24"/>
        </w:rPr>
        <w:t>s</w:t>
      </w:r>
      <w:r w:rsidR="00523CB9" w:rsidRPr="00DD45F7">
        <w:rPr>
          <w:rFonts w:ascii="Times New Roman" w:hAnsi="Times New Roman" w:cs="Times New Roman"/>
          <w:sz w:val="24"/>
          <w:szCs w:val="24"/>
        </w:rPr>
        <w:t>. 165-66.</w:t>
      </w:r>
      <w:r w:rsidRPr="00DD45F7">
        <w:rPr>
          <w:rFonts w:ascii="Times New Roman" w:hAnsi="Times New Roman" w:cs="Times New Roman"/>
          <w:sz w:val="24"/>
          <w:szCs w:val="24"/>
        </w:rPr>
        <w:t xml:space="preserve">  </w:t>
      </w:r>
      <w:r w:rsidR="00523CB9" w:rsidRPr="00DD45F7">
        <w:rPr>
          <w:rFonts w:ascii="Times New Roman" w:hAnsi="Times New Roman" w:cs="Times New Roman"/>
          <w:sz w:val="24"/>
          <w:szCs w:val="24"/>
        </w:rPr>
        <w:t>The Pa</w:t>
      </w:r>
      <w:r w:rsidR="00DD45F7">
        <w:rPr>
          <w:rFonts w:ascii="Times New Roman" w:hAnsi="Times New Roman" w:cs="Times New Roman"/>
          <w:sz w:val="24"/>
          <w:szCs w:val="24"/>
        </w:rPr>
        <w:t xml:space="preserve">. </w:t>
      </w:r>
      <w:r w:rsidR="00523CB9" w:rsidRPr="00DD45F7">
        <w:rPr>
          <w:rFonts w:ascii="Times New Roman" w:hAnsi="Times New Roman" w:cs="Times New Roman"/>
          <w:sz w:val="24"/>
          <w:szCs w:val="24"/>
        </w:rPr>
        <w:t>PUC recommends that the Commission reject AT&amp;T’s proposal to eliminate Sections 51.325(a)(3) and 68.110(b).</w:t>
      </w:r>
    </w:p>
    <w:p w:rsidR="001C1336" w:rsidRDefault="00F34B51" w:rsidP="00B7071D">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Pa. PUC does not support AT&amp;T’s proposal.  </w:t>
      </w:r>
      <w:r w:rsidR="00C85F69">
        <w:rPr>
          <w:rFonts w:ascii="Times New Roman" w:hAnsi="Times New Roman" w:cs="Times New Roman"/>
          <w:sz w:val="24"/>
          <w:szCs w:val="24"/>
        </w:rPr>
        <w:t xml:space="preserve">A </w:t>
      </w:r>
      <w:r w:rsidR="001C1336">
        <w:rPr>
          <w:rFonts w:ascii="Times New Roman" w:hAnsi="Times New Roman" w:cs="Times New Roman"/>
          <w:sz w:val="24"/>
          <w:szCs w:val="24"/>
        </w:rPr>
        <w:t xml:space="preserve">regulatory governmental notice </w:t>
      </w:r>
      <w:r w:rsidR="001A14D1">
        <w:rPr>
          <w:rFonts w:ascii="Times New Roman" w:hAnsi="Times New Roman" w:cs="Times New Roman"/>
          <w:sz w:val="24"/>
          <w:szCs w:val="24"/>
        </w:rPr>
        <w:t xml:space="preserve">default rule </w:t>
      </w:r>
      <w:r w:rsidR="0048358B">
        <w:rPr>
          <w:rFonts w:ascii="Times New Roman" w:hAnsi="Times New Roman" w:cs="Times New Roman"/>
          <w:sz w:val="24"/>
          <w:szCs w:val="24"/>
        </w:rPr>
        <w:t>ensures a neutral and balanced means of informing consumers as opposed to sole and exclusive reliance on the anticipated actions of providers based on their business operations.  While that may largely control in m</w:t>
      </w:r>
      <w:r w:rsidR="00C85F69">
        <w:rPr>
          <w:rFonts w:ascii="Times New Roman" w:hAnsi="Times New Roman" w:cs="Times New Roman"/>
          <w:sz w:val="24"/>
          <w:szCs w:val="24"/>
        </w:rPr>
        <w:t xml:space="preserve">ost </w:t>
      </w:r>
      <w:r w:rsidR="0048358B">
        <w:rPr>
          <w:rFonts w:ascii="Times New Roman" w:hAnsi="Times New Roman" w:cs="Times New Roman"/>
          <w:sz w:val="24"/>
          <w:szCs w:val="24"/>
        </w:rPr>
        <w:t xml:space="preserve">instances, it is better to have a formal notice </w:t>
      </w:r>
      <w:r w:rsidR="001A14D1">
        <w:rPr>
          <w:rFonts w:ascii="Times New Roman" w:hAnsi="Times New Roman" w:cs="Times New Roman"/>
          <w:sz w:val="24"/>
          <w:szCs w:val="24"/>
        </w:rPr>
        <w:t xml:space="preserve">backstop which </w:t>
      </w:r>
      <w:r w:rsidR="0048358B">
        <w:rPr>
          <w:rFonts w:ascii="Times New Roman" w:hAnsi="Times New Roman" w:cs="Times New Roman"/>
          <w:sz w:val="24"/>
          <w:szCs w:val="24"/>
        </w:rPr>
        <w:t xml:space="preserve">ensures that consumers </w:t>
      </w:r>
      <w:r w:rsidR="001A14D1">
        <w:rPr>
          <w:rFonts w:ascii="Times New Roman" w:hAnsi="Times New Roman" w:cs="Times New Roman"/>
          <w:sz w:val="24"/>
          <w:szCs w:val="24"/>
        </w:rPr>
        <w:t xml:space="preserve">will get notice even in those instances where it requires resources contrary to a provider’s interest.  </w:t>
      </w:r>
      <w:r w:rsidR="00963C6B" w:rsidRPr="00DD45F7">
        <w:rPr>
          <w:rFonts w:ascii="Times New Roman" w:hAnsi="Times New Roman" w:cs="Times New Roman"/>
          <w:sz w:val="24"/>
          <w:szCs w:val="24"/>
        </w:rPr>
        <w:t xml:space="preserve">Sections 51.325(a)(3) and 68.110(b) of the Commission’s rules </w:t>
      </w:r>
      <w:r>
        <w:rPr>
          <w:rFonts w:ascii="Times New Roman" w:hAnsi="Times New Roman" w:cs="Times New Roman"/>
          <w:sz w:val="24"/>
          <w:szCs w:val="24"/>
        </w:rPr>
        <w:t>do</w:t>
      </w:r>
      <w:r w:rsidR="00C85F69">
        <w:rPr>
          <w:rFonts w:ascii="Times New Roman" w:hAnsi="Times New Roman" w:cs="Times New Roman"/>
          <w:sz w:val="24"/>
          <w:szCs w:val="24"/>
        </w:rPr>
        <w:t xml:space="preserve"> that.  They are </w:t>
      </w:r>
      <w:r w:rsidR="00963C6B" w:rsidRPr="00DD45F7">
        <w:rPr>
          <w:rFonts w:ascii="Times New Roman" w:hAnsi="Times New Roman" w:cs="Times New Roman"/>
          <w:sz w:val="24"/>
          <w:szCs w:val="24"/>
        </w:rPr>
        <w:t>important</w:t>
      </w:r>
      <w:r w:rsidR="001C1336">
        <w:rPr>
          <w:rFonts w:ascii="Times New Roman" w:hAnsi="Times New Roman" w:cs="Times New Roman"/>
          <w:sz w:val="24"/>
          <w:szCs w:val="24"/>
        </w:rPr>
        <w:t xml:space="preserve"> given these considerations </w:t>
      </w:r>
      <w:r w:rsidR="00963C6B" w:rsidRPr="00DD45F7">
        <w:rPr>
          <w:rFonts w:ascii="Times New Roman" w:hAnsi="Times New Roman" w:cs="Times New Roman"/>
          <w:sz w:val="24"/>
          <w:szCs w:val="24"/>
        </w:rPr>
        <w:t>and should not be eliminated</w:t>
      </w:r>
      <w:r w:rsidR="005613BB">
        <w:rPr>
          <w:rFonts w:ascii="Times New Roman" w:hAnsi="Times New Roman" w:cs="Times New Roman"/>
          <w:sz w:val="24"/>
          <w:szCs w:val="24"/>
        </w:rPr>
        <w:t>.</w:t>
      </w:r>
      <w:r w:rsidR="003D3067">
        <w:rPr>
          <w:rFonts w:ascii="Times New Roman" w:hAnsi="Times New Roman" w:cs="Times New Roman"/>
          <w:sz w:val="24"/>
          <w:szCs w:val="24"/>
        </w:rPr>
        <w:t xml:space="preserve">  </w:t>
      </w:r>
      <w:r>
        <w:rPr>
          <w:rFonts w:ascii="Times New Roman" w:hAnsi="Times New Roman" w:cs="Times New Roman"/>
          <w:sz w:val="24"/>
          <w:szCs w:val="24"/>
        </w:rPr>
        <w:t>N</w:t>
      </w:r>
      <w:r w:rsidR="001C1336">
        <w:rPr>
          <w:rFonts w:ascii="Times New Roman" w:hAnsi="Times New Roman" w:cs="Times New Roman"/>
          <w:sz w:val="24"/>
          <w:szCs w:val="24"/>
        </w:rPr>
        <w:t xml:space="preserve">otice </w:t>
      </w:r>
      <w:r w:rsidR="003D3067">
        <w:rPr>
          <w:rFonts w:ascii="Times New Roman" w:hAnsi="Times New Roman" w:cs="Times New Roman"/>
          <w:sz w:val="24"/>
          <w:szCs w:val="24"/>
        </w:rPr>
        <w:t xml:space="preserve">to customers </w:t>
      </w:r>
      <w:r w:rsidR="00963C6B" w:rsidRPr="00DD45F7">
        <w:rPr>
          <w:rFonts w:ascii="Times New Roman" w:hAnsi="Times New Roman" w:cs="Times New Roman"/>
          <w:sz w:val="24"/>
          <w:szCs w:val="24"/>
        </w:rPr>
        <w:t xml:space="preserve">allows </w:t>
      </w:r>
      <w:r w:rsidR="003D3067">
        <w:rPr>
          <w:rFonts w:ascii="Times New Roman" w:hAnsi="Times New Roman" w:cs="Times New Roman"/>
          <w:sz w:val="24"/>
          <w:szCs w:val="24"/>
        </w:rPr>
        <w:t>them</w:t>
      </w:r>
      <w:r w:rsidR="00963C6B" w:rsidRPr="00DD45F7">
        <w:rPr>
          <w:rFonts w:ascii="Times New Roman" w:hAnsi="Times New Roman" w:cs="Times New Roman"/>
          <w:sz w:val="24"/>
          <w:szCs w:val="24"/>
        </w:rPr>
        <w:t xml:space="preserve"> to modify their equipment or purchase new equipment to ensure their ability to communicate </w:t>
      </w:r>
      <w:r w:rsidR="00E40A59">
        <w:rPr>
          <w:rFonts w:ascii="Times New Roman" w:hAnsi="Times New Roman" w:cs="Times New Roman"/>
          <w:sz w:val="24"/>
          <w:szCs w:val="24"/>
        </w:rPr>
        <w:t>remains un</w:t>
      </w:r>
      <w:r w:rsidR="00963C6B" w:rsidRPr="00DD45F7">
        <w:rPr>
          <w:rFonts w:ascii="Times New Roman" w:hAnsi="Times New Roman" w:cs="Times New Roman"/>
          <w:sz w:val="24"/>
          <w:szCs w:val="24"/>
        </w:rPr>
        <w:t>interrupted</w:t>
      </w:r>
      <w:r>
        <w:rPr>
          <w:rFonts w:ascii="Times New Roman" w:hAnsi="Times New Roman" w:cs="Times New Roman"/>
          <w:sz w:val="24"/>
          <w:szCs w:val="24"/>
        </w:rPr>
        <w:t>.  T</w:t>
      </w:r>
      <w:r w:rsidR="00E40A59">
        <w:rPr>
          <w:rFonts w:ascii="Times New Roman" w:hAnsi="Times New Roman" w:cs="Times New Roman"/>
          <w:sz w:val="24"/>
          <w:szCs w:val="24"/>
        </w:rPr>
        <w:t xml:space="preserve">his is particularly </w:t>
      </w:r>
      <w:r>
        <w:rPr>
          <w:rFonts w:ascii="Times New Roman" w:hAnsi="Times New Roman" w:cs="Times New Roman"/>
          <w:sz w:val="24"/>
          <w:szCs w:val="24"/>
        </w:rPr>
        <w:t xml:space="preserve">true </w:t>
      </w:r>
      <w:r w:rsidR="00E40A59">
        <w:rPr>
          <w:rFonts w:ascii="Times New Roman" w:hAnsi="Times New Roman" w:cs="Times New Roman"/>
          <w:sz w:val="24"/>
          <w:szCs w:val="24"/>
        </w:rPr>
        <w:t xml:space="preserve">for consumers with disabilities or other services, such as medical alerts or home alarm systems.  The </w:t>
      </w:r>
      <w:r>
        <w:rPr>
          <w:rFonts w:ascii="Times New Roman" w:hAnsi="Times New Roman" w:cs="Times New Roman"/>
          <w:sz w:val="24"/>
          <w:szCs w:val="24"/>
        </w:rPr>
        <w:t>notice period should</w:t>
      </w:r>
      <w:r w:rsidR="001C1336">
        <w:rPr>
          <w:rFonts w:ascii="Times New Roman" w:hAnsi="Times New Roman" w:cs="Times New Roman"/>
          <w:sz w:val="24"/>
          <w:szCs w:val="24"/>
        </w:rPr>
        <w:t xml:space="preserve"> be reasonable and reflect carrier exigencies as the current rule </w:t>
      </w:r>
      <w:r>
        <w:rPr>
          <w:rFonts w:ascii="Times New Roman" w:hAnsi="Times New Roman" w:cs="Times New Roman"/>
          <w:sz w:val="24"/>
          <w:szCs w:val="24"/>
        </w:rPr>
        <w:t>does.</w:t>
      </w:r>
      <w:r w:rsidR="00963C6B" w:rsidRPr="00DD45F7">
        <w:rPr>
          <w:rFonts w:ascii="Times New Roman" w:hAnsi="Times New Roman" w:cs="Times New Roman"/>
          <w:sz w:val="24"/>
          <w:szCs w:val="24"/>
        </w:rPr>
        <w:t xml:space="preserve"> </w:t>
      </w:r>
    </w:p>
    <w:p w:rsidR="00B7071D" w:rsidRDefault="00542317" w:rsidP="00F34B51">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C</w:t>
      </w:r>
      <w:r w:rsidR="00963C6B" w:rsidRPr="00DD45F7">
        <w:rPr>
          <w:rFonts w:ascii="Times New Roman" w:hAnsi="Times New Roman" w:cs="Times New Roman"/>
          <w:sz w:val="24"/>
          <w:szCs w:val="24"/>
        </w:rPr>
        <w:t xml:space="preserve">arriers should at least have the obligation to notify customers of changes that </w:t>
      </w:r>
      <w:r w:rsidR="00963C6B" w:rsidRPr="00DD45F7">
        <w:rPr>
          <w:rFonts w:ascii="Times New Roman" w:hAnsi="Times New Roman" w:cs="Times New Roman"/>
          <w:i/>
          <w:iCs/>
          <w:sz w:val="24"/>
          <w:szCs w:val="24"/>
        </w:rPr>
        <w:t xml:space="preserve">could </w:t>
      </w:r>
      <w:r w:rsidR="00963C6B" w:rsidRPr="00DD45F7">
        <w:rPr>
          <w:rFonts w:ascii="Times New Roman" w:hAnsi="Times New Roman" w:cs="Times New Roman"/>
          <w:sz w:val="24"/>
          <w:szCs w:val="24"/>
        </w:rPr>
        <w:t>have an impact on CPE.  Hence, the Pa</w:t>
      </w:r>
      <w:r w:rsidR="00DD45F7">
        <w:rPr>
          <w:rFonts w:ascii="Times New Roman" w:hAnsi="Times New Roman" w:cs="Times New Roman"/>
          <w:sz w:val="24"/>
          <w:szCs w:val="24"/>
        </w:rPr>
        <w:t xml:space="preserve">. </w:t>
      </w:r>
      <w:r w:rsidR="00963C6B" w:rsidRPr="00DD45F7">
        <w:rPr>
          <w:rFonts w:ascii="Times New Roman" w:hAnsi="Times New Roman" w:cs="Times New Roman"/>
          <w:sz w:val="24"/>
          <w:szCs w:val="24"/>
        </w:rPr>
        <w:t>PUC supports the compromise proposal of the Consumer Groups</w:t>
      </w:r>
      <w:r w:rsidR="00F34B51">
        <w:rPr>
          <w:rStyle w:val="FootnoteReference"/>
          <w:rFonts w:ascii="Times New Roman" w:hAnsi="Times New Roman" w:cs="Times New Roman"/>
          <w:sz w:val="24"/>
          <w:szCs w:val="24"/>
        </w:rPr>
        <w:footnoteReference w:id="3"/>
      </w:r>
      <w:r w:rsidR="00963C6B" w:rsidRPr="00DD45F7">
        <w:rPr>
          <w:rFonts w:ascii="Times New Roman" w:hAnsi="Times New Roman" w:cs="Times New Roman"/>
          <w:sz w:val="24"/>
          <w:szCs w:val="24"/>
        </w:rPr>
        <w:t xml:space="preserve"> and RERC</w:t>
      </w:r>
      <w:r w:rsidR="00F34B51">
        <w:rPr>
          <w:rStyle w:val="FootnoteReference"/>
          <w:rFonts w:ascii="Times New Roman" w:hAnsi="Times New Roman" w:cs="Times New Roman"/>
          <w:sz w:val="24"/>
          <w:szCs w:val="24"/>
        </w:rPr>
        <w:footnoteReference w:id="4"/>
      </w:r>
      <w:r w:rsidR="00963C6B" w:rsidRPr="00DD45F7">
        <w:rPr>
          <w:rFonts w:ascii="Times New Roman" w:hAnsi="Times New Roman" w:cs="Times New Roman"/>
          <w:sz w:val="24"/>
          <w:szCs w:val="24"/>
        </w:rPr>
        <w:t xml:space="preserve"> that the CPE notification rules be modified to clarify that carriers need only make a general determination as to whether their network changes are so significant that they could have an impac</w:t>
      </w:r>
      <w:r w:rsidR="00F34B51">
        <w:rPr>
          <w:rFonts w:ascii="Times New Roman" w:hAnsi="Times New Roman" w:cs="Times New Roman"/>
          <w:sz w:val="24"/>
          <w:szCs w:val="24"/>
        </w:rPr>
        <w:t>t on the functionality of CPE.</w:t>
      </w:r>
      <w:r w:rsidR="00963C6B" w:rsidRPr="00DD45F7">
        <w:rPr>
          <w:rFonts w:ascii="Times New Roman" w:hAnsi="Times New Roman" w:cs="Times New Roman"/>
          <w:sz w:val="24"/>
          <w:szCs w:val="24"/>
        </w:rPr>
        <w:t xml:space="preserve">  </w:t>
      </w:r>
      <w:r w:rsidR="001C1336">
        <w:rPr>
          <w:rFonts w:ascii="Times New Roman" w:hAnsi="Times New Roman" w:cs="Times New Roman"/>
          <w:sz w:val="24"/>
          <w:szCs w:val="24"/>
        </w:rPr>
        <w:t xml:space="preserve">In those instances where a provider determines that a change is not </w:t>
      </w:r>
      <w:r w:rsidR="000B73F5">
        <w:rPr>
          <w:rFonts w:ascii="Times New Roman" w:hAnsi="Times New Roman" w:cs="Times New Roman"/>
          <w:sz w:val="24"/>
          <w:szCs w:val="24"/>
        </w:rPr>
        <w:t>significant,</w:t>
      </w:r>
      <w:r w:rsidR="001C1336">
        <w:rPr>
          <w:rFonts w:ascii="Times New Roman" w:hAnsi="Times New Roman" w:cs="Times New Roman"/>
          <w:sz w:val="24"/>
          <w:szCs w:val="24"/>
        </w:rPr>
        <w:t xml:space="preserve"> but that deci</w:t>
      </w:r>
      <w:r w:rsidR="00F34B51">
        <w:rPr>
          <w:rFonts w:ascii="Times New Roman" w:hAnsi="Times New Roman" w:cs="Times New Roman"/>
          <w:sz w:val="24"/>
          <w:szCs w:val="24"/>
        </w:rPr>
        <w:t xml:space="preserve">sion turns out to be faulty, carriers should remain subject to the </w:t>
      </w:r>
      <w:r w:rsidR="001C1336">
        <w:rPr>
          <w:rFonts w:ascii="Times New Roman" w:hAnsi="Times New Roman" w:cs="Times New Roman"/>
          <w:sz w:val="24"/>
          <w:szCs w:val="24"/>
        </w:rPr>
        <w:t xml:space="preserve">Commission’s enforcement </w:t>
      </w:r>
      <w:r w:rsidR="00E40A59">
        <w:rPr>
          <w:rFonts w:ascii="Times New Roman" w:hAnsi="Times New Roman" w:cs="Times New Roman"/>
          <w:sz w:val="24"/>
          <w:szCs w:val="24"/>
        </w:rPr>
        <w:t>action</w:t>
      </w:r>
      <w:r w:rsidR="00F34B51">
        <w:rPr>
          <w:rFonts w:ascii="Times New Roman" w:hAnsi="Times New Roman" w:cs="Times New Roman"/>
          <w:sz w:val="24"/>
          <w:szCs w:val="24"/>
        </w:rPr>
        <w:t>s, that</w:t>
      </w:r>
      <w:r w:rsidR="00E40A59">
        <w:rPr>
          <w:rFonts w:ascii="Times New Roman" w:hAnsi="Times New Roman" w:cs="Times New Roman"/>
          <w:sz w:val="24"/>
          <w:szCs w:val="24"/>
        </w:rPr>
        <w:t xml:space="preserve"> could include penalties based on a determination that each day of a violation constitutes a separate violation.  </w:t>
      </w:r>
      <w:r w:rsidR="00F34B51">
        <w:rPr>
          <w:rFonts w:ascii="Times New Roman" w:hAnsi="Times New Roman" w:cs="Times New Roman"/>
          <w:sz w:val="24"/>
          <w:szCs w:val="24"/>
        </w:rPr>
        <w:t xml:space="preserve">Carriers must remain accountable for their decisions. </w:t>
      </w:r>
    </w:p>
    <w:p w:rsidR="004727A4" w:rsidRDefault="0033482F" w:rsidP="00DD45F7">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Furthermore, </w:t>
      </w:r>
      <w:r w:rsidR="00B7071D">
        <w:rPr>
          <w:rFonts w:ascii="Times New Roman" w:hAnsi="Times New Roman" w:cs="Times New Roman"/>
          <w:sz w:val="24"/>
          <w:szCs w:val="24"/>
        </w:rPr>
        <w:t>t</w:t>
      </w:r>
      <w:r w:rsidR="00B7071D" w:rsidRPr="00DD45F7">
        <w:rPr>
          <w:rFonts w:ascii="Times New Roman" w:hAnsi="Times New Roman" w:cs="Times New Roman"/>
          <w:sz w:val="24"/>
          <w:szCs w:val="24"/>
        </w:rPr>
        <w:t>he Pa</w:t>
      </w:r>
      <w:r w:rsidR="00B7071D">
        <w:rPr>
          <w:rFonts w:ascii="Times New Roman" w:hAnsi="Times New Roman" w:cs="Times New Roman"/>
          <w:sz w:val="24"/>
          <w:szCs w:val="24"/>
        </w:rPr>
        <w:t xml:space="preserve">. </w:t>
      </w:r>
      <w:r w:rsidR="00B7071D" w:rsidRPr="00DD45F7">
        <w:rPr>
          <w:rFonts w:ascii="Times New Roman" w:hAnsi="Times New Roman" w:cs="Times New Roman"/>
          <w:sz w:val="24"/>
          <w:szCs w:val="24"/>
        </w:rPr>
        <w:t>PUC agrees with the Consumer Groups</w:t>
      </w:r>
      <w:r w:rsidR="000D60CB">
        <w:rPr>
          <w:rFonts w:ascii="Times New Roman" w:hAnsi="Times New Roman" w:cs="Times New Roman"/>
          <w:sz w:val="24"/>
          <w:szCs w:val="24"/>
        </w:rPr>
        <w:t xml:space="preserve"> </w:t>
      </w:r>
      <w:r w:rsidR="00B7071D" w:rsidRPr="00DD45F7">
        <w:rPr>
          <w:rFonts w:ascii="Times New Roman" w:hAnsi="Times New Roman" w:cs="Times New Roman"/>
          <w:sz w:val="24"/>
          <w:szCs w:val="24"/>
        </w:rPr>
        <w:t>and RERC that advanced notice to manufacturers ensures that individuals with disabilities have options for functioning communications equipment after network changes</w:t>
      </w:r>
      <w:r w:rsidR="00F040BB">
        <w:rPr>
          <w:rFonts w:ascii="Times New Roman" w:hAnsi="Times New Roman" w:cs="Times New Roman"/>
          <w:sz w:val="24"/>
          <w:szCs w:val="24"/>
        </w:rPr>
        <w:t xml:space="preserve"> are made,</w:t>
      </w:r>
      <w:r w:rsidR="00B7071D" w:rsidRPr="00DD45F7">
        <w:rPr>
          <w:rFonts w:ascii="Times New Roman" w:hAnsi="Times New Roman" w:cs="Times New Roman"/>
          <w:sz w:val="24"/>
          <w:szCs w:val="24"/>
        </w:rPr>
        <w:t xml:space="preserve"> and </w:t>
      </w:r>
      <w:r w:rsidR="00F040BB">
        <w:rPr>
          <w:rFonts w:ascii="Times New Roman" w:hAnsi="Times New Roman" w:cs="Times New Roman"/>
          <w:sz w:val="24"/>
          <w:szCs w:val="24"/>
        </w:rPr>
        <w:t xml:space="preserve">it </w:t>
      </w:r>
      <w:r w:rsidR="00B7071D" w:rsidRPr="00DD45F7">
        <w:rPr>
          <w:rFonts w:ascii="Times New Roman" w:hAnsi="Times New Roman" w:cs="Times New Roman"/>
          <w:sz w:val="24"/>
          <w:szCs w:val="24"/>
        </w:rPr>
        <w:t xml:space="preserve">facilitates market competition, including the development of assistive technologies.  </w:t>
      </w:r>
      <w:r w:rsidR="004727A4" w:rsidRPr="00DD45F7">
        <w:rPr>
          <w:rFonts w:ascii="Times New Roman" w:hAnsi="Times New Roman" w:cs="Times New Roman"/>
          <w:sz w:val="24"/>
          <w:szCs w:val="24"/>
        </w:rPr>
        <w:t xml:space="preserve">Consumer Groups and RERC Comments at 6. </w:t>
      </w:r>
      <w:r w:rsidR="00F34B51">
        <w:rPr>
          <w:rFonts w:ascii="Times New Roman" w:hAnsi="Times New Roman" w:cs="Times New Roman"/>
          <w:sz w:val="24"/>
          <w:szCs w:val="24"/>
        </w:rPr>
        <w:t xml:space="preserve"> </w:t>
      </w:r>
      <w:r w:rsidR="00E40A59">
        <w:rPr>
          <w:rFonts w:ascii="Times New Roman" w:hAnsi="Times New Roman" w:cs="Times New Roman"/>
          <w:sz w:val="24"/>
          <w:szCs w:val="24"/>
        </w:rPr>
        <w:t xml:space="preserve">The </w:t>
      </w:r>
      <w:r w:rsidR="004727A4">
        <w:rPr>
          <w:rFonts w:ascii="Times New Roman" w:hAnsi="Times New Roman" w:cs="Times New Roman"/>
          <w:sz w:val="24"/>
          <w:szCs w:val="24"/>
        </w:rPr>
        <w:t xml:space="preserve">time period set for that advanced notice </w:t>
      </w:r>
      <w:r w:rsidR="00E40A59">
        <w:rPr>
          <w:rFonts w:ascii="Times New Roman" w:hAnsi="Times New Roman" w:cs="Times New Roman"/>
          <w:sz w:val="24"/>
          <w:szCs w:val="24"/>
        </w:rPr>
        <w:t xml:space="preserve">should </w:t>
      </w:r>
      <w:r w:rsidR="004727A4">
        <w:rPr>
          <w:rFonts w:ascii="Times New Roman" w:hAnsi="Times New Roman" w:cs="Times New Roman"/>
          <w:sz w:val="24"/>
          <w:szCs w:val="24"/>
        </w:rPr>
        <w:t xml:space="preserve">reflect the time-lag that exists between the time that a network or service provider determines that a new market transition will </w:t>
      </w:r>
      <w:r w:rsidR="000B73F5">
        <w:rPr>
          <w:rFonts w:ascii="Times New Roman" w:hAnsi="Times New Roman" w:cs="Times New Roman"/>
          <w:sz w:val="24"/>
          <w:szCs w:val="24"/>
        </w:rPr>
        <w:t>occur,</w:t>
      </w:r>
      <w:r w:rsidR="004727A4">
        <w:rPr>
          <w:rFonts w:ascii="Times New Roman" w:hAnsi="Times New Roman" w:cs="Times New Roman"/>
          <w:sz w:val="24"/>
          <w:szCs w:val="24"/>
        </w:rPr>
        <w:t xml:space="preserve"> and the time needed by private unaffiliated equipment provide</w:t>
      </w:r>
      <w:r w:rsidR="00E40A59">
        <w:rPr>
          <w:rFonts w:ascii="Times New Roman" w:hAnsi="Times New Roman" w:cs="Times New Roman"/>
          <w:sz w:val="24"/>
          <w:szCs w:val="24"/>
        </w:rPr>
        <w:t>r</w:t>
      </w:r>
      <w:r w:rsidR="004727A4">
        <w:rPr>
          <w:rFonts w:ascii="Times New Roman" w:hAnsi="Times New Roman" w:cs="Times New Roman"/>
          <w:sz w:val="24"/>
          <w:szCs w:val="24"/>
        </w:rPr>
        <w:t xml:space="preserve">s to develop the technological alternatives.  </w:t>
      </w:r>
    </w:p>
    <w:p w:rsidR="00B7071D" w:rsidRDefault="00B7071D" w:rsidP="00DD45F7">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33482F">
        <w:rPr>
          <w:rFonts w:ascii="Times New Roman" w:hAnsi="Times New Roman" w:cs="Times New Roman"/>
          <w:sz w:val="24"/>
          <w:szCs w:val="24"/>
        </w:rPr>
        <w:t>he Pa. PUC</w:t>
      </w:r>
      <w:r w:rsidR="004727A4">
        <w:rPr>
          <w:rFonts w:ascii="Times New Roman" w:hAnsi="Times New Roman" w:cs="Times New Roman"/>
          <w:sz w:val="24"/>
          <w:szCs w:val="24"/>
        </w:rPr>
        <w:t xml:space="preserve"> takes this position </w:t>
      </w:r>
      <w:r w:rsidR="00E40A59">
        <w:rPr>
          <w:rFonts w:ascii="Times New Roman" w:hAnsi="Times New Roman" w:cs="Times New Roman"/>
          <w:sz w:val="24"/>
          <w:szCs w:val="24"/>
        </w:rPr>
        <w:t xml:space="preserve">based on our experience with </w:t>
      </w:r>
      <w:r w:rsidR="0033482F">
        <w:rPr>
          <w:rFonts w:ascii="Times New Roman" w:hAnsi="Times New Roman" w:cs="Times New Roman"/>
          <w:sz w:val="24"/>
          <w:szCs w:val="24"/>
        </w:rPr>
        <w:t xml:space="preserve">compatibility issues for assistive technology devices for persons with disabilities </w:t>
      </w:r>
      <w:r w:rsidR="00E40A59">
        <w:rPr>
          <w:rFonts w:ascii="Times New Roman" w:hAnsi="Times New Roman" w:cs="Times New Roman"/>
          <w:sz w:val="24"/>
          <w:szCs w:val="24"/>
        </w:rPr>
        <w:t xml:space="preserve">who transition to </w:t>
      </w:r>
      <w:r w:rsidR="0033482F">
        <w:rPr>
          <w:rFonts w:ascii="Times New Roman" w:hAnsi="Times New Roman" w:cs="Times New Roman"/>
          <w:sz w:val="24"/>
          <w:szCs w:val="24"/>
        </w:rPr>
        <w:t xml:space="preserve">IP-configured </w:t>
      </w:r>
      <w:r w:rsidR="0033482F">
        <w:rPr>
          <w:rFonts w:ascii="Times New Roman" w:hAnsi="Times New Roman" w:cs="Times New Roman"/>
          <w:sz w:val="24"/>
          <w:szCs w:val="24"/>
        </w:rPr>
        <w:lastRenderedPageBreak/>
        <w:t xml:space="preserve">wireline network access lines.  </w:t>
      </w:r>
      <w:r w:rsidR="00E40A59">
        <w:rPr>
          <w:rFonts w:ascii="Times New Roman" w:hAnsi="Times New Roman" w:cs="Times New Roman"/>
          <w:sz w:val="24"/>
          <w:szCs w:val="24"/>
        </w:rPr>
        <w:t xml:space="preserve">The </w:t>
      </w:r>
      <w:r w:rsidR="0033482F">
        <w:rPr>
          <w:rFonts w:ascii="Times New Roman" w:hAnsi="Times New Roman" w:cs="Times New Roman"/>
          <w:sz w:val="24"/>
          <w:szCs w:val="24"/>
        </w:rPr>
        <w:t>Pa. PUC has affirmatively moved to address this issue with the availability of IP-enabled wireline assistive CPE to eligible individuals through Pennsylvania’s telecommunications device distribution program (TDDP).</w:t>
      </w:r>
      <w:r w:rsidR="0033482F">
        <w:rPr>
          <w:rStyle w:val="FootnoteReference"/>
          <w:rFonts w:ascii="Times New Roman" w:hAnsi="Times New Roman" w:cs="Times New Roman"/>
          <w:sz w:val="24"/>
          <w:szCs w:val="24"/>
        </w:rPr>
        <w:footnoteReference w:id="5"/>
      </w:r>
      <w:r w:rsidR="0033482F">
        <w:rPr>
          <w:rFonts w:ascii="Times New Roman" w:hAnsi="Times New Roman" w:cs="Times New Roman"/>
          <w:sz w:val="24"/>
          <w:szCs w:val="24"/>
        </w:rPr>
        <w:t xml:space="preserve">  </w:t>
      </w:r>
      <w:r w:rsidR="009D5B43">
        <w:rPr>
          <w:rFonts w:ascii="Times New Roman" w:hAnsi="Times New Roman" w:cs="Times New Roman"/>
          <w:sz w:val="24"/>
          <w:szCs w:val="24"/>
        </w:rPr>
        <w:t xml:space="preserve">The Pa. PUC also notes that the equivalent ability of persons with disabilities to communicate </w:t>
      </w:r>
      <w:r w:rsidR="009D5B43" w:rsidRPr="00E40A59">
        <w:rPr>
          <w:rFonts w:ascii="Times New Roman" w:hAnsi="Times New Roman" w:cs="Times New Roman"/>
          <w:sz w:val="24"/>
          <w:szCs w:val="24"/>
        </w:rPr>
        <w:t>“by wire or radio” is</w:t>
      </w:r>
      <w:r w:rsidR="009D5B43">
        <w:rPr>
          <w:rFonts w:ascii="Times New Roman" w:hAnsi="Times New Roman" w:cs="Times New Roman"/>
          <w:sz w:val="24"/>
          <w:szCs w:val="24"/>
        </w:rPr>
        <w:t xml:space="preserve"> subject not only to the federal Americans with Disabilities Act, but also to independent Pennsylvania statutory law.  </w:t>
      </w:r>
      <w:r w:rsidR="00B3290B">
        <w:rPr>
          <w:rFonts w:ascii="Times New Roman" w:hAnsi="Times New Roman" w:cs="Times New Roman"/>
          <w:i/>
          <w:sz w:val="24"/>
          <w:szCs w:val="24"/>
        </w:rPr>
        <w:t xml:space="preserve">See generally </w:t>
      </w:r>
      <w:r w:rsidR="00B3290B">
        <w:rPr>
          <w:rFonts w:ascii="Times New Roman" w:hAnsi="Times New Roman" w:cs="Times New Roman"/>
          <w:sz w:val="24"/>
          <w:szCs w:val="24"/>
        </w:rPr>
        <w:t xml:space="preserve">35 P.S. </w:t>
      </w:r>
      <w:r w:rsidR="00B3290B" w:rsidRPr="00DD45F7">
        <w:rPr>
          <w:rFonts w:ascii="Times New Roman" w:hAnsi="Times New Roman" w:cs="Times New Roman"/>
          <w:sz w:val="24"/>
          <w:szCs w:val="24"/>
        </w:rPr>
        <w:t>§</w:t>
      </w:r>
      <w:r w:rsidR="00B3290B" w:rsidRPr="00B3290B">
        <w:rPr>
          <w:rFonts w:ascii="Times New Roman" w:hAnsi="Times New Roman" w:cs="Times New Roman"/>
          <w:sz w:val="24"/>
          <w:szCs w:val="24"/>
        </w:rPr>
        <w:t xml:space="preserve"> 6701.2.</w:t>
      </w:r>
    </w:p>
    <w:p w:rsidR="00963C6B" w:rsidRPr="00DD45F7" w:rsidRDefault="00963C6B" w:rsidP="00DD45F7">
      <w:pPr>
        <w:autoSpaceDE w:val="0"/>
        <w:autoSpaceDN w:val="0"/>
        <w:adjustRightInd w:val="0"/>
        <w:spacing w:after="0" w:line="480" w:lineRule="auto"/>
        <w:ind w:firstLine="720"/>
        <w:rPr>
          <w:rFonts w:ascii="Times New Roman" w:hAnsi="Times New Roman" w:cs="Times New Roman"/>
          <w:sz w:val="24"/>
          <w:szCs w:val="24"/>
        </w:rPr>
      </w:pPr>
      <w:r w:rsidRPr="00DD45F7">
        <w:rPr>
          <w:rFonts w:ascii="Times New Roman" w:hAnsi="Times New Roman" w:cs="Times New Roman"/>
          <w:sz w:val="24"/>
          <w:szCs w:val="24"/>
        </w:rPr>
        <w:t>Accordingly, the Pa</w:t>
      </w:r>
      <w:r w:rsidR="00A80ADC">
        <w:rPr>
          <w:rFonts w:ascii="Times New Roman" w:hAnsi="Times New Roman" w:cs="Times New Roman"/>
          <w:sz w:val="24"/>
          <w:szCs w:val="24"/>
        </w:rPr>
        <w:t xml:space="preserve">. </w:t>
      </w:r>
      <w:r w:rsidRPr="00DD45F7">
        <w:rPr>
          <w:rFonts w:ascii="Times New Roman" w:hAnsi="Times New Roman" w:cs="Times New Roman"/>
          <w:sz w:val="24"/>
          <w:szCs w:val="24"/>
        </w:rPr>
        <w:t>PUC recommends that the Commission reject AT&amp;T’s proposal to eliminate Sections 51.325(a)(3) and 68.110(b) of the Commission’s rules that require wireline carriers to provide public notice of network changes affecting the interoperability of CPE.</w:t>
      </w:r>
      <w:r w:rsidR="00B7071D">
        <w:rPr>
          <w:rFonts w:ascii="Times New Roman" w:hAnsi="Times New Roman" w:cs="Times New Roman"/>
          <w:sz w:val="24"/>
          <w:szCs w:val="24"/>
        </w:rPr>
        <w:t xml:space="preserve">  </w:t>
      </w:r>
      <w:r w:rsidR="00E40A59">
        <w:rPr>
          <w:rFonts w:ascii="Times New Roman" w:hAnsi="Times New Roman" w:cs="Times New Roman"/>
          <w:sz w:val="24"/>
          <w:szCs w:val="24"/>
        </w:rPr>
        <w:t xml:space="preserve">Alternatively, the </w:t>
      </w:r>
      <w:r w:rsidR="00B7071D" w:rsidRPr="00DD45F7">
        <w:rPr>
          <w:rFonts w:ascii="Times New Roman" w:hAnsi="Times New Roman" w:cs="Times New Roman"/>
          <w:sz w:val="24"/>
          <w:szCs w:val="24"/>
        </w:rPr>
        <w:t>Pa</w:t>
      </w:r>
      <w:r w:rsidR="00B7071D">
        <w:rPr>
          <w:rFonts w:ascii="Times New Roman" w:hAnsi="Times New Roman" w:cs="Times New Roman"/>
          <w:sz w:val="24"/>
          <w:szCs w:val="24"/>
        </w:rPr>
        <w:t xml:space="preserve">. </w:t>
      </w:r>
      <w:r w:rsidR="00B7071D" w:rsidRPr="00DD45F7">
        <w:rPr>
          <w:rFonts w:ascii="Times New Roman" w:hAnsi="Times New Roman" w:cs="Times New Roman"/>
          <w:sz w:val="24"/>
          <w:szCs w:val="24"/>
        </w:rPr>
        <w:t>PUC supports the compromise proposal of the Consumer Groups and RERC</w:t>
      </w:r>
      <w:r w:rsidR="000D60CB">
        <w:rPr>
          <w:rFonts w:ascii="Times New Roman" w:hAnsi="Times New Roman" w:cs="Times New Roman"/>
          <w:sz w:val="24"/>
          <w:szCs w:val="24"/>
        </w:rPr>
        <w:t>s</w:t>
      </w:r>
      <w:r w:rsidR="00B7071D" w:rsidRPr="00DD45F7">
        <w:rPr>
          <w:rFonts w:ascii="Times New Roman" w:hAnsi="Times New Roman" w:cs="Times New Roman"/>
          <w:sz w:val="24"/>
          <w:szCs w:val="24"/>
        </w:rPr>
        <w:t xml:space="preserve"> that the CPE notification rules be modified to clarify that carriers need only make a general determination as to whether their network changes are so significant that they could have an impact on the functionality of CPE</w:t>
      </w:r>
      <w:r w:rsidR="004727A4">
        <w:rPr>
          <w:rFonts w:ascii="Times New Roman" w:hAnsi="Times New Roman" w:cs="Times New Roman"/>
          <w:sz w:val="24"/>
          <w:szCs w:val="24"/>
        </w:rPr>
        <w:t xml:space="preserve">.  </w:t>
      </w:r>
    </w:p>
    <w:p w:rsidR="00EC2552" w:rsidRPr="00DD45F7" w:rsidRDefault="00EC2552" w:rsidP="00EC2552">
      <w:pPr>
        <w:pStyle w:val="ListParagraph"/>
        <w:numPr>
          <w:ilvl w:val="0"/>
          <w:numId w:val="2"/>
        </w:numPr>
        <w:autoSpaceDE w:val="0"/>
        <w:autoSpaceDN w:val="0"/>
        <w:adjustRightInd w:val="0"/>
        <w:spacing w:after="0" w:line="240" w:lineRule="auto"/>
        <w:rPr>
          <w:rFonts w:ascii="TimesNewRoman,Bold" w:hAnsi="TimesNewRoman,Bold" w:cs="TimesNewRoman,Bold"/>
          <w:b/>
          <w:bCs/>
          <w:sz w:val="24"/>
          <w:szCs w:val="24"/>
        </w:rPr>
      </w:pPr>
      <w:r w:rsidRPr="00DD45F7">
        <w:rPr>
          <w:rFonts w:ascii="TimesNewRoman,Bold" w:hAnsi="TimesNewRoman,Bold" w:cs="TimesNewRoman,Bold"/>
          <w:b/>
          <w:bCs/>
          <w:sz w:val="24"/>
          <w:szCs w:val="24"/>
        </w:rPr>
        <w:t xml:space="preserve">Applying Streamlined Notice Procedures for </w:t>
      </w:r>
      <w:r w:rsidRPr="00DD45F7">
        <w:rPr>
          <w:rFonts w:ascii="TimesNewRoman,BoldItalic" w:hAnsi="TimesNewRoman,BoldItalic" w:cs="TimesNewRoman,BoldItalic"/>
          <w:b/>
          <w:bCs/>
          <w:i/>
          <w:iCs/>
          <w:sz w:val="24"/>
          <w:szCs w:val="24"/>
        </w:rPr>
        <w:t xml:space="preserve">Force Majeure </w:t>
      </w:r>
      <w:r w:rsidRPr="00DD45F7">
        <w:rPr>
          <w:rFonts w:ascii="TimesNewRoman,Bold" w:hAnsi="TimesNewRoman,Bold" w:cs="TimesNewRoman,Bold"/>
          <w:b/>
          <w:bCs/>
          <w:sz w:val="24"/>
          <w:szCs w:val="24"/>
        </w:rPr>
        <w:t>Events to All Network</w:t>
      </w:r>
    </w:p>
    <w:p w:rsidR="00EC2552" w:rsidRPr="00DD45F7" w:rsidRDefault="00EC2552" w:rsidP="00EC2552">
      <w:pPr>
        <w:autoSpaceDE w:val="0"/>
        <w:autoSpaceDN w:val="0"/>
        <w:adjustRightInd w:val="0"/>
        <w:spacing w:after="0" w:line="240" w:lineRule="auto"/>
        <w:ind w:firstLine="720"/>
        <w:rPr>
          <w:rFonts w:ascii="TimesNewRoman,Bold" w:hAnsi="TimesNewRoman,Bold" w:cs="TimesNewRoman,Bold"/>
          <w:b/>
          <w:bCs/>
          <w:sz w:val="24"/>
          <w:szCs w:val="24"/>
        </w:rPr>
      </w:pPr>
      <w:r w:rsidRPr="00DD45F7">
        <w:rPr>
          <w:rFonts w:ascii="TimesNewRoman,Bold" w:hAnsi="TimesNewRoman,Bold" w:cs="TimesNewRoman,Bold"/>
          <w:b/>
          <w:bCs/>
          <w:sz w:val="24"/>
          <w:szCs w:val="24"/>
        </w:rPr>
        <w:t>Changes</w:t>
      </w:r>
    </w:p>
    <w:p w:rsidR="00EC2552" w:rsidRPr="00DD45F7" w:rsidRDefault="00EC2552" w:rsidP="00EC2552">
      <w:pPr>
        <w:autoSpaceDE w:val="0"/>
        <w:autoSpaceDN w:val="0"/>
        <w:adjustRightInd w:val="0"/>
        <w:spacing w:after="0" w:line="240" w:lineRule="auto"/>
        <w:rPr>
          <w:rFonts w:ascii="Times New Roman" w:hAnsi="Times New Roman" w:cs="Times New Roman"/>
          <w:sz w:val="24"/>
          <w:szCs w:val="24"/>
        </w:rPr>
      </w:pPr>
    </w:p>
    <w:p w:rsidR="00E40A59" w:rsidRDefault="00D105E3" w:rsidP="00D00F8D">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w:t>
      </w:r>
      <w:r w:rsidRPr="00627A7F">
        <w:rPr>
          <w:rFonts w:ascii="Times New Roman" w:hAnsi="Times New Roman" w:cs="Times New Roman"/>
          <w:sz w:val="24"/>
          <w:szCs w:val="24"/>
        </w:rPr>
        <w:t xml:space="preserve">n the </w:t>
      </w:r>
      <w:r>
        <w:rPr>
          <w:rFonts w:ascii="Times New Roman" w:hAnsi="Times New Roman" w:cs="Times New Roman"/>
          <w:i/>
          <w:sz w:val="24"/>
          <w:szCs w:val="24"/>
        </w:rPr>
        <w:t>FNPRM</w:t>
      </w:r>
      <w:r w:rsidRPr="00627A7F">
        <w:rPr>
          <w:rFonts w:ascii="Times New Roman" w:hAnsi="Times New Roman" w:cs="Times New Roman"/>
          <w:sz w:val="24"/>
          <w:szCs w:val="24"/>
        </w:rPr>
        <w:t xml:space="preserve">, the Commission adopted streamlined copper retirement notice procedures for </w:t>
      </w:r>
      <w:r w:rsidRPr="009F76CB">
        <w:rPr>
          <w:rFonts w:ascii="Times New Roman" w:hAnsi="Times New Roman" w:cs="Times New Roman"/>
          <w:i/>
          <w:sz w:val="24"/>
          <w:szCs w:val="24"/>
        </w:rPr>
        <w:t>force</w:t>
      </w:r>
      <w:r w:rsidRPr="00627A7F">
        <w:rPr>
          <w:rFonts w:ascii="Times New Roman" w:hAnsi="Times New Roman" w:cs="Times New Roman"/>
          <w:i/>
          <w:sz w:val="24"/>
          <w:szCs w:val="24"/>
        </w:rPr>
        <w:t xml:space="preserve"> </w:t>
      </w:r>
      <w:r>
        <w:rPr>
          <w:rFonts w:ascii="Times New Roman" w:hAnsi="Times New Roman" w:cs="Times New Roman"/>
          <w:i/>
          <w:sz w:val="24"/>
          <w:szCs w:val="24"/>
        </w:rPr>
        <w:t>m</w:t>
      </w:r>
      <w:r w:rsidRPr="00627A7F">
        <w:rPr>
          <w:rFonts w:ascii="Times New Roman" w:hAnsi="Times New Roman" w:cs="Times New Roman"/>
          <w:i/>
          <w:sz w:val="24"/>
          <w:szCs w:val="24"/>
        </w:rPr>
        <w:t>ajeure</w:t>
      </w:r>
      <w:r w:rsidRPr="00627A7F">
        <w:rPr>
          <w:rFonts w:ascii="Times New Roman" w:hAnsi="Times New Roman" w:cs="Times New Roman"/>
          <w:sz w:val="24"/>
          <w:szCs w:val="24"/>
        </w:rPr>
        <w:t xml:space="preserve"> events to allow </w:t>
      </w:r>
      <w:r w:rsidR="00701300">
        <w:rPr>
          <w:rFonts w:ascii="Times New Roman" w:hAnsi="Times New Roman" w:cs="Times New Roman"/>
          <w:sz w:val="24"/>
          <w:szCs w:val="24"/>
        </w:rPr>
        <w:t>ILECs</w:t>
      </w:r>
      <w:r w:rsidRPr="00627A7F">
        <w:rPr>
          <w:rFonts w:ascii="Times New Roman" w:hAnsi="Times New Roman" w:cs="Times New Roman"/>
          <w:sz w:val="24"/>
          <w:szCs w:val="24"/>
        </w:rPr>
        <w:t xml:space="preserve"> the needed flexibility to restore service as quickly as possible in the case of unforeseen events beyond their control.  </w:t>
      </w:r>
      <w:r>
        <w:rPr>
          <w:rFonts w:ascii="Times New Roman" w:hAnsi="Times New Roman" w:cs="Times New Roman"/>
          <w:i/>
          <w:sz w:val="24"/>
          <w:szCs w:val="24"/>
        </w:rPr>
        <w:t>FNRPM</w:t>
      </w:r>
      <w:r w:rsidRPr="00627A7F">
        <w:rPr>
          <w:rFonts w:ascii="Times New Roman" w:hAnsi="Times New Roman" w:cs="Times New Roman"/>
          <w:sz w:val="24"/>
          <w:szCs w:val="24"/>
        </w:rPr>
        <w:t xml:space="preserve"> at 31, paras. 73-74.  </w:t>
      </w:r>
      <w:r w:rsidR="00D3707E">
        <w:rPr>
          <w:rFonts w:ascii="Times New Roman" w:hAnsi="Times New Roman" w:cs="Times New Roman"/>
          <w:sz w:val="24"/>
          <w:szCs w:val="24"/>
        </w:rPr>
        <w:t>T</w:t>
      </w:r>
      <w:r w:rsidR="00EC2552" w:rsidRPr="00627A7F">
        <w:rPr>
          <w:rFonts w:ascii="Times New Roman" w:hAnsi="Times New Roman" w:cs="Times New Roman"/>
          <w:sz w:val="24"/>
          <w:szCs w:val="24"/>
        </w:rPr>
        <w:t xml:space="preserve">he Commission sought comment on extending the streamlined notice procedures applicable to </w:t>
      </w:r>
      <w:r w:rsidR="00EC2552" w:rsidRPr="00627A7F">
        <w:rPr>
          <w:rFonts w:ascii="Times New Roman" w:hAnsi="Times New Roman" w:cs="Times New Roman"/>
          <w:i/>
          <w:sz w:val="24"/>
          <w:szCs w:val="24"/>
        </w:rPr>
        <w:t>force majeure</w:t>
      </w:r>
      <w:r w:rsidR="00EC2552" w:rsidRPr="00627A7F">
        <w:rPr>
          <w:rFonts w:ascii="Times New Roman" w:hAnsi="Times New Roman" w:cs="Times New Roman"/>
          <w:sz w:val="24"/>
          <w:szCs w:val="24"/>
        </w:rPr>
        <w:t xml:space="preserve"> and other unforeseen events for copper retirements to all types of network changes.  </w:t>
      </w:r>
      <w:r w:rsidR="00EC2552" w:rsidRPr="00627A7F">
        <w:rPr>
          <w:rFonts w:ascii="Times New Roman" w:hAnsi="Times New Roman" w:cs="Times New Roman"/>
          <w:i/>
          <w:sz w:val="24"/>
          <w:szCs w:val="24"/>
        </w:rPr>
        <w:t>FNPRM</w:t>
      </w:r>
      <w:r w:rsidR="00EC2552" w:rsidRPr="00627A7F">
        <w:rPr>
          <w:rFonts w:ascii="Times New Roman" w:hAnsi="Times New Roman" w:cs="Times New Roman"/>
          <w:sz w:val="24"/>
          <w:szCs w:val="24"/>
        </w:rPr>
        <w:t xml:space="preserve"> at 64, para. 167.  </w:t>
      </w:r>
    </w:p>
    <w:p w:rsidR="00E40A59" w:rsidRDefault="00EC2552" w:rsidP="00D00F8D">
      <w:pPr>
        <w:autoSpaceDE w:val="0"/>
        <w:autoSpaceDN w:val="0"/>
        <w:adjustRightInd w:val="0"/>
        <w:spacing w:after="0" w:line="480" w:lineRule="auto"/>
        <w:ind w:firstLine="720"/>
        <w:rPr>
          <w:rFonts w:ascii="Times New Roman" w:hAnsi="Times New Roman" w:cs="Times New Roman"/>
          <w:sz w:val="24"/>
          <w:szCs w:val="24"/>
        </w:rPr>
      </w:pPr>
      <w:r w:rsidRPr="00627A7F">
        <w:rPr>
          <w:rFonts w:ascii="Times New Roman" w:hAnsi="Times New Roman" w:cs="Times New Roman"/>
          <w:sz w:val="24"/>
          <w:szCs w:val="24"/>
        </w:rPr>
        <w:lastRenderedPageBreak/>
        <w:t>The Pa</w:t>
      </w:r>
      <w:r w:rsidR="00D00F8D" w:rsidRPr="00627A7F">
        <w:rPr>
          <w:rFonts w:ascii="Times New Roman" w:hAnsi="Times New Roman" w:cs="Times New Roman"/>
          <w:sz w:val="24"/>
          <w:szCs w:val="24"/>
        </w:rPr>
        <w:t xml:space="preserve">. </w:t>
      </w:r>
      <w:r w:rsidRPr="00627A7F">
        <w:rPr>
          <w:rFonts w:ascii="Times New Roman" w:hAnsi="Times New Roman" w:cs="Times New Roman"/>
          <w:sz w:val="24"/>
          <w:szCs w:val="24"/>
        </w:rPr>
        <w:t xml:space="preserve">PUC agrees that the same benefits to be gained from the streamlined procedures adopted in the copper retirement context </w:t>
      </w:r>
      <w:r w:rsidR="00BA5393">
        <w:rPr>
          <w:rFonts w:ascii="Times New Roman" w:hAnsi="Times New Roman" w:cs="Times New Roman"/>
          <w:sz w:val="24"/>
          <w:szCs w:val="24"/>
        </w:rPr>
        <w:t xml:space="preserve">may </w:t>
      </w:r>
      <w:r w:rsidRPr="00627A7F">
        <w:rPr>
          <w:rFonts w:ascii="Times New Roman" w:hAnsi="Times New Roman" w:cs="Times New Roman"/>
          <w:sz w:val="24"/>
          <w:szCs w:val="24"/>
        </w:rPr>
        <w:t xml:space="preserve">similarly apply to other types of network changes. </w:t>
      </w:r>
      <w:r w:rsidR="0031307C">
        <w:rPr>
          <w:rFonts w:ascii="Times New Roman" w:hAnsi="Times New Roman" w:cs="Times New Roman"/>
          <w:sz w:val="24"/>
          <w:szCs w:val="24"/>
        </w:rPr>
        <w:t xml:space="preserve"> </w:t>
      </w:r>
      <w:r w:rsidRPr="00627A7F">
        <w:rPr>
          <w:rFonts w:ascii="Times New Roman" w:hAnsi="Times New Roman" w:cs="Times New Roman"/>
          <w:sz w:val="24"/>
          <w:szCs w:val="24"/>
        </w:rPr>
        <w:t>The waiver orders discussed above are general in nature.  The Pa</w:t>
      </w:r>
      <w:r w:rsidR="00D00F8D" w:rsidRPr="00627A7F">
        <w:rPr>
          <w:rFonts w:ascii="Times New Roman" w:hAnsi="Times New Roman" w:cs="Times New Roman"/>
          <w:sz w:val="24"/>
          <w:szCs w:val="24"/>
        </w:rPr>
        <w:t xml:space="preserve">. </w:t>
      </w:r>
      <w:r w:rsidRPr="00627A7F">
        <w:rPr>
          <w:rFonts w:ascii="Times New Roman" w:hAnsi="Times New Roman" w:cs="Times New Roman"/>
          <w:sz w:val="24"/>
          <w:szCs w:val="24"/>
        </w:rPr>
        <w:t xml:space="preserve">PUC </w:t>
      </w:r>
      <w:r w:rsidR="009D7F6B">
        <w:rPr>
          <w:rFonts w:ascii="Times New Roman" w:hAnsi="Times New Roman" w:cs="Times New Roman"/>
          <w:sz w:val="24"/>
          <w:szCs w:val="24"/>
        </w:rPr>
        <w:t>does</w:t>
      </w:r>
      <w:r w:rsidR="009D7F6B" w:rsidRPr="00627A7F">
        <w:rPr>
          <w:rFonts w:ascii="Times New Roman" w:hAnsi="Times New Roman" w:cs="Times New Roman"/>
          <w:sz w:val="24"/>
          <w:szCs w:val="24"/>
        </w:rPr>
        <w:t xml:space="preserve"> </w:t>
      </w:r>
      <w:r w:rsidRPr="00627A7F">
        <w:rPr>
          <w:rFonts w:ascii="Times New Roman" w:hAnsi="Times New Roman" w:cs="Times New Roman"/>
          <w:sz w:val="24"/>
          <w:szCs w:val="24"/>
        </w:rPr>
        <w:t xml:space="preserve">not oppose </w:t>
      </w:r>
      <w:r w:rsidR="000D60CB">
        <w:rPr>
          <w:rFonts w:ascii="Times New Roman" w:hAnsi="Times New Roman" w:cs="Times New Roman"/>
          <w:sz w:val="24"/>
          <w:szCs w:val="24"/>
        </w:rPr>
        <w:t>providing</w:t>
      </w:r>
      <w:r w:rsidRPr="00627A7F">
        <w:rPr>
          <w:rFonts w:ascii="Times New Roman" w:hAnsi="Times New Roman" w:cs="Times New Roman"/>
          <w:sz w:val="24"/>
          <w:szCs w:val="24"/>
        </w:rPr>
        <w:t xml:space="preserve"> all </w:t>
      </w:r>
      <w:r w:rsidR="009D7F6B">
        <w:rPr>
          <w:rFonts w:ascii="Times New Roman" w:hAnsi="Times New Roman" w:cs="Times New Roman"/>
          <w:sz w:val="24"/>
          <w:szCs w:val="24"/>
        </w:rPr>
        <w:t>I</w:t>
      </w:r>
      <w:r w:rsidRPr="00627A7F">
        <w:rPr>
          <w:rFonts w:ascii="Times New Roman" w:hAnsi="Times New Roman" w:cs="Times New Roman"/>
          <w:sz w:val="24"/>
          <w:szCs w:val="24"/>
        </w:rPr>
        <w:t xml:space="preserve">LECs the same access to the relief afforded by these waiver orders in all </w:t>
      </w:r>
      <w:r w:rsidR="00B3290B">
        <w:rPr>
          <w:rFonts w:ascii="Times New Roman" w:hAnsi="Times New Roman" w:cs="Times New Roman"/>
          <w:sz w:val="24"/>
          <w:szCs w:val="24"/>
        </w:rPr>
        <w:t xml:space="preserve">emergency </w:t>
      </w:r>
      <w:r w:rsidRPr="00627A7F">
        <w:rPr>
          <w:rFonts w:ascii="Times New Roman" w:hAnsi="Times New Roman" w:cs="Times New Roman"/>
          <w:sz w:val="24"/>
          <w:szCs w:val="24"/>
        </w:rPr>
        <w:t>situations, not just when copper retirements are implicated.</w:t>
      </w:r>
      <w:r w:rsidR="004727A4">
        <w:rPr>
          <w:rFonts w:ascii="Times New Roman" w:hAnsi="Times New Roman" w:cs="Times New Roman"/>
          <w:sz w:val="24"/>
          <w:szCs w:val="24"/>
        </w:rPr>
        <w:t xml:space="preserve">  </w:t>
      </w:r>
    </w:p>
    <w:p w:rsidR="00EC2552" w:rsidRPr="00627A7F" w:rsidRDefault="00E40A59" w:rsidP="00D00F8D">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However, the </w:t>
      </w:r>
      <w:r w:rsidR="004727A4">
        <w:rPr>
          <w:rFonts w:ascii="Times New Roman" w:hAnsi="Times New Roman" w:cs="Times New Roman"/>
          <w:sz w:val="24"/>
          <w:szCs w:val="24"/>
        </w:rPr>
        <w:t xml:space="preserve">restoration of essential telecommunications </w:t>
      </w:r>
      <w:r>
        <w:rPr>
          <w:rFonts w:ascii="Times New Roman" w:hAnsi="Times New Roman" w:cs="Times New Roman"/>
          <w:sz w:val="24"/>
          <w:szCs w:val="24"/>
        </w:rPr>
        <w:t xml:space="preserve">networks and </w:t>
      </w:r>
      <w:r w:rsidR="004727A4">
        <w:rPr>
          <w:rFonts w:ascii="Times New Roman" w:hAnsi="Times New Roman" w:cs="Times New Roman"/>
          <w:sz w:val="24"/>
          <w:szCs w:val="24"/>
        </w:rPr>
        <w:t xml:space="preserve">services </w:t>
      </w:r>
      <w:r>
        <w:rPr>
          <w:rFonts w:ascii="Times New Roman" w:hAnsi="Times New Roman" w:cs="Times New Roman"/>
          <w:sz w:val="24"/>
          <w:szCs w:val="24"/>
        </w:rPr>
        <w:t xml:space="preserve">following an emergency, and any accompanying waivers, is not the same thing as non-emergency reconstruction of </w:t>
      </w:r>
      <w:r w:rsidR="004727A4">
        <w:rPr>
          <w:rFonts w:ascii="Times New Roman" w:hAnsi="Times New Roman" w:cs="Times New Roman"/>
          <w:sz w:val="24"/>
          <w:szCs w:val="24"/>
        </w:rPr>
        <w:t xml:space="preserve">networks </w:t>
      </w:r>
      <w:r>
        <w:rPr>
          <w:rFonts w:ascii="Times New Roman" w:hAnsi="Times New Roman" w:cs="Times New Roman"/>
          <w:sz w:val="24"/>
          <w:szCs w:val="24"/>
        </w:rPr>
        <w:t xml:space="preserve">and </w:t>
      </w:r>
      <w:r w:rsidR="004727A4">
        <w:rPr>
          <w:rFonts w:ascii="Times New Roman" w:hAnsi="Times New Roman" w:cs="Times New Roman"/>
          <w:sz w:val="24"/>
          <w:szCs w:val="24"/>
        </w:rPr>
        <w:t xml:space="preserve">services.  In the case of reconstruction following restoration, the Pa. PUC urges the FCC to continue the rules adopted for changes in network or service retirement.  </w:t>
      </w:r>
    </w:p>
    <w:p w:rsidR="000F0211" w:rsidRPr="00DD45F7" w:rsidRDefault="000F0211" w:rsidP="00EC2552">
      <w:pPr>
        <w:pStyle w:val="ListParagraph"/>
        <w:numPr>
          <w:ilvl w:val="0"/>
          <w:numId w:val="2"/>
        </w:numPr>
        <w:autoSpaceDE w:val="0"/>
        <w:autoSpaceDN w:val="0"/>
        <w:adjustRightInd w:val="0"/>
        <w:spacing w:after="0" w:line="240" w:lineRule="auto"/>
        <w:rPr>
          <w:rFonts w:ascii="Times New Roman" w:hAnsi="Times New Roman" w:cs="Times New Roman"/>
          <w:b/>
          <w:bCs/>
          <w:sz w:val="24"/>
          <w:szCs w:val="24"/>
        </w:rPr>
      </w:pPr>
      <w:r w:rsidRPr="00DD45F7">
        <w:rPr>
          <w:rFonts w:ascii="Times New Roman" w:hAnsi="Times New Roman" w:cs="Times New Roman"/>
          <w:b/>
          <w:bCs/>
          <w:sz w:val="24"/>
          <w:szCs w:val="24"/>
        </w:rPr>
        <w:t xml:space="preserve">The Commission </w:t>
      </w:r>
      <w:r w:rsidR="00C66B86">
        <w:rPr>
          <w:rFonts w:ascii="Times New Roman" w:hAnsi="Times New Roman" w:cs="Times New Roman"/>
          <w:b/>
          <w:bCs/>
          <w:sz w:val="24"/>
          <w:szCs w:val="24"/>
        </w:rPr>
        <w:t xml:space="preserve">Opposes Forbearance </w:t>
      </w:r>
      <w:r w:rsidR="00B3290B">
        <w:rPr>
          <w:rFonts w:ascii="Times New Roman" w:hAnsi="Times New Roman" w:cs="Times New Roman"/>
          <w:b/>
          <w:bCs/>
          <w:sz w:val="24"/>
          <w:szCs w:val="24"/>
        </w:rPr>
        <w:t>a</w:t>
      </w:r>
      <w:r w:rsidR="00C66B86">
        <w:rPr>
          <w:rFonts w:ascii="Times New Roman" w:hAnsi="Times New Roman" w:cs="Times New Roman"/>
          <w:b/>
          <w:bCs/>
          <w:sz w:val="24"/>
          <w:szCs w:val="24"/>
        </w:rPr>
        <w:t xml:space="preserve">nd </w:t>
      </w:r>
      <w:r w:rsidRPr="00DD45F7">
        <w:rPr>
          <w:rFonts w:ascii="Times New Roman" w:hAnsi="Times New Roman" w:cs="Times New Roman"/>
          <w:b/>
          <w:bCs/>
          <w:sz w:val="24"/>
          <w:szCs w:val="24"/>
        </w:rPr>
        <w:t>Should Not Adopt Additional Streamlined Procedures for the</w:t>
      </w:r>
      <w:r w:rsidR="00E839B1" w:rsidRPr="00DD45F7">
        <w:rPr>
          <w:rFonts w:ascii="Times New Roman" w:hAnsi="Times New Roman" w:cs="Times New Roman"/>
          <w:b/>
          <w:bCs/>
          <w:sz w:val="24"/>
          <w:szCs w:val="24"/>
        </w:rPr>
        <w:t xml:space="preserve"> </w:t>
      </w:r>
      <w:r w:rsidRPr="00DD45F7">
        <w:rPr>
          <w:rFonts w:ascii="Times New Roman" w:hAnsi="Times New Roman" w:cs="Times New Roman"/>
          <w:b/>
          <w:bCs/>
          <w:sz w:val="24"/>
          <w:szCs w:val="24"/>
        </w:rPr>
        <w:t xml:space="preserve">Discontinuance of </w:t>
      </w:r>
      <w:r w:rsidR="00C66B86">
        <w:rPr>
          <w:rFonts w:ascii="Times New Roman" w:hAnsi="Times New Roman" w:cs="Times New Roman"/>
          <w:b/>
          <w:bCs/>
          <w:sz w:val="24"/>
          <w:szCs w:val="24"/>
        </w:rPr>
        <w:t xml:space="preserve">Interstate </w:t>
      </w:r>
      <w:r w:rsidRPr="00DD45F7">
        <w:rPr>
          <w:rFonts w:ascii="Times New Roman" w:hAnsi="Times New Roman" w:cs="Times New Roman"/>
          <w:b/>
          <w:bCs/>
          <w:sz w:val="24"/>
          <w:szCs w:val="24"/>
        </w:rPr>
        <w:t xml:space="preserve">Legacy Voice Services </w:t>
      </w:r>
      <w:r w:rsidR="00EB397D">
        <w:rPr>
          <w:rFonts w:ascii="Times New Roman" w:hAnsi="Times New Roman" w:cs="Times New Roman"/>
          <w:b/>
          <w:bCs/>
          <w:sz w:val="24"/>
          <w:szCs w:val="24"/>
        </w:rPr>
        <w:t xml:space="preserve">Based Solely on the Self-Certification </w:t>
      </w:r>
      <w:r w:rsidR="004238F8">
        <w:rPr>
          <w:rFonts w:ascii="Times New Roman" w:hAnsi="Times New Roman" w:cs="Times New Roman"/>
          <w:b/>
          <w:bCs/>
          <w:sz w:val="24"/>
          <w:szCs w:val="24"/>
        </w:rPr>
        <w:t>by</w:t>
      </w:r>
      <w:r w:rsidR="00EB397D">
        <w:rPr>
          <w:rFonts w:ascii="Times New Roman" w:hAnsi="Times New Roman" w:cs="Times New Roman"/>
          <w:b/>
          <w:bCs/>
          <w:sz w:val="24"/>
          <w:szCs w:val="24"/>
        </w:rPr>
        <w:t xml:space="preserve"> Carriers that Competitive Alternatives Exist</w:t>
      </w:r>
      <w:r w:rsidRPr="00DD45F7">
        <w:rPr>
          <w:rFonts w:ascii="Times New Roman" w:hAnsi="Times New Roman" w:cs="Times New Roman"/>
          <w:b/>
          <w:bCs/>
          <w:sz w:val="24"/>
          <w:szCs w:val="24"/>
        </w:rPr>
        <w:t>.</w:t>
      </w:r>
    </w:p>
    <w:p w:rsidR="000F0211" w:rsidRPr="00DD45F7" w:rsidRDefault="000F0211" w:rsidP="000F0211">
      <w:pPr>
        <w:autoSpaceDE w:val="0"/>
        <w:autoSpaceDN w:val="0"/>
        <w:adjustRightInd w:val="0"/>
        <w:spacing w:after="0" w:line="240" w:lineRule="auto"/>
        <w:rPr>
          <w:rFonts w:ascii="Times New Roman" w:hAnsi="Times New Roman" w:cs="Times New Roman"/>
          <w:b/>
          <w:bCs/>
          <w:sz w:val="24"/>
          <w:szCs w:val="24"/>
        </w:rPr>
      </w:pPr>
    </w:p>
    <w:p w:rsidR="004727A4" w:rsidRDefault="00061574" w:rsidP="008409A4">
      <w:pPr>
        <w:autoSpaceDE w:val="0"/>
        <w:autoSpaceDN w:val="0"/>
        <w:adjustRightInd w:val="0"/>
        <w:spacing w:after="0" w:line="480" w:lineRule="auto"/>
        <w:ind w:firstLine="720"/>
        <w:rPr>
          <w:rFonts w:ascii="Times New Roman" w:hAnsi="Times New Roman" w:cs="Times New Roman"/>
          <w:sz w:val="24"/>
          <w:szCs w:val="24"/>
        </w:rPr>
      </w:pPr>
      <w:r w:rsidRPr="00627A7F">
        <w:rPr>
          <w:rFonts w:ascii="Times New Roman" w:hAnsi="Times New Roman" w:cs="Times New Roman"/>
          <w:sz w:val="24"/>
          <w:szCs w:val="24"/>
        </w:rPr>
        <w:t xml:space="preserve">In the </w:t>
      </w:r>
      <w:r w:rsidRPr="00627A7F">
        <w:rPr>
          <w:rFonts w:ascii="Times New Roman" w:hAnsi="Times New Roman" w:cs="Times New Roman"/>
          <w:i/>
          <w:sz w:val="24"/>
          <w:szCs w:val="24"/>
        </w:rPr>
        <w:t>FNPRM</w:t>
      </w:r>
      <w:r w:rsidRPr="00627A7F">
        <w:rPr>
          <w:rFonts w:ascii="Times New Roman" w:hAnsi="Times New Roman" w:cs="Times New Roman"/>
          <w:sz w:val="24"/>
          <w:szCs w:val="24"/>
        </w:rPr>
        <w:t xml:space="preserve">, the Commission sought comment </w:t>
      </w:r>
      <w:r w:rsidR="00342DD5" w:rsidRPr="00627A7F">
        <w:rPr>
          <w:rFonts w:ascii="Times New Roman" w:hAnsi="Times New Roman" w:cs="Times New Roman"/>
          <w:sz w:val="24"/>
          <w:szCs w:val="24"/>
        </w:rPr>
        <w:t xml:space="preserve">on what further steps it could take to streamline the </w:t>
      </w:r>
      <w:r w:rsidR="0072503B">
        <w:rPr>
          <w:rFonts w:ascii="Times New Roman" w:hAnsi="Times New Roman" w:cs="Times New Roman"/>
          <w:sz w:val="24"/>
          <w:szCs w:val="24"/>
        </w:rPr>
        <w:t>S</w:t>
      </w:r>
      <w:r w:rsidR="0072503B" w:rsidRPr="00627A7F">
        <w:rPr>
          <w:rFonts w:ascii="Times New Roman" w:hAnsi="Times New Roman" w:cs="Times New Roman"/>
          <w:sz w:val="24"/>
          <w:szCs w:val="24"/>
        </w:rPr>
        <w:t xml:space="preserve">ection </w:t>
      </w:r>
      <w:r w:rsidR="00342DD5" w:rsidRPr="00627A7F">
        <w:rPr>
          <w:rFonts w:ascii="Times New Roman" w:hAnsi="Times New Roman" w:cs="Times New Roman"/>
          <w:sz w:val="24"/>
          <w:szCs w:val="24"/>
        </w:rPr>
        <w:t xml:space="preserve">214(a) discontinuance process for legacy voice services.  </w:t>
      </w:r>
      <w:r w:rsidR="00342DD5" w:rsidRPr="00627A7F">
        <w:rPr>
          <w:rFonts w:ascii="Times New Roman" w:hAnsi="Times New Roman" w:cs="Times New Roman"/>
          <w:i/>
          <w:sz w:val="24"/>
          <w:szCs w:val="24"/>
        </w:rPr>
        <w:t>FNPRM</w:t>
      </w:r>
      <w:r w:rsidR="00342DD5" w:rsidRPr="00627A7F">
        <w:rPr>
          <w:rFonts w:ascii="Times New Roman" w:hAnsi="Times New Roman" w:cs="Times New Roman"/>
          <w:sz w:val="24"/>
          <w:szCs w:val="24"/>
        </w:rPr>
        <w:t xml:space="preserve"> at 65, para. 171.  </w:t>
      </w:r>
      <w:r w:rsidR="004727A4">
        <w:rPr>
          <w:rFonts w:ascii="Times New Roman" w:hAnsi="Times New Roman" w:cs="Times New Roman"/>
          <w:sz w:val="24"/>
          <w:szCs w:val="24"/>
        </w:rPr>
        <w:t>Importantly, however, the FNPRM does not address the retirement of legacy voice networks.  Consequently, the</w:t>
      </w:r>
      <w:r w:rsidR="00C66B86">
        <w:rPr>
          <w:rFonts w:ascii="Times New Roman" w:hAnsi="Times New Roman" w:cs="Times New Roman"/>
          <w:sz w:val="24"/>
          <w:szCs w:val="24"/>
        </w:rPr>
        <w:t xml:space="preserve">se </w:t>
      </w:r>
      <w:r w:rsidR="00B3290B">
        <w:rPr>
          <w:rFonts w:ascii="Times New Roman" w:hAnsi="Times New Roman" w:cs="Times New Roman"/>
          <w:sz w:val="24"/>
          <w:szCs w:val="24"/>
        </w:rPr>
        <w:t>r</w:t>
      </w:r>
      <w:r w:rsidR="004727A4">
        <w:rPr>
          <w:rFonts w:ascii="Times New Roman" w:hAnsi="Times New Roman" w:cs="Times New Roman"/>
          <w:sz w:val="24"/>
          <w:szCs w:val="24"/>
        </w:rPr>
        <w:t xml:space="preserve">eply </w:t>
      </w:r>
      <w:r w:rsidR="00B3290B">
        <w:rPr>
          <w:rFonts w:ascii="Times New Roman" w:hAnsi="Times New Roman" w:cs="Times New Roman"/>
          <w:sz w:val="24"/>
          <w:szCs w:val="24"/>
        </w:rPr>
        <w:t>c</w:t>
      </w:r>
      <w:r w:rsidR="004727A4">
        <w:rPr>
          <w:rFonts w:ascii="Times New Roman" w:hAnsi="Times New Roman" w:cs="Times New Roman"/>
          <w:sz w:val="24"/>
          <w:szCs w:val="24"/>
        </w:rPr>
        <w:t xml:space="preserve">omments reflect </w:t>
      </w:r>
      <w:r w:rsidR="00B3290B">
        <w:rPr>
          <w:rFonts w:ascii="Times New Roman" w:hAnsi="Times New Roman" w:cs="Times New Roman"/>
          <w:sz w:val="24"/>
          <w:szCs w:val="24"/>
        </w:rPr>
        <w:t xml:space="preserve">the Pa. PUC’s </w:t>
      </w:r>
      <w:r w:rsidR="004727A4">
        <w:rPr>
          <w:rFonts w:ascii="Times New Roman" w:hAnsi="Times New Roman" w:cs="Times New Roman"/>
          <w:sz w:val="24"/>
          <w:szCs w:val="24"/>
        </w:rPr>
        <w:t xml:space="preserve">views on the retirement of legacy voice services or networks, or both, as appropriate.  </w:t>
      </w:r>
    </w:p>
    <w:p w:rsidR="008409A4" w:rsidRPr="00DD45F7" w:rsidRDefault="00C66B86" w:rsidP="008409A4">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3B5DDC" w:rsidRPr="00627A7F">
        <w:rPr>
          <w:rFonts w:ascii="Times New Roman" w:hAnsi="Times New Roman" w:cs="Times New Roman"/>
          <w:sz w:val="24"/>
          <w:szCs w:val="24"/>
        </w:rPr>
        <w:t>Commission sought co</w:t>
      </w:r>
      <w:r w:rsidR="00061574" w:rsidRPr="00627A7F">
        <w:rPr>
          <w:rFonts w:ascii="Times New Roman" w:hAnsi="Times New Roman" w:cs="Times New Roman"/>
          <w:sz w:val="24"/>
          <w:szCs w:val="24"/>
        </w:rPr>
        <w:t>mment on</w:t>
      </w:r>
      <w:r w:rsidR="003B5DDC" w:rsidRPr="00627A7F">
        <w:rPr>
          <w:rFonts w:ascii="Times New Roman" w:hAnsi="Times New Roman" w:cs="Times New Roman"/>
          <w:sz w:val="24"/>
          <w:szCs w:val="24"/>
        </w:rPr>
        <w:t xml:space="preserve"> </w:t>
      </w:r>
      <w:r w:rsidR="00061574" w:rsidRPr="00627A7F">
        <w:rPr>
          <w:rFonts w:ascii="Times New Roman" w:hAnsi="Times New Roman" w:cs="Times New Roman"/>
          <w:sz w:val="24"/>
          <w:szCs w:val="24"/>
        </w:rPr>
        <w:t xml:space="preserve">Verizon’s proposal that </w:t>
      </w:r>
      <w:r w:rsidR="003B5DDC" w:rsidRPr="00627A7F">
        <w:rPr>
          <w:rFonts w:ascii="Times New Roman" w:hAnsi="Times New Roman" w:cs="Times New Roman"/>
          <w:sz w:val="24"/>
          <w:szCs w:val="24"/>
        </w:rPr>
        <w:t xml:space="preserve">it </w:t>
      </w:r>
      <w:r w:rsidR="00061574" w:rsidRPr="00627A7F">
        <w:rPr>
          <w:rFonts w:ascii="Times New Roman" w:hAnsi="Times New Roman" w:cs="Times New Roman"/>
          <w:sz w:val="24"/>
          <w:szCs w:val="24"/>
        </w:rPr>
        <w:t xml:space="preserve">streamline processing of </w:t>
      </w:r>
      <w:r w:rsidR="0072503B">
        <w:rPr>
          <w:rFonts w:ascii="Times New Roman" w:hAnsi="Times New Roman" w:cs="Times New Roman"/>
          <w:sz w:val="24"/>
          <w:szCs w:val="24"/>
        </w:rPr>
        <w:t>S</w:t>
      </w:r>
      <w:r w:rsidR="0072503B" w:rsidRPr="00627A7F">
        <w:rPr>
          <w:rFonts w:ascii="Times New Roman" w:hAnsi="Times New Roman" w:cs="Times New Roman"/>
          <w:sz w:val="24"/>
          <w:szCs w:val="24"/>
        </w:rPr>
        <w:t xml:space="preserve">ection </w:t>
      </w:r>
      <w:r w:rsidR="00061574" w:rsidRPr="00627A7F">
        <w:rPr>
          <w:rFonts w:ascii="Times New Roman" w:hAnsi="Times New Roman" w:cs="Times New Roman"/>
          <w:sz w:val="24"/>
          <w:szCs w:val="24"/>
        </w:rPr>
        <w:t>214(a) discontinuance</w:t>
      </w:r>
      <w:r w:rsidR="003B5DDC" w:rsidRPr="00627A7F">
        <w:rPr>
          <w:rFonts w:ascii="Times New Roman" w:hAnsi="Times New Roman" w:cs="Times New Roman"/>
          <w:sz w:val="24"/>
          <w:szCs w:val="24"/>
        </w:rPr>
        <w:t xml:space="preserve"> </w:t>
      </w:r>
      <w:r w:rsidR="00061574" w:rsidRPr="00627A7F">
        <w:rPr>
          <w:rFonts w:ascii="Times New Roman" w:hAnsi="Times New Roman" w:cs="Times New Roman"/>
          <w:sz w:val="24"/>
          <w:szCs w:val="24"/>
        </w:rPr>
        <w:t xml:space="preserve">applications for legacy </w:t>
      </w:r>
      <w:r w:rsidR="009341C0">
        <w:rPr>
          <w:rFonts w:ascii="Times New Roman" w:hAnsi="Times New Roman" w:cs="Times New Roman"/>
          <w:sz w:val="24"/>
          <w:szCs w:val="24"/>
        </w:rPr>
        <w:t xml:space="preserve">interstate </w:t>
      </w:r>
      <w:r w:rsidR="00061574" w:rsidRPr="00627A7F">
        <w:rPr>
          <w:rFonts w:ascii="Times New Roman" w:hAnsi="Times New Roman" w:cs="Times New Roman"/>
          <w:sz w:val="24"/>
          <w:szCs w:val="24"/>
        </w:rPr>
        <w:t>voice services</w:t>
      </w:r>
      <w:r w:rsidR="00421ADD">
        <w:rPr>
          <w:rStyle w:val="FootnoteReference"/>
          <w:rFonts w:ascii="Times New Roman" w:hAnsi="Times New Roman" w:cs="Times New Roman"/>
          <w:sz w:val="24"/>
          <w:szCs w:val="24"/>
        </w:rPr>
        <w:footnoteReference w:id="6"/>
      </w:r>
      <w:r w:rsidR="00061574" w:rsidRPr="00627A7F">
        <w:rPr>
          <w:rFonts w:ascii="Times New Roman" w:hAnsi="Times New Roman" w:cs="Times New Roman"/>
          <w:sz w:val="24"/>
          <w:szCs w:val="24"/>
        </w:rPr>
        <w:t xml:space="preserve"> where a carrier </w:t>
      </w:r>
      <w:r w:rsidR="00061574" w:rsidRPr="00627A7F">
        <w:rPr>
          <w:rFonts w:ascii="Times New Roman" w:hAnsi="Times New Roman" w:cs="Times New Roman"/>
          <w:sz w:val="24"/>
          <w:szCs w:val="24"/>
        </w:rPr>
        <w:lastRenderedPageBreak/>
        <w:t xml:space="preserve">certifies: (1) that it provides interconnected </w:t>
      </w:r>
      <w:r w:rsidR="00936065" w:rsidRPr="00627A7F">
        <w:rPr>
          <w:rFonts w:ascii="Times New Roman" w:hAnsi="Times New Roman" w:cs="Times New Roman"/>
          <w:sz w:val="24"/>
          <w:szCs w:val="24"/>
        </w:rPr>
        <w:t>Voice over Internet Protocol (</w:t>
      </w:r>
      <w:r w:rsidR="00061574" w:rsidRPr="00627A7F">
        <w:rPr>
          <w:rFonts w:ascii="Times New Roman" w:hAnsi="Times New Roman" w:cs="Times New Roman"/>
          <w:sz w:val="24"/>
          <w:szCs w:val="24"/>
        </w:rPr>
        <w:t>VoIP</w:t>
      </w:r>
      <w:r w:rsidR="00936065" w:rsidRPr="00627A7F">
        <w:rPr>
          <w:rFonts w:ascii="Times New Roman" w:hAnsi="Times New Roman" w:cs="Times New Roman"/>
          <w:sz w:val="24"/>
          <w:szCs w:val="24"/>
        </w:rPr>
        <w:t>)</w:t>
      </w:r>
      <w:r w:rsidR="003B5DDC" w:rsidRPr="00627A7F">
        <w:rPr>
          <w:rFonts w:ascii="Times New Roman" w:hAnsi="Times New Roman" w:cs="Times New Roman"/>
          <w:sz w:val="24"/>
          <w:szCs w:val="24"/>
        </w:rPr>
        <w:t xml:space="preserve"> </w:t>
      </w:r>
      <w:r w:rsidR="00061574" w:rsidRPr="00627A7F">
        <w:rPr>
          <w:rFonts w:ascii="Times New Roman" w:hAnsi="Times New Roman" w:cs="Times New Roman"/>
          <w:sz w:val="24"/>
          <w:szCs w:val="24"/>
        </w:rPr>
        <w:t xml:space="preserve">service throughout the affected service area; and (2) that at least one other alternative voice service </w:t>
      </w:r>
      <w:r w:rsidR="00D54409">
        <w:rPr>
          <w:rFonts w:ascii="Times New Roman" w:hAnsi="Times New Roman" w:cs="Times New Roman"/>
          <w:sz w:val="24"/>
          <w:szCs w:val="24"/>
        </w:rPr>
        <w:t xml:space="preserve">(i.e., interconnected VoIP or wireless voice) </w:t>
      </w:r>
      <w:r w:rsidR="00061574" w:rsidRPr="00627A7F">
        <w:rPr>
          <w:rFonts w:ascii="Times New Roman" w:hAnsi="Times New Roman" w:cs="Times New Roman"/>
          <w:sz w:val="24"/>
          <w:szCs w:val="24"/>
        </w:rPr>
        <w:t>is</w:t>
      </w:r>
      <w:r w:rsidR="003B5DDC" w:rsidRPr="00627A7F">
        <w:rPr>
          <w:rFonts w:ascii="Times New Roman" w:hAnsi="Times New Roman" w:cs="Times New Roman"/>
          <w:sz w:val="24"/>
          <w:szCs w:val="24"/>
        </w:rPr>
        <w:t xml:space="preserve"> </w:t>
      </w:r>
      <w:r w:rsidR="00061574" w:rsidRPr="00627A7F">
        <w:rPr>
          <w:rFonts w:ascii="Times New Roman" w:hAnsi="Times New Roman" w:cs="Times New Roman"/>
          <w:sz w:val="24"/>
          <w:szCs w:val="24"/>
        </w:rPr>
        <w:t>available in the affected service area.</w:t>
      </w:r>
      <w:r w:rsidR="003B5DDC" w:rsidRPr="00627A7F">
        <w:rPr>
          <w:rFonts w:ascii="Times New Roman" w:hAnsi="Times New Roman" w:cs="Times New Roman"/>
          <w:sz w:val="24"/>
          <w:szCs w:val="24"/>
        </w:rPr>
        <w:t xml:space="preserve">  </w:t>
      </w:r>
      <w:r w:rsidR="00342DD5" w:rsidRPr="00627A7F">
        <w:rPr>
          <w:rFonts w:ascii="Times New Roman" w:hAnsi="Times New Roman" w:cs="Times New Roman"/>
          <w:i/>
          <w:sz w:val="24"/>
          <w:szCs w:val="24"/>
        </w:rPr>
        <w:t>Id</w:t>
      </w:r>
      <w:r w:rsidR="003B5DDC" w:rsidRPr="00627A7F">
        <w:rPr>
          <w:rFonts w:ascii="Times New Roman" w:hAnsi="Times New Roman" w:cs="Times New Roman"/>
          <w:sz w:val="24"/>
          <w:szCs w:val="24"/>
        </w:rPr>
        <w:t>.</w:t>
      </w:r>
      <w:r w:rsidR="008409A4">
        <w:rPr>
          <w:rFonts w:ascii="Times New Roman" w:hAnsi="Times New Roman" w:cs="Times New Roman"/>
          <w:sz w:val="24"/>
          <w:szCs w:val="24"/>
        </w:rPr>
        <w:t xml:space="preserve">  </w:t>
      </w:r>
      <w:r w:rsidR="008409A4" w:rsidRPr="00DD45F7">
        <w:rPr>
          <w:rFonts w:ascii="Times New Roman" w:hAnsi="Times New Roman" w:cs="Times New Roman"/>
          <w:sz w:val="24"/>
          <w:szCs w:val="24"/>
        </w:rPr>
        <w:t xml:space="preserve">Verizon suggests that a provider seeking to discontinue legacy </w:t>
      </w:r>
      <w:r w:rsidR="00E9441C">
        <w:rPr>
          <w:rFonts w:ascii="Times New Roman" w:hAnsi="Times New Roman" w:cs="Times New Roman"/>
          <w:sz w:val="24"/>
          <w:szCs w:val="24"/>
        </w:rPr>
        <w:t xml:space="preserve">interstate </w:t>
      </w:r>
      <w:r w:rsidR="008409A4" w:rsidRPr="00DD45F7">
        <w:rPr>
          <w:rFonts w:ascii="Times New Roman" w:hAnsi="Times New Roman" w:cs="Times New Roman"/>
          <w:sz w:val="24"/>
          <w:szCs w:val="24"/>
        </w:rPr>
        <w:t>voice services should only be required to notify its customers and file a Section 214(a) application with a self-certification that mobile or fixed voice service, including interconnected VoIP service, is available to the same community from the applicant or some alternative source.  Verizon Comments at 10-11.</w:t>
      </w:r>
    </w:p>
    <w:p w:rsidR="00D06200" w:rsidRPr="00DD45F7" w:rsidRDefault="00D06200" w:rsidP="00A80ADC">
      <w:pPr>
        <w:autoSpaceDE w:val="0"/>
        <w:autoSpaceDN w:val="0"/>
        <w:adjustRightInd w:val="0"/>
        <w:spacing w:after="0" w:line="480" w:lineRule="auto"/>
        <w:ind w:firstLine="720"/>
        <w:rPr>
          <w:rFonts w:ascii="Times New Roman" w:hAnsi="Times New Roman" w:cs="Times New Roman"/>
          <w:sz w:val="24"/>
          <w:szCs w:val="24"/>
        </w:rPr>
      </w:pPr>
      <w:r w:rsidRPr="00627A7F">
        <w:rPr>
          <w:rFonts w:ascii="Times New Roman" w:hAnsi="Times New Roman" w:cs="Times New Roman"/>
          <w:sz w:val="24"/>
          <w:szCs w:val="24"/>
        </w:rPr>
        <w:t xml:space="preserve">Also, in the </w:t>
      </w:r>
      <w:r w:rsidRPr="00627A7F">
        <w:rPr>
          <w:rFonts w:ascii="Times New Roman" w:hAnsi="Times New Roman" w:cs="Times New Roman"/>
          <w:i/>
          <w:sz w:val="24"/>
          <w:szCs w:val="24"/>
        </w:rPr>
        <w:t>FNPRM</w:t>
      </w:r>
      <w:r w:rsidRPr="00627A7F">
        <w:rPr>
          <w:rFonts w:ascii="Times New Roman" w:hAnsi="Times New Roman" w:cs="Times New Roman"/>
          <w:sz w:val="24"/>
          <w:szCs w:val="24"/>
        </w:rPr>
        <w:t>, Verizon offered an alternative request that the Commission forbear from applying</w:t>
      </w:r>
      <w:r w:rsidR="009A6D3B">
        <w:rPr>
          <w:rFonts w:ascii="Times New Roman" w:hAnsi="Times New Roman" w:cs="Times New Roman"/>
          <w:sz w:val="24"/>
          <w:szCs w:val="24"/>
        </w:rPr>
        <w:t xml:space="preserve"> the discontinuance requirements of</w:t>
      </w:r>
      <w:r w:rsidRPr="00627A7F">
        <w:rPr>
          <w:rFonts w:ascii="Times New Roman" w:hAnsi="Times New Roman" w:cs="Times New Roman"/>
          <w:sz w:val="24"/>
          <w:szCs w:val="24"/>
        </w:rPr>
        <w:t xml:space="preserve"> </w:t>
      </w:r>
      <w:r w:rsidR="0072503B">
        <w:rPr>
          <w:rFonts w:ascii="Times New Roman" w:hAnsi="Times New Roman" w:cs="Times New Roman"/>
          <w:sz w:val="24"/>
          <w:szCs w:val="24"/>
        </w:rPr>
        <w:t>S</w:t>
      </w:r>
      <w:r w:rsidR="0072503B" w:rsidRPr="00627A7F">
        <w:rPr>
          <w:rFonts w:ascii="Times New Roman" w:hAnsi="Times New Roman" w:cs="Times New Roman"/>
          <w:sz w:val="24"/>
          <w:szCs w:val="24"/>
        </w:rPr>
        <w:t xml:space="preserve">ection </w:t>
      </w:r>
      <w:r w:rsidRPr="00627A7F">
        <w:rPr>
          <w:rFonts w:ascii="Times New Roman" w:hAnsi="Times New Roman" w:cs="Times New Roman"/>
          <w:sz w:val="24"/>
          <w:szCs w:val="24"/>
        </w:rPr>
        <w:t xml:space="preserve">214(a) to carriers seeking to transition from legacy voice services to next-generation replacement services.  </w:t>
      </w:r>
      <w:r w:rsidRPr="00627A7F">
        <w:rPr>
          <w:rFonts w:ascii="Times New Roman" w:hAnsi="Times New Roman" w:cs="Times New Roman"/>
          <w:i/>
          <w:sz w:val="24"/>
          <w:szCs w:val="24"/>
        </w:rPr>
        <w:t>FNPRM</w:t>
      </w:r>
      <w:r w:rsidRPr="00627A7F">
        <w:rPr>
          <w:rFonts w:ascii="Times New Roman" w:hAnsi="Times New Roman" w:cs="Times New Roman"/>
          <w:sz w:val="24"/>
          <w:szCs w:val="24"/>
        </w:rPr>
        <w:t xml:space="preserve"> at 66, para. 174.  CenturyLink and WTA similarly requested the Commission eliminate the requirement to file a </w:t>
      </w:r>
      <w:r w:rsidR="0072503B">
        <w:rPr>
          <w:rFonts w:ascii="Times New Roman" w:hAnsi="Times New Roman" w:cs="Times New Roman"/>
          <w:sz w:val="24"/>
          <w:szCs w:val="24"/>
        </w:rPr>
        <w:t>S</w:t>
      </w:r>
      <w:r w:rsidR="0072503B" w:rsidRPr="00627A7F">
        <w:rPr>
          <w:rFonts w:ascii="Times New Roman" w:hAnsi="Times New Roman" w:cs="Times New Roman"/>
          <w:sz w:val="24"/>
          <w:szCs w:val="24"/>
        </w:rPr>
        <w:t xml:space="preserve">ection </w:t>
      </w:r>
      <w:r w:rsidRPr="00627A7F">
        <w:rPr>
          <w:rFonts w:ascii="Times New Roman" w:hAnsi="Times New Roman" w:cs="Times New Roman"/>
          <w:sz w:val="24"/>
          <w:szCs w:val="24"/>
        </w:rPr>
        <w:t xml:space="preserve">214(a) application for any discontinuance that is part of a network upgrade.  The Commission sought comment on these proposals and whether it should, on its own motion, grant forbearance when carriers upgrade their networks and simultaneously transition the services provided over those networks to next-generation technology, e.g., TDM to IP.  Specifically, the Commission sought comment on forbearing from both </w:t>
      </w:r>
      <w:r w:rsidR="00A53F19">
        <w:rPr>
          <w:rFonts w:ascii="Times New Roman" w:hAnsi="Times New Roman" w:cs="Times New Roman"/>
          <w:sz w:val="24"/>
          <w:szCs w:val="24"/>
        </w:rPr>
        <w:t xml:space="preserve">the discontinuance requirements of </w:t>
      </w:r>
      <w:r w:rsidR="00EA61DA">
        <w:rPr>
          <w:rFonts w:ascii="Times New Roman" w:hAnsi="Times New Roman" w:cs="Times New Roman"/>
          <w:sz w:val="24"/>
          <w:szCs w:val="24"/>
        </w:rPr>
        <w:t>S</w:t>
      </w:r>
      <w:r w:rsidR="00EA61DA" w:rsidRPr="00627A7F">
        <w:rPr>
          <w:rFonts w:ascii="Times New Roman" w:hAnsi="Times New Roman" w:cs="Times New Roman"/>
          <w:sz w:val="24"/>
          <w:szCs w:val="24"/>
        </w:rPr>
        <w:t xml:space="preserve">ection </w:t>
      </w:r>
      <w:r w:rsidRPr="00627A7F">
        <w:rPr>
          <w:rFonts w:ascii="Times New Roman" w:hAnsi="Times New Roman" w:cs="Times New Roman"/>
          <w:sz w:val="24"/>
          <w:szCs w:val="24"/>
        </w:rPr>
        <w:t>214(a)</w:t>
      </w:r>
      <w:r w:rsidR="008F19AF">
        <w:rPr>
          <w:rFonts w:ascii="Times New Roman" w:hAnsi="Times New Roman" w:cs="Times New Roman"/>
          <w:sz w:val="24"/>
          <w:szCs w:val="24"/>
        </w:rPr>
        <w:t xml:space="preserve"> </w:t>
      </w:r>
      <w:r w:rsidRPr="00627A7F">
        <w:rPr>
          <w:rFonts w:ascii="Times New Roman" w:hAnsi="Times New Roman" w:cs="Times New Roman"/>
          <w:sz w:val="24"/>
          <w:szCs w:val="24"/>
        </w:rPr>
        <w:t xml:space="preserve">and </w:t>
      </w:r>
      <w:r w:rsidR="00A53F19">
        <w:rPr>
          <w:rFonts w:ascii="Times New Roman" w:hAnsi="Times New Roman" w:cs="Times New Roman"/>
          <w:sz w:val="24"/>
          <w:szCs w:val="24"/>
        </w:rPr>
        <w:t>the Commission’s</w:t>
      </w:r>
      <w:r w:rsidR="00A53F19" w:rsidRPr="00627A7F">
        <w:rPr>
          <w:rFonts w:ascii="Times New Roman" w:hAnsi="Times New Roman" w:cs="Times New Roman"/>
          <w:sz w:val="24"/>
          <w:szCs w:val="24"/>
        </w:rPr>
        <w:t xml:space="preserve"> </w:t>
      </w:r>
      <w:r w:rsidR="00EA61DA">
        <w:rPr>
          <w:rFonts w:ascii="Times New Roman" w:hAnsi="Times New Roman" w:cs="Times New Roman"/>
          <w:sz w:val="24"/>
          <w:szCs w:val="24"/>
        </w:rPr>
        <w:t>P</w:t>
      </w:r>
      <w:r w:rsidR="00EA61DA" w:rsidRPr="00627A7F">
        <w:rPr>
          <w:rFonts w:ascii="Times New Roman" w:hAnsi="Times New Roman" w:cs="Times New Roman"/>
          <w:sz w:val="24"/>
          <w:szCs w:val="24"/>
        </w:rPr>
        <w:t xml:space="preserve">art </w:t>
      </w:r>
      <w:r w:rsidR="00B3290B">
        <w:rPr>
          <w:rFonts w:ascii="Times New Roman" w:hAnsi="Times New Roman" w:cs="Times New Roman"/>
          <w:sz w:val="24"/>
          <w:szCs w:val="24"/>
        </w:rPr>
        <w:t>63 implementing rules.</w:t>
      </w:r>
    </w:p>
    <w:p w:rsidR="00DB7308" w:rsidRDefault="00C66B86" w:rsidP="004E74FB">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282D74">
        <w:rPr>
          <w:rFonts w:ascii="Times New Roman" w:hAnsi="Times New Roman" w:cs="Times New Roman"/>
          <w:sz w:val="24"/>
          <w:szCs w:val="24"/>
        </w:rPr>
        <w:t xml:space="preserve">Pa. PUC </w:t>
      </w:r>
      <w:r w:rsidR="00D924A6">
        <w:rPr>
          <w:rFonts w:ascii="Times New Roman" w:hAnsi="Times New Roman" w:cs="Times New Roman"/>
          <w:sz w:val="24"/>
          <w:szCs w:val="24"/>
        </w:rPr>
        <w:t xml:space="preserve">supports policies and rules that properly </w:t>
      </w:r>
      <w:r w:rsidR="00282D74" w:rsidRPr="00DD45F7">
        <w:rPr>
          <w:rFonts w:ascii="Times New Roman" w:hAnsi="Times New Roman" w:cs="Times New Roman"/>
          <w:sz w:val="24"/>
          <w:szCs w:val="24"/>
        </w:rPr>
        <w:t>allow carriers to invest in modern networks</w:t>
      </w:r>
      <w:r w:rsidR="00282D74">
        <w:rPr>
          <w:rFonts w:ascii="Times New Roman" w:hAnsi="Times New Roman" w:cs="Times New Roman"/>
          <w:sz w:val="24"/>
          <w:szCs w:val="24"/>
        </w:rPr>
        <w:t xml:space="preserve">.  </w:t>
      </w:r>
      <w:r w:rsidR="00D924A6">
        <w:rPr>
          <w:rFonts w:ascii="Times New Roman" w:hAnsi="Times New Roman" w:cs="Times New Roman"/>
          <w:sz w:val="24"/>
          <w:szCs w:val="24"/>
        </w:rPr>
        <w:t xml:space="preserve">That encouragement and support, however, must be balanced against market realities and </w:t>
      </w:r>
      <w:r w:rsidR="001A14D1">
        <w:rPr>
          <w:rFonts w:ascii="Times New Roman" w:hAnsi="Times New Roman" w:cs="Times New Roman"/>
          <w:sz w:val="24"/>
          <w:szCs w:val="24"/>
        </w:rPr>
        <w:t xml:space="preserve">the impact </w:t>
      </w:r>
      <w:r w:rsidR="00DB7308">
        <w:rPr>
          <w:rFonts w:ascii="Times New Roman" w:hAnsi="Times New Roman" w:cs="Times New Roman"/>
          <w:sz w:val="24"/>
          <w:szCs w:val="24"/>
        </w:rPr>
        <w:t>in the states</w:t>
      </w:r>
      <w:r w:rsidR="001A14D1">
        <w:rPr>
          <w:rFonts w:ascii="Times New Roman" w:hAnsi="Times New Roman" w:cs="Times New Roman"/>
          <w:sz w:val="24"/>
          <w:szCs w:val="24"/>
        </w:rPr>
        <w:t xml:space="preserve">.  This must </w:t>
      </w:r>
      <w:r w:rsidR="00DB7308">
        <w:rPr>
          <w:rFonts w:ascii="Times New Roman" w:hAnsi="Times New Roman" w:cs="Times New Roman"/>
          <w:sz w:val="24"/>
          <w:szCs w:val="24"/>
        </w:rPr>
        <w:t xml:space="preserve">be considered in any final FCC rules.  </w:t>
      </w:r>
    </w:p>
    <w:p w:rsidR="006654E3" w:rsidRDefault="00282D74" w:rsidP="00DB7308">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The Pa. PUC</w:t>
      </w:r>
      <w:r w:rsidR="00DB7308">
        <w:rPr>
          <w:rFonts w:ascii="Times New Roman" w:hAnsi="Times New Roman" w:cs="Times New Roman"/>
          <w:sz w:val="24"/>
          <w:szCs w:val="24"/>
        </w:rPr>
        <w:t xml:space="preserve">’s own prior decision </w:t>
      </w:r>
      <w:r w:rsidR="00C66B86">
        <w:rPr>
          <w:rFonts w:ascii="Times New Roman" w:hAnsi="Times New Roman" w:cs="Times New Roman"/>
          <w:sz w:val="24"/>
          <w:szCs w:val="24"/>
        </w:rPr>
        <w:t>under state law</w:t>
      </w:r>
      <w:r w:rsidR="00C66B86">
        <w:rPr>
          <w:rStyle w:val="FootnoteReference"/>
          <w:rFonts w:ascii="Times New Roman" w:hAnsi="Times New Roman" w:cs="Times New Roman"/>
          <w:sz w:val="24"/>
          <w:szCs w:val="24"/>
        </w:rPr>
        <w:footnoteReference w:id="7"/>
      </w:r>
      <w:r w:rsidR="00C66B86">
        <w:rPr>
          <w:rFonts w:ascii="Times New Roman" w:hAnsi="Times New Roman" w:cs="Times New Roman"/>
          <w:sz w:val="24"/>
          <w:szCs w:val="24"/>
        </w:rPr>
        <w:t xml:space="preserve"> </w:t>
      </w:r>
      <w:r w:rsidR="00DB7308">
        <w:rPr>
          <w:rFonts w:ascii="Times New Roman" w:hAnsi="Times New Roman" w:cs="Times New Roman"/>
          <w:sz w:val="24"/>
          <w:szCs w:val="24"/>
        </w:rPr>
        <w:t xml:space="preserve">concerning the delivery of </w:t>
      </w:r>
      <w:r w:rsidR="00C66B86">
        <w:rPr>
          <w:rFonts w:ascii="Times New Roman" w:hAnsi="Times New Roman" w:cs="Times New Roman"/>
          <w:sz w:val="24"/>
          <w:szCs w:val="24"/>
        </w:rPr>
        <w:t xml:space="preserve">intrastate </w:t>
      </w:r>
      <w:r w:rsidR="00DB7308">
        <w:rPr>
          <w:rFonts w:ascii="Times New Roman" w:hAnsi="Times New Roman" w:cs="Times New Roman"/>
          <w:sz w:val="24"/>
          <w:szCs w:val="24"/>
        </w:rPr>
        <w:t>legacy voice service in competitive</w:t>
      </w:r>
      <w:r w:rsidR="00C66B86">
        <w:rPr>
          <w:rFonts w:ascii="Times New Roman" w:hAnsi="Times New Roman" w:cs="Times New Roman"/>
          <w:sz w:val="24"/>
          <w:szCs w:val="24"/>
        </w:rPr>
        <w:t xml:space="preserve">ly classified wire centers </w:t>
      </w:r>
      <w:r w:rsidR="00DB7308">
        <w:rPr>
          <w:rFonts w:ascii="Times New Roman" w:hAnsi="Times New Roman" w:cs="Times New Roman"/>
          <w:sz w:val="24"/>
          <w:szCs w:val="24"/>
        </w:rPr>
        <w:t xml:space="preserve">reflected </w:t>
      </w:r>
      <w:r w:rsidR="00C66B86">
        <w:rPr>
          <w:rFonts w:ascii="Times New Roman" w:hAnsi="Times New Roman" w:cs="Times New Roman"/>
          <w:sz w:val="24"/>
          <w:szCs w:val="24"/>
        </w:rPr>
        <w:t xml:space="preserve">a </w:t>
      </w:r>
      <w:r w:rsidR="00FD6315">
        <w:rPr>
          <w:rFonts w:ascii="Times New Roman" w:hAnsi="Times New Roman" w:cs="Times New Roman"/>
          <w:sz w:val="24"/>
          <w:szCs w:val="24"/>
        </w:rPr>
        <w:t xml:space="preserve">granular, record-based </w:t>
      </w:r>
      <w:r w:rsidR="00C66B86">
        <w:rPr>
          <w:rFonts w:ascii="Times New Roman" w:hAnsi="Times New Roman" w:cs="Times New Roman"/>
          <w:sz w:val="24"/>
          <w:szCs w:val="24"/>
        </w:rPr>
        <w:t xml:space="preserve">determination that wireless and cable </w:t>
      </w:r>
      <w:r w:rsidR="00DB7308">
        <w:rPr>
          <w:rFonts w:ascii="Times New Roman" w:hAnsi="Times New Roman" w:cs="Times New Roman"/>
          <w:sz w:val="24"/>
          <w:szCs w:val="24"/>
        </w:rPr>
        <w:t>voice service</w:t>
      </w:r>
      <w:r w:rsidR="00C66B86">
        <w:rPr>
          <w:rFonts w:ascii="Times New Roman" w:hAnsi="Times New Roman" w:cs="Times New Roman"/>
          <w:sz w:val="24"/>
          <w:szCs w:val="24"/>
        </w:rPr>
        <w:t xml:space="preserve">s </w:t>
      </w:r>
      <w:r w:rsidR="00DB7308">
        <w:rPr>
          <w:rFonts w:ascii="Times New Roman" w:hAnsi="Times New Roman" w:cs="Times New Roman"/>
          <w:sz w:val="24"/>
          <w:szCs w:val="24"/>
        </w:rPr>
        <w:t xml:space="preserve">were </w:t>
      </w:r>
      <w:r w:rsidR="00894FC5">
        <w:rPr>
          <w:rFonts w:ascii="Times New Roman" w:hAnsi="Times New Roman" w:cs="Times New Roman"/>
          <w:sz w:val="24"/>
          <w:szCs w:val="24"/>
        </w:rPr>
        <w:t>sufficient</w:t>
      </w:r>
      <w:r w:rsidR="00FD6315">
        <w:rPr>
          <w:rFonts w:ascii="Times New Roman" w:hAnsi="Times New Roman" w:cs="Times New Roman"/>
          <w:sz w:val="24"/>
          <w:szCs w:val="24"/>
        </w:rPr>
        <w:t>ly</w:t>
      </w:r>
      <w:r w:rsidR="00894FC5">
        <w:rPr>
          <w:rFonts w:ascii="Times New Roman" w:hAnsi="Times New Roman" w:cs="Times New Roman"/>
          <w:sz w:val="24"/>
          <w:szCs w:val="24"/>
        </w:rPr>
        <w:t xml:space="preserve"> </w:t>
      </w:r>
      <w:r>
        <w:rPr>
          <w:rFonts w:ascii="Times New Roman" w:hAnsi="Times New Roman" w:cs="Times New Roman"/>
          <w:sz w:val="24"/>
          <w:szCs w:val="24"/>
        </w:rPr>
        <w:t xml:space="preserve">competitive alternatives </w:t>
      </w:r>
      <w:r w:rsidR="00644F90">
        <w:rPr>
          <w:rFonts w:ascii="Times New Roman" w:hAnsi="Times New Roman" w:cs="Times New Roman"/>
          <w:sz w:val="24"/>
          <w:szCs w:val="24"/>
        </w:rPr>
        <w:t xml:space="preserve">to </w:t>
      </w:r>
      <w:r w:rsidR="00C66B86">
        <w:rPr>
          <w:rFonts w:ascii="Times New Roman" w:hAnsi="Times New Roman" w:cs="Times New Roman"/>
          <w:sz w:val="24"/>
          <w:szCs w:val="24"/>
        </w:rPr>
        <w:t xml:space="preserve">intrastate </w:t>
      </w:r>
      <w:r w:rsidR="00644F90">
        <w:rPr>
          <w:rFonts w:ascii="Times New Roman" w:hAnsi="Times New Roman" w:cs="Times New Roman"/>
          <w:sz w:val="24"/>
          <w:szCs w:val="24"/>
        </w:rPr>
        <w:t xml:space="preserve">legacy voice services </w:t>
      </w:r>
      <w:r w:rsidR="00DB7308">
        <w:rPr>
          <w:rFonts w:ascii="Times New Roman" w:hAnsi="Times New Roman" w:cs="Times New Roman"/>
          <w:sz w:val="24"/>
          <w:szCs w:val="24"/>
        </w:rPr>
        <w:t xml:space="preserve">in those </w:t>
      </w:r>
      <w:r w:rsidR="00894FC5">
        <w:rPr>
          <w:rFonts w:ascii="Times New Roman" w:hAnsi="Times New Roman" w:cs="Times New Roman"/>
          <w:sz w:val="24"/>
          <w:szCs w:val="24"/>
        </w:rPr>
        <w:t xml:space="preserve">competitively classified wire centers </w:t>
      </w:r>
      <w:r w:rsidR="00FD6315">
        <w:rPr>
          <w:rFonts w:ascii="Times New Roman" w:hAnsi="Times New Roman" w:cs="Times New Roman"/>
          <w:sz w:val="24"/>
          <w:szCs w:val="24"/>
        </w:rPr>
        <w:t>wire centers</w:t>
      </w:r>
      <w:r w:rsidR="00DB7308">
        <w:rPr>
          <w:rFonts w:ascii="Times New Roman" w:hAnsi="Times New Roman" w:cs="Times New Roman"/>
          <w:sz w:val="24"/>
          <w:szCs w:val="24"/>
        </w:rPr>
        <w:t xml:space="preserve"> </w:t>
      </w:r>
      <w:r w:rsidR="00894FC5">
        <w:rPr>
          <w:rFonts w:ascii="Times New Roman" w:hAnsi="Times New Roman" w:cs="Times New Roman"/>
          <w:sz w:val="24"/>
          <w:szCs w:val="24"/>
        </w:rPr>
        <w:t xml:space="preserve">such </w:t>
      </w:r>
      <w:r w:rsidR="00DB7308">
        <w:rPr>
          <w:rFonts w:ascii="Times New Roman" w:hAnsi="Times New Roman" w:cs="Times New Roman"/>
          <w:sz w:val="24"/>
          <w:szCs w:val="24"/>
        </w:rPr>
        <w:t>that price regulation of those services was no longer necessary.</w:t>
      </w:r>
      <w:r w:rsidR="00894FC5" w:rsidRPr="00894FC5">
        <w:rPr>
          <w:rStyle w:val="FootnoteReference"/>
          <w:rFonts w:ascii="Times New Roman" w:hAnsi="Times New Roman" w:cs="Times New Roman"/>
          <w:sz w:val="24"/>
          <w:szCs w:val="24"/>
        </w:rPr>
        <w:t xml:space="preserve"> </w:t>
      </w:r>
      <w:r w:rsidR="00894FC5">
        <w:rPr>
          <w:rStyle w:val="FootnoteReference"/>
          <w:rFonts w:ascii="Times New Roman" w:hAnsi="Times New Roman" w:cs="Times New Roman"/>
          <w:sz w:val="24"/>
          <w:szCs w:val="24"/>
        </w:rPr>
        <w:footnoteReference w:id="8"/>
      </w:r>
      <w:r w:rsidR="00894FC5">
        <w:rPr>
          <w:rFonts w:ascii="Times New Roman" w:hAnsi="Times New Roman" w:cs="Times New Roman"/>
          <w:sz w:val="24"/>
          <w:szCs w:val="24"/>
        </w:rPr>
        <w:t xml:space="preserve">  </w:t>
      </w:r>
      <w:r w:rsidR="00DB7308">
        <w:rPr>
          <w:rFonts w:ascii="Times New Roman" w:hAnsi="Times New Roman" w:cs="Times New Roman"/>
          <w:sz w:val="24"/>
          <w:szCs w:val="24"/>
        </w:rPr>
        <w:t>Th</w:t>
      </w:r>
      <w:r w:rsidR="00894FC5">
        <w:rPr>
          <w:rFonts w:ascii="Times New Roman" w:hAnsi="Times New Roman" w:cs="Times New Roman"/>
          <w:sz w:val="24"/>
          <w:szCs w:val="24"/>
        </w:rPr>
        <w:t>e</w:t>
      </w:r>
      <w:r w:rsidR="00DB7308">
        <w:rPr>
          <w:rFonts w:ascii="Times New Roman" w:hAnsi="Times New Roman" w:cs="Times New Roman"/>
          <w:sz w:val="24"/>
          <w:szCs w:val="24"/>
        </w:rPr>
        <w:t xml:space="preserve"> determination and the limited waiver of some express provisions in rules concerning the delivery of </w:t>
      </w:r>
      <w:r w:rsidR="00894FC5">
        <w:rPr>
          <w:rFonts w:ascii="Times New Roman" w:hAnsi="Times New Roman" w:cs="Times New Roman"/>
          <w:sz w:val="24"/>
          <w:szCs w:val="24"/>
        </w:rPr>
        <w:t xml:space="preserve">intrastate </w:t>
      </w:r>
      <w:r w:rsidR="00DB7308">
        <w:rPr>
          <w:rFonts w:ascii="Times New Roman" w:hAnsi="Times New Roman" w:cs="Times New Roman"/>
          <w:sz w:val="24"/>
          <w:szCs w:val="24"/>
        </w:rPr>
        <w:t xml:space="preserve">legacy intrastate voice services </w:t>
      </w:r>
      <w:r w:rsidR="00894FC5">
        <w:rPr>
          <w:rFonts w:ascii="Times New Roman" w:hAnsi="Times New Roman" w:cs="Times New Roman"/>
          <w:sz w:val="24"/>
          <w:szCs w:val="24"/>
        </w:rPr>
        <w:t xml:space="preserve">classified as </w:t>
      </w:r>
      <w:r w:rsidR="00DB7308">
        <w:rPr>
          <w:rFonts w:ascii="Times New Roman" w:hAnsi="Times New Roman" w:cs="Times New Roman"/>
          <w:sz w:val="24"/>
          <w:szCs w:val="24"/>
        </w:rPr>
        <w:t>competitive did not obviate Verizon</w:t>
      </w:r>
      <w:r w:rsidR="00FD6315">
        <w:rPr>
          <w:rFonts w:ascii="Times New Roman" w:hAnsi="Times New Roman" w:cs="Times New Roman"/>
          <w:sz w:val="24"/>
          <w:szCs w:val="24"/>
        </w:rPr>
        <w:t>’s</w:t>
      </w:r>
      <w:r w:rsidR="00DB7308">
        <w:rPr>
          <w:rFonts w:ascii="Times New Roman" w:hAnsi="Times New Roman" w:cs="Times New Roman"/>
          <w:sz w:val="24"/>
          <w:szCs w:val="24"/>
        </w:rPr>
        <w:t xml:space="preserve"> or any </w:t>
      </w:r>
      <w:r w:rsidR="00FD6315">
        <w:rPr>
          <w:rFonts w:ascii="Times New Roman" w:hAnsi="Times New Roman" w:cs="Times New Roman"/>
          <w:sz w:val="24"/>
          <w:szCs w:val="24"/>
        </w:rPr>
        <w:t xml:space="preserve">other </w:t>
      </w:r>
      <w:r w:rsidR="00DB7308">
        <w:rPr>
          <w:rFonts w:ascii="Times New Roman" w:hAnsi="Times New Roman" w:cs="Times New Roman"/>
          <w:sz w:val="24"/>
          <w:szCs w:val="24"/>
        </w:rPr>
        <w:t xml:space="preserve">carrier’s </w:t>
      </w:r>
      <w:r w:rsidR="00894FC5">
        <w:rPr>
          <w:rFonts w:ascii="Times New Roman" w:hAnsi="Times New Roman" w:cs="Times New Roman"/>
          <w:sz w:val="24"/>
          <w:szCs w:val="24"/>
        </w:rPr>
        <w:t xml:space="preserve">ongoing </w:t>
      </w:r>
      <w:r w:rsidR="00DB7308">
        <w:rPr>
          <w:rFonts w:ascii="Times New Roman" w:hAnsi="Times New Roman" w:cs="Times New Roman"/>
          <w:sz w:val="24"/>
          <w:szCs w:val="24"/>
        </w:rPr>
        <w:t>obligation to provide reasonable facilities</w:t>
      </w:r>
      <w:r w:rsidR="00894FC5">
        <w:rPr>
          <w:rFonts w:ascii="Times New Roman" w:hAnsi="Times New Roman" w:cs="Times New Roman"/>
          <w:sz w:val="24"/>
          <w:szCs w:val="24"/>
        </w:rPr>
        <w:t xml:space="preserve"> and </w:t>
      </w:r>
      <w:r w:rsidR="00DB7308">
        <w:rPr>
          <w:rFonts w:ascii="Times New Roman" w:hAnsi="Times New Roman" w:cs="Times New Roman"/>
          <w:sz w:val="24"/>
          <w:szCs w:val="24"/>
        </w:rPr>
        <w:t>services used to provide intrastate legacy voice services under Section</w:t>
      </w:r>
      <w:r w:rsidR="00894FC5">
        <w:rPr>
          <w:rFonts w:ascii="Times New Roman" w:hAnsi="Times New Roman" w:cs="Times New Roman"/>
          <w:sz w:val="24"/>
          <w:szCs w:val="24"/>
        </w:rPr>
        <w:t> </w:t>
      </w:r>
      <w:r w:rsidR="00DB7308">
        <w:rPr>
          <w:rFonts w:ascii="Times New Roman" w:hAnsi="Times New Roman" w:cs="Times New Roman"/>
          <w:sz w:val="24"/>
          <w:szCs w:val="24"/>
        </w:rPr>
        <w:t>1501</w:t>
      </w:r>
      <w:r w:rsidR="00894FC5">
        <w:rPr>
          <w:rFonts w:ascii="Times New Roman" w:hAnsi="Times New Roman" w:cs="Times New Roman"/>
          <w:sz w:val="24"/>
          <w:szCs w:val="24"/>
        </w:rPr>
        <w:t xml:space="preserve"> of the Pennsylvania Public Utility Code</w:t>
      </w:r>
      <w:r w:rsidR="00DB7308">
        <w:rPr>
          <w:rFonts w:ascii="Times New Roman" w:hAnsi="Times New Roman" w:cs="Times New Roman"/>
          <w:sz w:val="24"/>
          <w:szCs w:val="24"/>
        </w:rPr>
        <w:t>, 66 Pa.</w:t>
      </w:r>
      <w:r w:rsidR="00FD6315">
        <w:rPr>
          <w:rFonts w:ascii="Times New Roman" w:hAnsi="Times New Roman" w:cs="Times New Roman"/>
          <w:sz w:val="24"/>
          <w:szCs w:val="24"/>
        </w:rPr>
        <w:t xml:space="preserve"> C.S. § 1501</w:t>
      </w:r>
      <w:r w:rsidR="00894FC5">
        <w:rPr>
          <w:rFonts w:ascii="Times New Roman" w:hAnsi="Times New Roman" w:cs="Times New Roman"/>
          <w:sz w:val="24"/>
          <w:szCs w:val="24"/>
        </w:rPr>
        <w:t xml:space="preserve">.  </w:t>
      </w:r>
      <w:r w:rsidR="006654E3">
        <w:rPr>
          <w:rFonts w:ascii="Times New Roman" w:hAnsi="Times New Roman" w:cs="Times New Roman"/>
          <w:sz w:val="24"/>
          <w:szCs w:val="24"/>
        </w:rPr>
        <w:t xml:space="preserve">The Pa. PUC </w:t>
      </w:r>
      <w:r w:rsidR="00F43CC5">
        <w:rPr>
          <w:rFonts w:ascii="Times New Roman" w:hAnsi="Times New Roman" w:cs="Times New Roman"/>
          <w:sz w:val="24"/>
          <w:szCs w:val="24"/>
        </w:rPr>
        <w:t>acknowledges the carriers’ interests in streamlining the Section 214(a) process</w:t>
      </w:r>
      <w:r w:rsidR="006654E3">
        <w:rPr>
          <w:rFonts w:ascii="Times New Roman" w:hAnsi="Times New Roman" w:cs="Times New Roman"/>
          <w:sz w:val="24"/>
          <w:szCs w:val="24"/>
        </w:rPr>
        <w:t xml:space="preserve">. </w:t>
      </w:r>
      <w:r w:rsidR="00CD3C73">
        <w:rPr>
          <w:rFonts w:ascii="Times New Roman" w:hAnsi="Times New Roman" w:cs="Times New Roman"/>
          <w:sz w:val="24"/>
          <w:szCs w:val="24"/>
        </w:rPr>
        <w:t xml:space="preserve"> The Pa. PUC believes that the final Commission </w:t>
      </w:r>
      <w:r w:rsidR="008F19AF">
        <w:rPr>
          <w:rFonts w:ascii="Times New Roman" w:hAnsi="Times New Roman" w:cs="Times New Roman"/>
          <w:sz w:val="24"/>
          <w:szCs w:val="24"/>
        </w:rPr>
        <w:t>rules</w:t>
      </w:r>
      <w:r w:rsidR="00CD3C73">
        <w:rPr>
          <w:rFonts w:ascii="Times New Roman" w:hAnsi="Times New Roman" w:cs="Times New Roman"/>
          <w:sz w:val="24"/>
          <w:szCs w:val="24"/>
        </w:rPr>
        <w:t xml:space="preserve"> in this proceeding should not </w:t>
      </w:r>
      <w:r w:rsidR="00AE4F4B">
        <w:rPr>
          <w:rFonts w:ascii="Times New Roman" w:hAnsi="Times New Roman" w:cs="Times New Roman"/>
          <w:sz w:val="24"/>
          <w:szCs w:val="24"/>
        </w:rPr>
        <w:t>obviate or undermine the</w:t>
      </w:r>
      <w:r w:rsidR="00CD3C73">
        <w:rPr>
          <w:rFonts w:ascii="Times New Roman" w:hAnsi="Times New Roman" w:cs="Times New Roman"/>
          <w:sz w:val="24"/>
          <w:szCs w:val="24"/>
        </w:rPr>
        <w:t xml:space="preserve"> prior Pa. PUC decision</w:t>
      </w:r>
      <w:r w:rsidR="00894FC5">
        <w:rPr>
          <w:rFonts w:ascii="Times New Roman" w:hAnsi="Times New Roman" w:cs="Times New Roman"/>
          <w:sz w:val="24"/>
          <w:szCs w:val="24"/>
        </w:rPr>
        <w:t xml:space="preserve">.  </w:t>
      </w:r>
    </w:p>
    <w:p w:rsidR="00CD3C73" w:rsidRDefault="00894FC5" w:rsidP="004E74FB">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832AE9" w:rsidRPr="00DD45F7">
        <w:rPr>
          <w:rFonts w:ascii="Times New Roman" w:hAnsi="Times New Roman" w:cs="Times New Roman"/>
          <w:sz w:val="24"/>
          <w:szCs w:val="24"/>
        </w:rPr>
        <w:t>Pa</w:t>
      </w:r>
      <w:r w:rsidR="00A80ADC">
        <w:rPr>
          <w:rFonts w:ascii="Times New Roman" w:hAnsi="Times New Roman" w:cs="Times New Roman"/>
          <w:sz w:val="24"/>
          <w:szCs w:val="24"/>
        </w:rPr>
        <w:t xml:space="preserve">. </w:t>
      </w:r>
      <w:r w:rsidR="00832AE9" w:rsidRPr="00DD45F7">
        <w:rPr>
          <w:rFonts w:ascii="Times New Roman" w:hAnsi="Times New Roman" w:cs="Times New Roman"/>
          <w:sz w:val="24"/>
          <w:szCs w:val="24"/>
        </w:rPr>
        <w:t xml:space="preserve">PUC </w:t>
      </w:r>
      <w:r w:rsidR="00D54409">
        <w:rPr>
          <w:rFonts w:ascii="Times New Roman" w:hAnsi="Times New Roman" w:cs="Times New Roman"/>
          <w:sz w:val="24"/>
          <w:szCs w:val="24"/>
        </w:rPr>
        <w:t xml:space="preserve">does not support </w:t>
      </w:r>
      <w:r w:rsidR="00D54409" w:rsidRPr="00627A7F">
        <w:rPr>
          <w:rFonts w:ascii="Times New Roman" w:hAnsi="Times New Roman" w:cs="Times New Roman"/>
          <w:sz w:val="24"/>
          <w:szCs w:val="24"/>
        </w:rPr>
        <w:t>forbear</w:t>
      </w:r>
      <w:r w:rsidR="00D54409">
        <w:rPr>
          <w:rFonts w:ascii="Times New Roman" w:hAnsi="Times New Roman" w:cs="Times New Roman"/>
          <w:sz w:val="24"/>
          <w:szCs w:val="24"/>
        </w:rPr>
        <w:t>ance</w:t>
      </w:r>
      <w:r w:rsidR="00D54409" w:rsidRPr="00627A7F">
        <w:rPr>
          <w:rFonts w:ascii="Times New Roman" w:hAnsi="Times New Roman" w:cs="Times New Roman"/>
          <w:sz w:val="24"/>
          <w:szCs w:val="24"/>
        </w:rPr>
        <w:t xml:space="preserve"> from applying </w:t>
      </w:r>
      <w:r w:rsidR="00BE682F">
        <w:rPr>
          <w:rFonts w:ascii="Times New Roman" w:hAnsi="Times New Roman" w:cs="Times New Roman"/>
          <w:sz w:val="24"/>
          <w:szCs w:val="24"/>
        </w:rPr>
        <w:t xml:space="preserve">the </w:t>
      </w:r>
      <w:r w:rsidR="006A160C">
        <w:rPr>
          <w:rFonts w:ascii="Times New Roman" w:hAnsi="Times New Roman" w:cs="Times New Roman"/>
          <w:sz w:val="24"/>
          <w:szCs w:val="24"/>
        </w:rPr>
        <w:t xml:space="preserve">discontinuance requirements of </w:t>
      </w:r>
      <w:r w:rsidR="00D54409">
        <w:rPr>
          <w:rFonts w:ascii="Times New Roman" w:hAnsi="Times New Roman" w:cs="Times New Roman"/>
          <w:sz w:val="24"/>
          <w:szCs w:val="24"/>
        </w:rPr>
        <w:t>S</w:t>
      </w:r>
      <w:r w:rsidR="00AE4F4B">
        <w:rPr>
          <w:rFonts w:ascii="Times New Roman" w:hAnsi="Times New Roman" w:cs="Times New Roman"/>
          <w:sz w:val="24"/>
          <w:szCs w:val="24"/>
        </w:rPr>
        <w:t xml:space="preserve">ection 214(a), including for </w:t>
      </w:r>
      <w:r w:rsidR="00D54409" w:rsidRPr="00627A7F">
        <w:rPr>
          <w:rFonts w:ascii="Times New Roman" w:hAnsi="Times New Roman" w:cs="Times New Roman"/>
          <w:sz w:val="24"/>
          <w:szCs w:val="24"/>
        </w:rPr>
        <w:t xml:space="preserve">carriers seeking to transition from legacy </w:t>
      </w:r>
      <w:r>
        <w:rPr>
          <w:rFonts w:ascii="Times New Roman" w:hAnsi="Times New Roman" w:cs="Times New Roman"/>
          <w:sz w:val="24"/>
          <w:szCs w:val="24"/>
        </w:rPr>
        <w:t xml:space="preserve">common </w:t>
      </w:r>
      <w:r>
        <w:rPr>
          <w:rFonts w:ascii="Times New Roman" w:hAnsi="Times New Roman" w:cs="Times New Roman"/>
          <w:sz w:val="24"/>
          <w:szCs w:val="24"/>
        </w:rPr>
        <w:lastRenderedPageBreak/>
        <w:t xml:space="preserve">carrier </w:t>
      </w:r>
      <w:r w:rsidR="00CE42E0">
        <w:rPr>
          <w:rFonts w:ascii="Times New Roman" w:hAnsi="Times New Roman" w:cs="Times New Roman"/>
          <w:sz w:val="24"/>
          <w:szCs w:val="24"/>
        </w:rPr>
        <w:t xml:space="preserve">interstate </w:t>
      </w:r>
      <w:r w:rsidR="00D54409" w:rsidRPr="00627A7F">
        <w:rPr>
          <w:rFonts w:ascii="Times New Roman" w:hAnsi="Times New Roman" w:cs="Times New Roman"/>
          <w:sz w:val="24"/>
          <w:szCs w:val="24"/>
        </w:rPr>
        <w:t xml:space="preserve">voice services </w:t>
      </w:r>
      <w:r w:rsidR="00CD3C73">
        <w:rPr>
          <w:rFonts w:ascii="Times New Roman" w:hAnsi="Times New Roman" w:cs="Times New Roman"/>
          <w:sz w:val="24"/>
          <w:szCs w:val="24"/>
        </w:rPr>
        <w:t xml:space="preserve">or facilities retirement </w:t>
      </w:r>
      <w:r w:rsidR="00D54409" w:rsidRPr="00627A7F">
        <w:rPr>
          <w:rFonts w:ascii="Times New Roman" w:hAnsi="Times New Roman" w:cs="Times New Roman"/>
          <w:sz w:val="24"/>
          <w:szCs w:val="24"/>
        </w:rPr>
        <w:t>to next-generation replacement services</w:t>
      </w:r>
      <w:r w:rsidR="00DB7308">
        <w:rPr>
          <w:rFonts w:ascii="Times New Roman" w:hAnsi="Times New Roman" w:cs="Times New Roman"/>
          <w:sz w:val="24"/>
          <w:szCs w:val="24"/>
        </w:rPr>
        <w:t xml:space="preserve"> or the facilities used to provide legacy voice </w:t>
      </w:r>
      <w:r w:rsidR="00CD3C73">
        <w:rPr>
          <w:rFonts w:ascii="Times New Roman" w:hAnsi="Times New Roman" w:cs="Times New Roman"/>
          <w:sz w:val="24"/>
          <w:szCs w:val="24"/>
        </w:rPr>
        <w:t xml:space="preserve">or other </w:t>
      </w:r>
      <w:r w:rsidR="00DB7308">
        <w:rPr>
          <w:rFonts w:ascii="Times New Roman" w:hAnsi="Times New Roman" w:cs="Times New Roman"/>
          <w:sz w:val="24"/>
          <w:szCs w:val="24"/>
        </w:rPr>
        <w:t>services</w:t>
      </w:r>
      <w:r w:rsidR="00D54409">
        <w:rPr>
          <w:rFonts w:ascii="Times New Roman" w:hAnsi="Times New Roman" w:cs="Times New Roman"/>
          <w:sz w:val="24"/>
          <w:szCs w:val="24"/>
        </w:rPr>
        <w:t>.  The Pa. PUC also does not support</w:t>
      </w:r>
      <w:r w:rsidR="00D54409" w:rsidRPr="00DD45F7">
        <w:rPr>
          <w:rFonts w:ascii="Times New Roman" w:hAnsi="Times New Roman" w:cs="Times New Roman"/>
          <w:sz w:val="24"/>
          <w:szCs w:val="24"/>
        </w:rPr>
        <w:t xml:space="preserve"> streamlin</w:t>
      </w:r>
      <w:r w:rsidR="00D54409">
        <w:rPr>
          <w:rFonts w:ascii="Times New Roman" w:hAnsi="Times New Roman" w:cs="Times New Roman"/>
          <w:sz w:val="24"/>
          <w:szCs w:val="24"/>
        </w:rPr>
        <w:t>ing</w:t>
      </w:r>
      <w:r w:rsidR="00D54409" w:rsidRPr="00DD45F7">
        <w:rPr>
          <w:rFonts w:ascii="Times New Roman" w:hAnsi="Times New Roman" w:cs="Times New Roman"/>
          <w:sz w:val="24"/>
          <w:szCs w:val="24"/>
        </w:rPr>
        <w:t xml:space="preserve"> </w:t>
      </w:r>
      <w:r w:rsidR="00B9064F" w:rsidRPr="00DD45F7">
        <w:rPr>
          <w:rFonts w:ascii="Times New Roman" w:hAnsi="Times New Roman" w:cs="Times New Roman"/>
          <w:sz w:val="24"/>
          <w:szCs w:val="24"/>
        </w:rPr>
        <w:t xml:space="preserve">the Section 214(a) application process for legacy </w:t>
      </w:r>
      <w:r>
        <w:rPr>
          <w:rFonts w:ascii="Times New Roman" w:hAnsi="Times New Roman" w:cs="Times New Roman"/>
          <w:sz w:val="24"/>
          <w:szCs w:val="24"/>
        </w:rPr>
        <w:t xml:space="preserve">common carrier </w:t>
      </w:r>
      <w:r w:rsidR="00CE42E0">
        <w:rPr>
          <w:rFonts w:ascii="Times New Roman" w:hAnsi="Times New Roman" w:cs="Times New Roman"/>
          <w:sz w:val="24"/>
          <w:szCs w:val="24"/>
        </w:rPr>
        <w:t xml:space="preserve">interstate </w:t>
      </w:r>
      <w:r w:rsidR="00B9064F" w:rsidRPr="00DD45F7">
        <w:rPr>
          <w:rFonts w:ascii="Times New Roman" w:hAnsi="Times New Roman" w:cs="Times New Roman"/>
          <w:sz w:val="24"/>
          <w:szCs w:val="24"/>
        </w:rPr>
        <w:t>voice services</w:t>
      </w:r>
      <w:r w:rsidR="00F166D1" w:rsidRPr="00DD45F7">
        <w:rPr>
          <w:rFonts w:ascii="Times New Roman" w:hAnsi="Times New Roman" w:cs="Times New Roman"/>
          <w:sz w:val="24"/>
          <w:szCs w:val="24"/>
        </w:rPr>
        <w:t xml:space="preserve"> </w:t>
      </w:r>
      <w:r w:rsidR="00CD3C73">
        <w:rPr>
          <w:rFonts w:ascii="Times New Roman" w:hAnsi="Times New Roman" w:cs="Times New Roman"/>
          <w:sz w:val="24"/>
          <w:szCs w:val="24"/>
        </w:rPr>
        <w:t xml:space="preserve">or other services or facilities used to provide legacy voice or other services </w:t>
      </w:r>
      <w:r w:rsidR="00F166D1" w:rsidRPr="00DD45F7">
        <w:rPr>
          <w:rFonts w:ascii="Times New Roman" w:hAnsi="Times New Roman" w:cs="Times New Roman"/>
          <w:sz w:val="24"/>
          <w:szCs w:val="24"/>
        </w:rPr>
        <w:t xml:space="preserve">based solely on the self-certification of </w:t>
      </w:r>
      <w:r w:rsidR="00832AE9" w:rsidRPr="00DD45F7">
        <w:rPr>
          <w:rFonts w:ascii="Times New Roman" w:hAnsi="Times New Roman" w:cs="Times New Roman"/>
          <w:sz w:val="24"/>
          <w:szCs w:val="24"/>
        </w:rPr>
        <w:t>an</w:t>
      </w:r>
      <w:r w:rsidR="00F166D1" w:rsidRPr="00DD45F7">
        <w:rPr>
          <w:rFonts w:ascii="Times New Roman" w:hAnsi="Times New Roman" w:cs="Times New Roman"/>
          <w:sz w:val="24"/>
          <w:szCs w:val="24"/>
        </w:rPr>
        <w:t xml:space="preserve"> applicant-carrier.  </w:t>
      </w:r>
      <w:r w:rsidR="00CD3C73">
        <w:rPr>
          <w:rFonts w:ascii="Times New Roman" w:hAnsi="Times New Roman" w:cs="Times New Roman"/>
          <w:sz w:val="24"/>
          <w:szCs w:val="24"/>
        </w:rPr>
        <w:t xml:space="preserve">The Pa. PUC’s </w:t>
      </w:r>
      <w:r>
        <w:rPr>
          <w:rFonts w:ascii="Times New Roman" w:hAnsi="Times New Roman" w:cs="Times New Roman"/>
          <w:sz w:val="24"/>
          <w:szCs w:val="24"/>
        </w:rPr>
        <w:t xml:space="preserve">reclassification </w:t>
      </w:r>
      <w:r w:rsidR="00CD3C73">
        <w:rPr>
          <w:rFonts w:ascii="Times New Roman" w:hAnsi="Times New Roman" w:cs="Times New Roman"/>
          <w:sz w:val="24"/>
          <w:szCs w:val="24"/>
        </w:rPr>
        <w:t xml:space="preserve">decision rested on more evidence than a mere self-certification.  The Commission should </w:t>
      </w:r>
      <w:r>
        <w:rPr>
          <w:rFonts w:ascii="Times New Roman" w:hAnsi="Times New Roman" w:cs="Times New Roman"/>
          <w:sz w:val="24"/>
          <w:szCs w:val="24"/>
        </w:rPr>
        <w:t xml:space="preserve">require as much.  </w:t>
      </w:r>
    </w:p>
    <w:p w:rsidR="008A2537" w:rsidRDefault="00AE4F4B" w:rsidP="00A80ADC">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Also, b</w:t>
      </w:r>
      <w:r w:rsidR="00894FC5">
        <w:rPr>
          <w:rFonts w:ascii="Times New Roman" w:hAnsi="Times New Roman" w:cs="Times New Roman"/>
          <w:sz w:val="24"/>
          <w:szCs w:val="24"/>
        </w:rPr>
        <w:t xml:space="preserve">efore taking such action, the Commission should </w:t>
      </w:r>
      <w:r w:rsidR="00116E0C">
        <w:rPr>
          <w:rFonts w:ascii="Times New Roman" w:hAnsi="Times New Roman" w:cs="Times New Roman"/>
          <w:sz w:val="24"/>
          <w:szCs w:val="24"/>
        </w:rPr>
        <w:t xml:space="preserve">resolve the classification of </w:t>
      </w:r>
      <w:r w:rsidR="00CD3C73">
        <w:rPr>
          <w:rFonts w:ascii="Times New Roman" w:hAnsi="Times New Roman" w:cs="Times New Roman"/>
          <w:sz w:val="24"/>
          <w:szCs w:val="24"/>
        </w:rPr>
        <w:t xml:space="preserve">VoIP as </w:t>
      </w:r>
      <w:r w:rsidR="00116E0C">
        <w:rPr>
          <w:rFonts w:ascii="Times New Roman" w:hAnsi="Times New Roman" w:cs="Times New Roman"/>
          <w:sz w:val="24"/>
          <w:szCs w:val="24"/>
        </w:rPr>
        <w:t xml:space="preserve">a </w:t>
      </w:r>
      <w:r w:rsidR="00894FC5">
        <w:rPr>
          <w:rFonts w:ascii="Times New Roman" w:hAnsi="Times New Roman" w:cs="Times New Roman"/>
          <w:sz w:val="24"/>
          <w:szCs w:val="24"/>
        </w:rPr>
        <w:t xml:space="preserve">common carrier </w:t>
      </w:r>
      <w:r w:rsidR="00CD3C73">
        <w:rPr>
          <w:rFonts w:ascii="Times New Roman" w:hAnsi="Times New Roman" w:cs="Times New Roman"/>
          <w:sz w:val="24"/>
          <w:szCs w:val="24"/>
        </w:rPr>
        <w:t>telecommunications services under federal law</w:t>
      </w:r>
      <w:r w:rsidR="00894FC5">
        <w:rPr>
          <w:rFonts w:ascii="Times New Roman" w:hAnsi="Times New Roman" w:cs="Times New Roman"/>
          <w:sz w:val="24"/>
          <w:szCs w:val="24"/>
        </w:rPr>
        <w:t xml:space="preserve"> and determine whether wireless service </w:t>
      </w:r>
      <w:r w:rsidR="00116E0C">
        <w:rPr>
          <w:rFonts w:ascii="Times New Roman" w:hAnsi="Times New Roman" w:cs="Times New Roman"/>
          <w:sz w:val="24"/>
          <w:szCs w:val="24"/>
        </w:rPr>
        <w:t xml:space="preserve">is </w:t>
      </w:r>
      <w:r w:rsidR="00894FC5">
        <w:rPr>
          <w:rFonts w:ascii="Times New Roman" w:hAnsi="Times New Roman" w:cs="Times New Roman"/>
          <w:sz w:val="24"/>
          <w:szCs w:val="24"/>
        </w:rPr>
        <w:t xml:space="preserve">a substitute for </w:t>
      </w:r>
      <w:r w:rsidR="00116E0C">
        <w:rPr>
          <w:rFonts w:ascii="Times New Roman" w:hAnsi="Times New Roman" w:cs="Times New Roman"/>
          <w:sz w:val="24"/>
          <w:szCs w:val="24"/>
        </w:rPr>
        <w:t xml:space="preserve">land line telephone service </w:t>
      </w:r>
      <w:r w:rsidR="00894FC5">
        <w:rPr>
          <w:rFonts w:ascii="Times New Roman" w:hAnsi="Times New Roman" w:cs="Times New Roman"/>
          <w:sz w:val="24"/>
          <w:szCs w:val="24"/>
        </w:rPr>
        <w:t>common under Section 332</w:t>
      </w:r>
      <w:r w:rsidR="00116E0C">
        <w:rPr>
          <w:rFonts w:ascii="Times New Roman" w:hAnsi="Times New Roman" w:cs="Times New Roman"/>
          <w:sz w:val="24"/>
          <w:szCs w:val="24"/>
        </w:rPr>
        <w:t>(c)(3)(A)</w:t>
      </w:r>
      <w:r w:rsidR="00894FC5">
        <w:rPr>
          <w:rFonts w:ascii="Times New Roman" w:hAnsi="Times New Roman" w:cs="Times New Roman"/>
          <w:sz w:val="24"/>
          <w:szCs w:val="24"/>
        </w:rPr>
        <w:t xml:space="preserve"> of federal law, 47 U.S.C. § 332</w:t>
      </w:r>
      <w:r w:rsidR="00116E0C">
        <w:rPr>
          <w:rFonts w:ascii="Times New Roman" w:hAnsi="Times New Roman" w:cs="Times New Roman"/>
          <w:sz w:val="24"/>
          <w:szCs w:val="24"/>
        </w:rPr>
        <w:t>(c)(3)(A)</w:t>
      </w:r>
      <w:r w:rsidR="00894FC5">
        <w:rPr>
          <w:rFonts w:ascii="Times New Roman" w:hAnsi="Times New Roman" w:cs="Times New Roman"/>
          <w:sz w:val="24"/>
          <w:szCs w:val="24"/>
        </w:rPr>
        <w:t>.</w:t>
      </w:r>
      <w:r w:rsidR="00CC6625">
        <w:rPr>
          <w:rStyle w:val="FootnoteReference"/>
          <w:rFonts w:ascii="Times New Roman" w:hAnsi="Times New Roman" w:cs="Times New Roman"/>
          <w:sz w:val="24"/>
          <w:szCs w:val="24"/>
        </w:rPr>
        <w:footnoteReference w:id="9"/>
      </w:r>
      <w:r w:rsidR="00894FC5">
        <w:rPr>
          <w:rFonts w:ascii="Times New Roman" w:hAnsi="Times New Roman" w:cs="Times New Roman"/>
          <w:sz w:val="24"/>
          <w:szCs w:val="24"/>
        </w:rPr>
        <w:t xml:space="preserve">  </w:t>
      </w:r>
      <w:r w:rsidR="00116E0C">
        <w:rPr>
          <w:rFonts w:ascii="Times New Roman" w:hAnsi="Times New Roman" w:cs="Times New Roman"/>
          <w:sz w:val="24"/>
          <w:szCs w:val="24"/>
        </w:rPr>
        <w:t xml:space="preserve">Otherwise, there may be no apparent legal authority for altering notices and rules governing the retirement of interstate common carrier legacy voice services or the facilities used to provide common carrier legacy voice services or other services.  </w:t>
      </w:r>
    </w:p>
    <w:p w:rsidR="00B65E17" w:rsidRDefault="006940B4" w:rsidP="007C6D1E">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Accordingly, t</w:t>
      </w:r>
      <w:r w:rsidR="00CE7D56" w:rsidRPr="00DD45F7">
        <w:rPr>
          <w:rFonts w:ascii="Times New Roman" w:hAnsi="Times New Roman" w:cs="Times New Roman"/>
          <w:sz w:val="24"/>
          <w:szCs w:val="24"/>
        </w:rPr>
        <w:t xml:space="preserve">he Commission should reject Verizon’s streamlined proposal, its forbearance request and AT&amp;T’s modified streamlined proposal and maintain the requirement that a Section 214(a) application for discontinuance </w:t>
      </w:r>
      <w:r w:rsidR="00C47599" w:rsidRPr="00DD45F7">
        <w:rPr>
          <w:rFonts w:ascii="Times New Roman" w:hAnsi="Times New Roman" w:cs="Times New Roman"/>
          <w:sz w:val="24"/>
          <w:szCs w:val="24"/>
        </w:rPr>
        <w:t>must</w:t>
      </w:r>
      <w:r w:rsidR="00CE7D56" w:rsidRPr="00DD45F7">
        <w:rPr>
          <w:rFonts w:ascii="Times New Roman" w:hAnsi="Times New Roman" w:cs="Times New Roman"/>
          <w:sz w:val="24"/>
          <w:szCs w:val="24"/>
        </w:rPr>
        <w:t xml:space="preserve"> undergo a </w:t>
      </w:r>
      <w:r w:rsidR="00631481">
        <w:rPr>
          <w:rFonts w:ascii="Times New Roman" w:hAnsi="Times New Roman" w:cs="Times New Roman"/>
          <w:sz w:val="24"/>
          <w:szCs w:val="24"/>
        </w:rPr>
        <w:t>full</w:t>
      </w:r>
      <w:r w:rsidR="00CE7D56" w:rsidRPr="00DD45F7">
        <w:rPr>
          <w:rFonts w:ascii="Times New Roman" w:hAnsi="Times New Roman" w:cs="Times New Roman"/>
          <w:sz w:val="24"/>
          <w:szCs w:val="24"/>
        </w:rPr>
        <w:t xml:space="preserve"> statutory review</w:t>
      </w:r>
      <w:r w:rsidR="00B65E17">
        <w:rPr>
          <w:rFonts w:ascii="Times New Roman" w:hAnsi="Times New Roman" w:cs="Times New Roman"/>
          <w:sz w:val="24"/>
          <w:szCs w:val="24"/>
        </w:rPr>
        <w:t xml:space="preserve">.  Given the scope and impact of such a determination at the federal law for interstate </w:t>
      </w:r>
      <w:r w:rsidR="00CC6625">
        <w:rPr>
          <w:rFonts w:ascii="Times New Roman" w:hAnsi="Times New Roman" w:cs="Times New Roman"/>
          <w:sz w:val="24"/>
          <w:szCs w:val="24"/>
        </w:rPr>
        <w:t xml:space="preserve">common carrier </w:t>
      </w:r>
      <w:r w:rsidR="00B65E17">
        <w:rPr>
          <w:rFonts w:ascii="Times New Roman" w:hAnsi="Times New Roman" w:cs="Times New Roman"/>
          <w:sz w:val="24"/>
          <w:szCs w:val="24"/>
        </w:rPr>
        <w:t xml:space="preserve">legacy voice services and the facilities used to provide </w:t>
      </w:r>
      <w:r w:rsidR="00CC6625">
        <w:rPr>
          <w:rFonts w:ascii="Times New Roman" w:hAnsi="Times New Roman" w:cs="Times New Roman"/>
          <w:sz w:val="24"/>
          <w:szCs w:val="24"/>
        </w:rPr>
        <w:t xml:space="preserve">common carrier </w:t>
      </w:r>
      <w:r w:rsidR="00B65E17">
        <w:rPr>
          <w:rFonts w:ascii="Times New Roman" w:hAnsi="Times New Roman" w:cs="Times New Roman"/>
          <w:sz w:val="24"/>
          <w:szCs w:val="24"/>
        </w:rPr>
        <w:t xml:space="preserve">legacy voice services and other services, the proponents must </w:t>
      </w:r>
      <w:r w:rsidR="00CC6625">
        <w:rPr>
          <w:rFonts w:ascii="Times New Roman" w:hAnsi="Times New Roman" w:cs="Times New Roman"/>
          <w:sz w:val="24"/>
          <w:szCs w:val="24"/>
        </w:rPr>
        <w:t xml:space="preserve">demonstrate </w:t>
      </w:r>
      <w:r w:rsidR="00B65E17">
        <w:rPr>
          <w:rFonts w:ascii="Times New Roman" w:hAnsi="Times New Roman" w:cs="Times New Roman"/>
          <w:sz w:val="24"/>
          <w:szCs w:val="24"/>
        </w:rPr>
        <w:t xml:space="preserve">to the FCC and the states’ satisfaction </w:t>
      </w:r>
      <w:r w:rsidR="00CE7D56" w:rsidRPr="00DD45F7">
        <w:rPr>
          <w:rFonts w:ascii="Times New Roman" w:hAnsi="Times New Roman" w:cs="Times New Roman"/>
          <w:sz w:val="24"/>
          <w:szCs w:val="24"/>
        </w:rPr>
        <w:t xml:space="preserve">that alternative </w:t>
      </w:r>
      <w:r w:rsidR="00CC6625">
        <w:rPr>
          <w:rFonts w:ascii="Times New Roman" w:hAnsi="Times New Roman" w:cs="Times New Roman"/>
          <w:sz w:val="24"/>
          <w:szCs w:val="24"/>
        </w:rPr>
        <w:t xml:space="preserve">common carrier </w:t>
      </w:r>
      <w:r w:rsidR="00CE7D56" w:rsidRPr="00DD45F7">
        <w:rPr>
          <w:rFonts w:ascii="Times New Roman" w:hAnsi="Times New Roman" w:cs="Times New Roman"/>
          <w:sz w:val="24"/>
          <w:szCs w:val="24"/>
        </w:rPr>
        <w:t xml:space="preserve">fixed or mobile voice service are an </w:t>
      </w:r>
      <w:r w:rsidR="00631481">
        <w:rPr>
          <w:rFonts w:ascii="Times New Roman" w:hAnsi="Times New Roman" w:cs="Times New Roman"/>
          <w:i/>
          <w:sz w:val="24"/>
          <w:szCs w:val="24"/>
        </w:rPr>
        <w:t>adequate,</w:t>
      </w:r>
      <w:r w:rsidR="00CE7D56" w:rsidRPr="00DD45F7">
        <w:rPr>
          <w:rFonts w:ascii="Times New Roman" w:hAnsi="Times New Roman" w:cs="Times New Roman"/>
          <w:i/>
          <w:sz w:val="24"/>
          <w:szCs w:val="24"/>
        </w:rPr>
        <w:t xml:space="preserve"> comparable</w:t>
      </w:r>
      <w:r w:rsidR="00631481">
        <w:rPr>
          <w:rFonts w:ascii="Times New Roman" w:hAnsi="Times New Roman" w:cs="Times New Roman"/>
          <w:i/>
          <w:sz w:val="24"/>
          <w:szCs w:val="24"/>
        </w:rPr>
        <w:t xml:space="preserve"> and </w:t>
      </w:r>
      <w:r w:rsidR="00631481">
        <w:rPr>
          <w:rFonts w:ascii="Times New Roman" w:hAnsi="Times New Roman" w:cs="Times New Roman"/>
          <w:i/>
          <w:sz w:val="24"/>
          <w:szCs w:val="24"/>
        </w:rPr>
        <w:lastRenderedPageBreak/>
        <w:t>reliable</w:t>
      </w:r>
      <w:r w:rsidR="00CE7D56" w:rsidRPr="00DD45F7">
        <w:rPr>
          <w:rFonts w:ascii="Times New Roman" w:hAnsi="Times New Roman" w:cs="Times New Roman"/>
          <w:sz w:val="24"/>
          <w:szCs w:val="24"/>
        </w:rPr>
        <w:t xml:space="preserve"> replacement for </w:t>
      </w:r>
      <w:r w:rsidR="00CE7D56" w:rsidRPr="00DD45F7">
        <w:rPr>
          <w:rFonts w:ascii="Times New Roman" w:hAnsi="Times New Roman" w:cs="Times New Roman"/>
          <w:i/>
          <w:sz w:val="24"/>
          <w:szCs w:val="24"/>
        </w:rPr>
        <w:t>all</w:t>
      </w:r>
      <w:r w:rsidR="00CE7D56" w:rsidRPr="00DD45F7">
        <w:rPr>
          <w:rFonts w:ascii="Times New Roman" w:hAnsi="Times New Roman" w:cs="Times New Roman"/>
          <w:sz w:val="24"/>
          <w:szCs w:val="24"/>
        </w:rPr>
        <w:t xml:space="preserve"> affected customers</w:t>
      </w:r>
      <w:r>
        <w:rPr>
          <w:rFonts w:ascii="Times New Roman" w:hAnsi="Times New Roman" w:cs="Times New Roman"/>
          <w:sz w:val="24"/>
          <w:szCs w:val="24"/>
        </w:rPr>
        <w:t xml:space="preserve">, not just the mere fact that </w:t>
      </w:r>
      <w:r w:rsidRPr="00DD45F7">
        <w:rPr>
          <w:rFonts w:ascii="Times New Roman" w:hAnsi="Times New Roman" w:cs="Times New Roman"/>
          <w:sz w:val="24"/>
          <w:szCs w:val="24"/>
        </w:rPr>
        <w:t>alternative voice service options are available</w:t>
      </w:r>
      <w:r w:rsidR="00CE7D56" w:rsidRPr="00DD45F7">
        <w:rPr>
          <w:rFonts w:ascii="Times New Roman" w:hAnsi="Times New Roman" w:cs="Times New Roman"/>
          <w:sz w:val="24"/>
          <w:szCs w:val="24"/>
        </w:rPr>
        <w:t xml:space="preserve">.  </w:t>
      </w:r>
      <w:r>
        <w:rPr>
          <w:rFonts w:ascii="Times New Roman" w:hAnsi="Times New Roman" w:cs="Times New Roman"/>
          <w:sz w:val="24"/>
          <w:szCs w:val="24"/>
        </w:rPr>
        <w:t xml:space="preserve">The adoption of </w:t>
      </w:r>
      <w:r w:rsidRPr="00DD45F7">
        <w:rPr>
          <w:rFonts w:ascii="Times New Roman" w:hAnsi="Times New Roman" w:cs="Times New Roman"/>
          <w:sz w:val="24"/>
          <w:szCs w:val="24"/>
        </w:rPr>
        <w:t xml:space="preserve">alternative services </w:t>
      </w:r>
      <w:r>
        <w:rPr>
          <w:rFonts w:ascii="Times New Roman" w:hAnsi="Times New Roman" w:cs="Times New Roman"/>
          <w:sz w:val="24"/>
          <w:szCs w:val="24"/>
        </w:rPr>
        <w:t xml:space="preserve">such as </w:t>
      </w:r>
      <w:r w:rsidRPr="00DD45F7">
        <w:rPr>
          <w:rFonts w:ascii="Times New Roman" w:hAnsi="Times New Roman" w:cs="Times New Roman"/>
          <w:sz w:val="24"/>
          <w:szCs w:val="24"/>
        </w:rPr>
        <w:t xml:space="preserve">facilities-based or over-the-top interconnected VoIP, circuit-switched </w:t>
      </w:r>
      <w:r w:rsidR="008F2262">
        <w:rPr>
          <w:rFonts w:ascii="Times New Roman" w:hAnsi="Times New Roman" w:cs="Times New Roman"/>
          <w:sz w:val="24"/>
          <w:szCs w:val="24"/>
        </w:rPr>
        <w:t xml:space="preserve">or IP-based </w:t>
      </w:r>
      <w:r w:rsidRPr="00DD45F7">
        <w:rPr>
          <w:rFonts w:ascii="Times New Roman" w:hAnsi="Times New Roman" w:cs="Times New Roman"/>
          <w:sz w:val="24"/>
          <w:szCs w:val="24"/>
        </w:rPr>
        <w:t xml:space="preserve">cable </w:t>
      </w:r>
      <w:r w:rsidR="008F2262">
        <w:rPr>
          <w:rFonts w:ascii="Times New Roman" w:hAnsi="Times New Roman" w:cs="Times New Roman"/>
          <w:sz w:val="24"/>
          <w:szCs w:val="24"/>
        </w:rPr>
        <w:t xml:space="preserve">TV network </w:t>
      </w:r>
      <w:r w:rsidRPr="00DD45F7">
        <w:rPr>
          <w:rFonts w:ascii="Times New Roman" w:hAnsi="Times New Roman" w:cs="Times New Roman"/>
          <w:sz w:val="24"/>
          <w:szCs w:val="24"/>
        </w:rPr>
        <w:t>voice, 3G, 4G, or 5G wireless, or TDM voice service</w:t>
      </w:r>
      <w:r>
        <w:rPr>
          <w:rFonts w:ascii="Times New Roman" w:hAnsi="Times New Roman" w:cs="Times New Roman"/>
          <w:sz w:val="24"/>
          <w:szCs w:val="24"/>
        </w:rPr>
        <w:t>, in and of itself, is not a quantifiable indicator</w:t>
      </w:r>
      <w:r w:rsidR="00B65E17">
        <w:rPr>
          <w:rFonts w:ascii="Times New Roman" w:hAnsi="Times New Roman" w:cs="Times New Roman"/>
          <w:sz w:val="24"/>
          <w:szCs w:val="24"/>
        </w:rPr>
        <w:t xml:space="preserve"> </w:t>
      </w:r>
    </w:p>
    <w:p w:rsidR="00B002D5" w:rsidRDefault="00B65E17" w:rsidP="00926F93">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Pa. PUC </w:t>
      </w:r>
      <w:r w:rsidR="00CC6625">
        <w:rPr>
          <w:rFonts w:ascii="Times New Roman" w:hAnsi="Times New Roman" w:cs="Times New Roman"/>
          <w:sz w:val="24"/>
          <w:szCs w:val="24"/>
        </w:rPr>
        <w:t xml:space="preserve">also </w:t>
      </w:r>
      <w:r>
        <w:rPr>
          <w:rFonts w:ascii="Times New Roman" w:hAnsi="Times New Roman" w:cs="Times New Roman"/>
          <w:sz w:val="24"/>
          <w:szCs w:val="24"/>
        </w:rPr>
        <w:t xml:space="preserve">believes that </w:t>
      </w:r>
      <w:r w:rsidR="00EF2D7D">
        <w:rPr>
          <w:rFonts w:ascii="Times New Roman" w:hAnsi="Times New Roman" w:cs="Times New Roman"/>
          <w:sz w:val="24"/>
          <w:szCs w:val="24"/>
        </w:rPr>
        <w:t>a carrier should do more than self-certify</w:t>
      </w:r>
      <w:r w:rsidR="00631481">
        <w:rPr>
          <w:rFonts w:ascii="Times New Roman" w:hAnsi="Times New Roman" w:cs="Times New Roman"/>
          <w:sz w:val="24"/>
          <w:szCs w:val="24"/>
        </w:rPr>
        <w:t xml:space="preserve">.  </w:t>
      </w:r>
      <w:r w:rsidR="00CE42E0">
        <w:rPr>
          <w:rFonts w:ascii="Times New Roman" w:hAnsi="Times New Roman" w:cs="Times New Roman"/>
          <w:sz w:val="24"/>
          <w:szCs w:val="24"/>
        </w:rPr>
        <w:t xml:space="preserve">In the Pa. PUC’s view, </w:t>
      </w:r>
      <w:r w:rsidR="00487C91">
        <w:rPr>
          <w:rFonts w:ascii="Times New Roman" w:hAnsi="Times New Roman" w:cs="Times New Roman"/>
          <w:sz w:val="24"/>
          <w:szCs w:val="24"/>
        </w:rPr>
        <w:t>the use of self-certification</w:t>
      </w:r>
      <w:r w:rsidR="007C6D1E">
        <w:rPr>
          <w:rFonts w:ascii="Times New Roman" w:hAnsi="Times New Roman" w:cs="Times New Roman"/>
          <w:sz w:val="24"/>
          <w:szCs w:val="24"/>
        </w:rPr>
        <w:t xml:space="preserve"> </w:t>
      </w:r>
      <w:r w:rsidR="00034F03">
        <w:rPr>
          <w:rFonts w:ascii="Times New Roman" w:hAnsi="Times New Roman" w:cs="Times New Roman"/>
          <w:sz w:val="24"/>
          <w:szCs w:val="24"/>
        </w:rPr>
        <w:t>does</w:t>
      </w:r>
      <w:r w:rsidR="00487C91">
        <w:rPr>
          <w:rFonts w:ascii="Times New Roman" w:hAnsi="Times New Roman" w:cs="Times New Roman"/>
          <w:sz w:val="24"/>
          <w:szCs w:val="24"/>
        </w:rPr>
        <w:t xml:space="preserve"> not</w:t>
      </w:r>
      <w:r w:rsidR="007C6D1E">
        <w:rPr>
          <w:rFonts w:ascii="Times New Roman" w:hAnsi="Times New Roman" w:cs="Times New Roman"/>
          <w:sz w:val="24"/>
          <w:szCs w:val="24"/>
        </w:rPr>
        <w:t xml:space="preserve"> </w:t>
      </w:r>
      <w:r w:rsidR="00487C91">
        <w:rPr>
          <w:rFonts w:ascii="Times New Roman" w:hAnsi="Times New Roman" w:cs="Times New Roman"/>
          <w:sz w:val="24"/>
          <w:szCs w:val="24"/>
        </w:rPr>
        <w:t xml:space="preserve">go far enough to </w:t>
      </w:r>
      <w:r w:rsidR="007C6D1E">
        <w:rPr>
          <w:rFonts w:ascii="Times New Roman" w:hAnsi="Times New Roman" w:cs="Times New Roman"/>
          <w:sz w:val="24"/>
          <w:szCs w:val="24"/>
        </w:rPr>
        <w:t xml:space="preserve">ensure that </w:t>
      </w:r>
      <w:r w:rsidR="007C6D1E" w:rsidRPr="007C6D1E">
        <w:rPr>
          <w:rFonts w:ascii="Times New Roman" w:hAnsi="Times New Roman" w:cs="Times New Roman"/>
          <w:sz w:val="24"/>
          <w:szCs w:val="24"/>
        </w:rPr>
        <w:t xml:space="preserve">affected customers </w:t>
      </w:r>
      <w:r w:rsidR="003C1BB6">
        <w:rPr>
          <w:rFonts w:ascii="Times New Roman" w:hAnsi="Times New Roman" w:cs="Times New Roman"/>
          <w:sz w:val="24"/>
          <w:szCs w:val="24"/>
        </w:rPr>
        <w:t>can</w:t>
      </w:r>
      <w:r w:rsidR="007C6D1E" w:rsidRPr="007C6D1E">
        <w:rPr>
          <w:rFonts w:ascii="Times New Roman" w:hAnsi="Times New Roman" w:cs="Times New Roman"/>
          <w:sz w:val="24"/>
          <w:szCs w:val="24"/>
        </w:rPr>
        <w:t xml:space="preserve"> receive a reasonable substitute service</w:t>
      </w:r>
      <w:r w:rsidR="007C6D1E">
        <w:rPr>
          <w:rFonts w:ascii="Times New Roman" w:hAnsi="Times New Roman" w:cs="Times New Roman"/>
          <w:sz w:val="24"/>
          <w:szCs w:val="24"/>
        </w:rPr>
        <w:t>.</w:t>
      </w:r>
    </w:p>
    <w:p w:rsidR="00926F93" w:rsidRDefault="00926F93" w:rsidP="00926F93">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 </w:t>
      </w:r>
      <w:r w:rsidR="00B002D5">
        <w:rPr>
          <w:rFonts w:ascii="Times New Roman" w:hAnsi="Times New Roman" w:cs="Times New Roman"/>
          <w:sz w:val="24"/>
          <w:szCs w:val="24"/>
        </w:rPr>
        <w:t xml:space="preserve">carrier seeking to discontinue legacy </w:t>
      </w:r>
      <w:r w:rsidR="00150274">
        <w:rPr>
          <w:rFonts w:ascii="Times New Roman" w:hAnsi="Times New Roman" w:cs="Times New Roman"/>
          <w:sz w:val="24"/>
          <w:szCs w:val="24"/>
        </w:rPr>
        <w:t xml:space="preserve">intrastate </w:t>
      </w:r>
      <w:r w:rsidR="00B002D5">
        <w:rPr>
          <w:rFonts w:ascii="Times New Roman" w:hAnsi="Times New Roman" w:cs="Times New Roman"/>
          <w:sz w:val="24"/>
          <w:szCs w:val="24"/>
        </w:rPr>
        <w:t xml:space="preserve">voice services </w:t>
      </w:r>
      <w:r w:rsidR="00B65E17">
        <w:rPr>
          <w:rFonts w:ascii="Times New Roman" w:hAnsi="Times New Roman" w:cs="Times New Roman"/>
          <w:sz w:val="24"/>
          <w:szCs w:val="24"/>
        </w:rPr>
        <w:t xml:space="preserve">or the facilities used to provide legacy voice service or other services must remain </w:t>
      </w:r>
      <w:r w:rsidR="00041590">
        <w:rPr>
          <w:rFonts w:ascii="Times New Roman" w:hAnsi="Times New Roman" w:cs="Times New Roman"/>
          <w:sz w:val="24"/>
          <w:szCs w:val="24"/>
        </w:rPr>
        <w:t xml:space="preserve">obligated to </w:t>
      </w:r>
      <w:r w:rsidR="00B002D5">
        <w:rPr>
          <w:rFonts w:ascii="Times New Roman" w:hAnsi="Times New Roman" w:cs="Times New Roman"/>
          <w:sz w:val="24"/>
          <w:szCs w:val="24"/>
        </w:rPr>
        <w:t>comply with applicable state law</w:t>
      </w:r>
      <w:r w:rsidR="000532BC">
        <w:rPr>
          <w:rFonts w:ascii="Times New Roman" w:hAnsi="Times New Roman" w:cs="Times New Roman"/>
          <w:sz w:val="24"/>
          <w:szCs w:val="24"/>
        </w:rPr>
        <w:t xml:space="preserve">, a point </w:t>
      </w:r>
      <w:r w:rsidR="00C80C23">
        <w:rPr>
          <w:rFonts w:ascii="Times New Roman" w:hAnsi="Times New Roman" w:cs="Times New Roman"/>
          <w:sz w:val="24"/>
          <w:szCs w:val="24"/>
        </w:rPr>
        <w:t xml:space="preserve">Verizon </w:t>
      </w:r>
      <w:r w:rsidR="00150274">
        <w:rPr>
          <w:rFonts w:ascii="Times New Roman" w:hAnsi="Times New Roman" w:cs="Times New Roman"/>
          <w:sz w:val="24"/>
          <w:szCs w:val="24"/>
        </w:rPr>
        <w:t xml:space="preserve">acknowledged  </w:t>
      </w:r>
      <w:r w:rsidR="00202E8B">
        <w:rPr>
          <w:rFonts w:ascii="Times New Roman" w:hAnsi="Times New Roman" w:cs="Times New Roman"/>
          <w:sz w:val="24"/>
          <w:szCs w:val="24"/>
        </w:rPr>
        <w:t xml:space="preserve">in its </w:t>
      </w:r>
      <w:r w:rsidR="00150274">
        <w:rPr>
          <w:rFonts w:ascii="Times New Roman" w:hAnsi="Times New Roman" w:cs="Times New Roman"/>
          <w:sz w:val="24"/>
          <w:szCs w:val="24"/>
        </w:rPr>
        <w:t>comments</w:t>
      </w:r>
      <w:r w:rsidR="00B65E17">
        <w:rPr>
          <w:rFonts w:ascii="Times New Roman" w:hAnsi="Times New Roman" w:cs="Times New Roman"/>
          <w:sz w:val="24"/>
          <w:szCs w:val="24"/>
        </w:rPr>
        <w:t xml:space="preserve"> and which the Pa. PUC emphasizes in discussing our own decision </w:t>
      </w:r>
      <w:r>
        <w:rPr>
          <w:rFonts w:ascii="Times New Roman" w:hAnsi="Times New Roman" w:cs="Times New Roman"/>
          <w:sz w:val="24"/>
          <w:szCs w:val="24"/>
        </w:rPr>
        <w:t xml:space="preserve">under state law to </w:t>
      </w:r>
      <w:r w:rsidR="00B65E17">
        <w:rPr>
          <w:rFonts w:ascii="Times New Roman" w:hAnsi="Times New Roman" w:cs="Times New Roman"/>
          <w:sz w:val="24"/>
          <w:szCs w:val="24"/>
        </w:rPr>
        <w:t xml:space="preserve">reclassify certain of Verizon’s </w:t>
      </w:r>
      <w:r>
        <w:rPr>
          <w:rFonts w:ascii="Times New Roman" w:hAnsi="Times New Roman" w:cs="Times New Roman"/>
          <w:sz w:val="24"/>
          <w:szCs w:val="24"/>
        </w:rPr>
        <w:t xml:space="preserve">wire centers </w:t>
      </w:r>
      <w:r w:rsidR="00B65E17">
        <w:rPr>
          <w:rFonts w:ascii="Times New Roman" w:hAnsi="Times New Roman" w:cs="Times New Roman"/>
          <w:sz w:val="24"/>
          <w:szCs w:val="24"/>
        </w:rPr>
        <w:t xml:space="preserve">as competitive when it comes to the price for basic local service </w:t>
      </w:r>
      <w:r>
        <w:rPr>
          <w:rFonts w:ascii="Times New Roman" w:hAnsi="Times New Roman" w:cs="Times New Roman"/>
          <w:sz w:val="24"/>
          <w:szCs w:val="24"/>
        </w:rPr>
        <w:t xml:space="preserve">without abandoning </w:t>
      </w:r>
      <w:r w:rsidR="00B65E17">
        <w:rPr>
          <w:rFonts w:ascii="Times New Roman" w:hAnsi="Times New Roman" w:cs="Times New Roman"/>
          <w:sz w:val="24"/>
          <w:szCs w:val="24"/>
        </w:rPr>
        <w:t>the underl</w:t>
      </w:r>
      <w:r w:rsidR="004C2A81">
        <w:rPr>
          <w:rFonts w:ascii="Times New Roman" w:hAnsi="Times New Roman" w:cs="Times New Roman"/>
          <w:sz w:val="24"/>
          <w:szCs w:val="24"/>
        </w:rPr>
        <w:t>y</w:t>
      </w:r>
      <w:r w:rsidR="00B65E17">
        <w:rPr>
          <w:rFonts w:ascii="Times New Roman" w:hAnsi="Times New Roman" w:cs="Times New Roman"/>
          <w:sz w:val="24"/>
          <w:szCs w:val="24"/>
        </w:rPr>
        <w:t>ing obligation to provide that service or the facilities and services subject to Section 1501</w:t>
      </w:r>
      <w:r w:rsidR="00150274">
        <w:rPr>
          <w:rFonts w:ascii="Times New Roman" w:hAnsi="Times New Roman" w:cs="Times New Roman"/>
          <w:sz w:val="24"/>
          <w:szCs w:val="24"/>
        </w:rPr>
        <w:t xml:space="preserve">.  </w:t>
      </w:r>
    </w:p>
    <w:p w:rsidR="00F166D1" w:rsidRDefault="00926F93" w:rsidP="00926F93">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C</w:t>
      </w:r>
      <w:r w:rsidR="00B002D5">
        <w:rPr>
          <w:rFonts w:ascii="Times New Roman" w:hAnsi="Times New Roman" w:cs="Times New Roman"/>
          <w:sz w:val="24"/>
          <w:szCs w:val="24"/>
        </w:rPr>
        <w:t xml:space="preserve">onsequently, </w:t>
      </w:r>
      <w:r w:rsidR="008F2262">
        <w:rPr>
          <w:rFonts w:ascii="Times New Roman" w:hAnsi="Times New Roman" w:cs="Times New Roman"/>
          <w:sz w:val="24"/>
          <w:szCs w:val="24"/>
        </w:rPr>
        <w:t xml:space="preserve">planned discontinuance of </w:t>
      </w:r>
      <w:r>
        <w:rPr>
          <w:rFonts w:ascii="Times New Roman" w:hAnsi="Times New Roman" w:cs="Times New Roman"/>
          <w:sz w:val="24"/>
          <w:szCs w:val="24"/>
        </w:rPr>
        <w:t xml:space="preserve">common carrier legacy </w:t>
      </w:r>
      <w:r w:rsidR="008F2262">
        <w:rPr>
          <w:rFonts w:ascii="Times New Roman" w:hAnsi="Times New Roman" w:cs="Times New Roman"/>
          <w:sz w:val="24"/>
          <w:szCs w:val="24"/>
        </w:rPr>
        <w:t xml:space="preserve">voice services </w:t>
      </w:r>
      <w:r w:rsidR="00B65E17">
        <w:rPr>
          <w:rFonts w:ascii="Times New Roman" w:hAnsi="Times New Roman" w:cs="Times New Roman"/>
          <w:sz w:val="24"/>
          <w:szCs w:val="24"/>
        </w:rPr>
        <w:t xml:space="preserve">or the facilities used to provide </w:t>
      </w:r>
      <w:r w:rsidR="000B73F5">
        <w:rPr>
          <w:rFonts w:ascii="Times New Roman" w:hAnsi="Times New Roman" w:cs="Times New Roman"/>
          <w:sz w:val="24"/>
          <w:szCs w:val="24"/>
        </w:rPr>
        <w:t>that,</w:t>
      </w:r>
      <w:r w:rsidR="004C2A81">
        <w:rPr>
          <w:rFonts w:ascii="Times New Roman" w:hAnsi="Times New Roman" w:cs="Times New Roman"/>
          <w:sz w:val="24"/>
          <w:szCs w:val="24"/>
        </w:rPr>
        <w:t xml:space="preserve"> or </w:t>
      </w:r>
      <w:r w:rsidR="00B65E17">
        <w:rPr>
          <w:rFonts w:ascii="Times New Roman" w:hAnsi="Times New Roman" w:cs="Times New Roman"/>
          <w:sz w:val="24"/>
          <w:szCs w:val="24"/>
        </w:rPr>
        <w:t xml:space="preserve">other services </w:t>
      </w:r>
      <w:r w:rsidR="004C2A81">
        <w:rPr>
          <w:rFonts w:ascii="Times New Roman" w:hAnsi="Times New Roman" w:cs="Times New Roman"/>
          <w:sz w:val="24"/>
          <w:szCs w:val="24"/>
        </w:rPr>
        <w:t xml:space="preserve">also </w:t>
      </w:r>
      <w:r w:rsidR="008F2262">
        <w:rPr>
          <w:rFonts w:ascii="Times New Roman" w:hAnsi="Times New Roman" w:cs="Times New Roman"/>
          <w:sz w:val="24"/>
          <w:szCs w:val="24"/>
        </w:rPr>
        <w:t>must be consistent with the ca</w:t>
      </w:r>
      <w:r w:rsidR="004C2A81">
        <w:rPr>
          <w:rFonts w:ascii="Times New Roman" w:hAnsi="Times New Roman" w:cs="Times New Roman"/>
          <w:sz w:val="24"/>
          <w:szCs w:val="24"/>
        </w:rPr>
        <w:t xml:space="preserve">rrier of last resort </w:t>
      </w:r>
      <w:r w:rsidR="008F2262">
        <w:rPr>
          <w:rFonts w:ascii="Times New Roman" w:hAnsi="Times New Roman" w:cs="Times New Roman"/>
          <w:sz w:val="24"/>
          <w:szCs w:val="24"/>
        </w:rPr>
        <w:t xml:space="preserve">obligations under independent </w:t>
      </w:r>
      <w:r w:rsidR="00C80C23">
        <w:rPr>
          <w:rFonts w:ascii="Times New Roman" w:hAnsi="Times New Roman" w:cs="Times New Roman"/>
          <w:sz w:val="24"/>
          <w:szCs w:val="24"/>
        </w:rPr>
        <w:t>s</w:t>
      </w:r>
      <w:r w:rsidR="008F2262">
        <w:rPr>
          <w:rFonts w:ascii="Times New Roman" w:hAnsi="Times New Roman" w:cs="Times New Roman"/>
          <w:sz w:val="24"/>
          <w:szCs w:val="24"/>
        </w:rPr>
        <w:t>tate law</w:t>
      </w:r>
      <w:r w:rsidR="00B65E17">
        <w:rPr>
          <w:rFonts w:ascii="Times New Roman" w:hAnsi="Times New Roman" w:cs="Times New Roman"/>
          <w:sz w:val="24"/>
          <w:szCs w:val="24"/>
        </w:rPr>
        <w:t xml:space="preserve"> and federal law</w:t>
      </w:r>
      <w:r w:rsidR="004C2A81">
        <w:rPr>
          <w:rFonts w:ascii="Times New Roman" w:hAnsi="Times New Roman" w:cs="Times New Roman"/>
          <w:sz w:val="24"/>
          <w:szCs w:val="24"/>
        </w:rPr>
        <w:t>.  They must also be consistent</w:t>
      </w:r>
      <w:r>
        <w:rPr>
          <w:rFonts w:ascii="Times New Roman" w:hAnsi="Times New Roman" w:cs="Times New Roman"/>
          <w:sz w:val="24"/>
          <w:szCs w:val="24"/>
        </w:rPr>
        <w:t xml:space="preserve"> with the </w:t>
      </w:r>
      <w:r w:rsidR="008F2262">
        <w:rPr>
          <w:rFonts w:ascii="Times New Roman" w:hAnsi="Times New Roman" w:cs="Times New Roman"/>
          <w:sz w:val="24"/>
          <w:szCs w:val="24"/>
        </w:rPr>
        <w:t xml:space="preserve">related obligations to continue providing adequate, reliable and safe services, including voice access to 911/E911 emergency call capabilities.  </w:t>
      </w:r>
      <w:r w:rsidR="008F2262">
        <w:rPr>
          <w:rFonts w:ascii="Times New Roman" w:hAnsi="Times New Roman" w:cs="Times New Roman"/>
          <w:i/>
          <w:sz w:val="24"/>
          <w:szCs w:val="24"/>
        </w:rPr>
        <w:t>See generally</w:t>
      </w:r>
      <w:r w:rsidR="008F2262">
        <w:rPr>
          <w:rFonts w:ascii="Times New Roman" w:hAnsi="Times New Roman" w:cs="Times New Roman"/>
          <w:sz w:val="24"/>
          <w:szCs w:val="24"/>
        </w:rPr>
        <w:t xml:space="preserve"> </w:t>
      </w:r>
      <w:r w:rsidR="00005BE0">
        <w:rPr>
          <w:rFonts w:ascii="Times New Roman" w:hAnsi="Times New Roman" w:cs="Times New Roman"/>
          <w:sz w:val="24"/>
          <w:szCs w:val="24"/>
        </w:rPr>
        <w:t xml:space="preserve">Section 1501 of the Pennsylvania Public Utility Code, </w:t>
      </w:r>
      <w:r w:rsidR="008F2262">
        <w:rPr>
          <w:rFonts w:ascii="Times New Roman" w:hAnsi="Times New Roman" w:cs="Times New Roman"/>
          <w:sz w:val="24"/>
          <w:szCs w:val="24"/>
        </w:rPr>
        <w:t>66 Pa. C.S. §</w:t>
      </w:r>
      <w:r w:rsidR="004C2A81">
        <w:rPr>
          <w:rFonts w:ascii="Times New Roman" w:hAnsi="Times New Roman" w:cs="Times New Roman"/>
          <w:sz w:val="24"/>
          <w:szCs w:val="24"/>
        </w:rPr>
        <w:t> </w:t>
      </w:r>
      <w:r w:rsidR="008F2262">
        <w:rPr>
          <w:rFonts w:ascii="Times New Roman" w:hAnsi="Times New Roman" w:cs="Times New Roman"/>
          <w:sz w:val="24"/>
          <w:szCs w:val="24"/>
        </w:rPr>
        <w:t>1501.</w:t>
      </w:r>
      <w:r w:rsidR="00B002D5">
        <w:rPr>
          <w:rFonts w:ascii="Times New Roman" w:hAnsi="Times New Roman" w:cs="Times New Roman"/>
          <w:sz w:val="24"/>
          <w:szCs w:val="24"/>
        </w:rPr>
        <w:t xml:space="preserve">  </w:t>
      </w:r>
      <w:r>
        <w:rPr>
          <w:rFonts w:ascii="Times New Roman" w:hAnsi="Times New Roman" w:cs="Times New Roman"/>
          <w:sz w:val="24"/>
          <w:szCs w:val="24"/>
        </w:rPr>
        <w:t xml:space="preserve">In addition, any </w:t>
      </w:r>
      <w:r w:rsidR="00B002D5">
        <w:rPr>
          <w:rFonts w:ascii="Times New Roman" w:hAnsi="Times New Roman" w:cs="Times New Roman"/>
          <w:sz w:val="24"/>
          <w:szCs w:val="24"/>
        </w:rPr>
        <w:t xml:space="preserve">planned discontinuance of voice services </w:t>
      </w:r>
      <w:r w:rsidR="002C1055">
        <w:rPr>
          <w:rFonts w:ascii="Times New Roman" w:hAnsi="Times New Roman" w:cs="Times New Roman"/>
          <w:sz w:val="24"/>
          <w:szCs w:val="24"/>
        </w:rPr>
        <w:t xml:space="preserve">or the facilities used to provide </w:t>
      </w:r>
      <w:r w:rsidR="004C2A81">
        <w:rPr>
          <w:rFonts w:ascii="Times New Roman" w:hAnsi="Times New Roman" w:cs="Times New Roman"/>
          <w:sz w:val="24"/>
          <w:szCs w:val="24"/>
        </w:rPr>
        <w:t>that</w:t>
      </w:r>
      <w:r w:rsidR="002C1055">
        <w:rPr>
          <w:rFonts w:ascii="Times New Roman" w:hAnsi="Times New Roman" w:cs="Times New Roman"/>
          <w:sz w:val="24"/>
          <w:szCs w:val="24"/>
        </w:rPr>
        <w:t xml:space="preserve"> service or other services </w:t>
      </w:r>
      <w:r w:rsidR="00B002D5">
        <w:rPr>
          <w:rFonts w:ascii="Times New Roman" w:hAnsi="Times New Roman" w:cs="Times New Roman"/>
          <w:sz w:val="24"/>
          <w:szCs w:val="24"/>
        </w:rPr>
        <w:t xml:space="preserve">also must comply with applicable state law </w:t>
      </w:r>
      <w:r w:rsidR="00576E31">
        <w:rPr>
          <w:rFonts w:ascii="Times New Roman" w:hAnsi="Times New Roman" w:cs="Times New Roman"/>
          <w:sz w:val="24"/>
          <w:szCs w:val="24"/>
        </w:rPr>
        <w:t>requirements regarding abandonment of service</w:t>
      </w:r>
      <w:r w:rsidR="00B002D5">
        <w:rPr>
          <w:rFonts w:ascii="Times New Roman" w:hAnsi="Times New Roman" w:cs="Times New Roman"/>
          <w:sz w:val="24"/>
          <w:szCs w:val="24"/>
        </w:rPr>
        <w:t xml:space="preserve">.  </w:t>
      </w:r>
      <w:r w:rsidR="00B002D5">
        <w:rPr>
          <w:rFonts w:ascii="Times New Roman" w:hAnsi="Times New Roman" w:cs="Times New Roman"/>
          <w:i/>
          <w:sz w:val="24"/>
          <w:szCs w:val="24"/>
        </w:rPr>
        <w:t xml:space="preserve">See generally </w:t>
      </w:r>
      <w:r w:rsidR="00576E31">
        <w:rPr>
          <w:rFonts w:ascii="Times New Roman" w:hAnsi="Times New Roman" w:cs="Times New Roman"/>
          <w:sz w:val="24"/>
          <w:szCs w:val="24"/>
        </w:rPr>
        <w:t xml:space="preserve">66 </w:t>
      </w:r>
      <w:r w:rsidR="00B002D5">
        <w:rPr>
          <w:rFonts w:ascii="Times New Roman" w:hAnsi="Times New Roman" w:cs="Times New Roman"/>
          <w:sz w:val="24"/>
          <w:szCs w:val="24"/>
        </w:rPr>
        <w:t>Pa. C</w:t>
      </w:r>
      <w:r w:rsidR="00FF153C">
        <w:rPr>
          <w:rFonts w:ascii="Times New Roman" w:hAnsi="Times New Roman" w:cs="Times New Roman"/>
          <w:sz w:val="24"/>
          <w:szCs w:val="24"/>
        </w:rPr>
        <w:t>.S.</w:t>
      </w:r>
      <w:r w:rsidR="00B002D5">
        <w:rPr>
          <w:rFonts w:ascii="Times New Roman" w:hAnsi="Times New Roman" w:cs="Times New Roman"/>
          <w:sz w:val="24"/>
          <w:szCs w:val="24"/>
        </w:rPr>
        <w:t xml:space="preserve"> §§</w:t>
      </w:r>
      <w:r w:rsidR="00576E31">
        <w:rPr>
          <w:rFonts w:ascii="Times New Roman" w:hAnsi="Times New Roman" w:cs="Times New Roman"/>
          <w:sz w:val="24"/>
          <w:szCs w:val="24"/>
        </w:rPr>
        <w:t xml:space="preserve"> 1101 </w:t>
      </w:r>
      <w:r w:rsidR="00576E31">
        <w:rPr>
          <w:rFonts w:ascii="Times New Roman" w:hAnsi="Times New Roman" w:cs="Times New Roman"/>
          <w:i/>
          <w:sz w:val="24"/>
          <w:szCs w:val="24"/>
        </w:rPr>
        <w:t>et seq.</w:t>
      </w:r>
      <w:r w:rsidR="00576E31">
        <w:rPr>
          <w:rFonts w:ascii="Times New Roman" w:hAnsi="Times New Roman" w:cs="Times New Roman"/>
          <w:sz w:val="24"/>
          <w:szCs w:val="24"/>
        </w:rPr>
        <w:t xml:space="preserve">, </w:t>
      </w:r>
      <w:r w:rsidR="00D70F17">
        <w:rPr>
          <w:rFonts w:ascii="Times New Roman" w:hAnsi="Times New Roman" w:cs="Times New Roman"/>
          <w:sz w:val="24"/>
          <w:szCs w:val="24"/>
        </w:rPr>
        <w:t xml:space="preserve">and </w:t>
      </w:r>
      <w:r w:rsidR="00FF153C">
        <w:rPr>
          <w:rFonts w:ascii="Times New Roman" w:hAnsi="Times New Roman" w:cs="Times New Roman"/>
          <w:sz w:val="24"/>
          <w:szCs w:val="24"/>
        </w:rPr>
        <w:t xml:space="preserve">the Pa. PUC’s regulations at </w:t>
      </w:r>
      <w:r w:rsidR="00576E31">
        <w:rPr>
          <w:rFonts w:ascii="Times New Roman" w:hAnsi="Times New Roman" w:cs="Times New Roman"/>
          <w:sz w:val="24"/>
          <w:szCs w:val="24"/>
        </w:rPr>
        <w:t xml:space="preserve">52 Pa. Code §§ 63.301 </w:t>
      </w:r>
      <w:r w:rsidR="00576E31">
        <w:rPr>
          <w:rFonts w:ascii="Times New Roman" w:hAnsi="Times New Roman" w:cs="Times New Roman"/>
          <w:i/>
          <w:sz w:val="24"/>
          <w:szCs w:val="24"/>
        </w:rPr>
        <w:t>et seq.</w:t>
      </w:r>
      <w:r w:rsidR="00576E31">
        <w:rPr>
          <w:rFonts w:ascii="Times New Roman" w:hAnsi="Times New Roman" w:cs="Times New Roman"/>
          <w:sz w:val="24"/>
          <w:szCs w:val="24"/>
        </w:rPr>
        <w:t xml:space="preserve"> and 52 Pa. Code §§ 64.1</w:t>
      </w:r>
      <w:r w:rsidR="00D70F17">
        <w:rPr>
          <w:rFonts w:ascii="Times New Roman" w:hAnsi="Times New Roman" w:cs="Times New Roman"/>
          <w:sz w:val="24"/>
          <w:szCs w:val="24"/>
        </w:rPr>
        <w:t>.</w:t>
      </w:r>
    </w:p>
    <w:p w:rsidR="00926F93" w:rsidRDefault="00926F93" w:rsidP="00926F93">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Finally, the potential retirement of network facilities associated with the discontinuance of legacy interstate voice services should not and cannot infringe on the deployment and continuous availability of ILEC broadband access services that are mandated under independent Pennsylvania statutory law and relevant standards.  </w:t>
      </w:r>
      <w:r>
        <w:rPr>
          <w:rFonts w:ascii="Times New Roman" w:hAnsi="Times New Roman" w:cs="Times New Roman"/>
          <w:i/>
          <w:sz w:val="24"/>
          <w:szCs w:val="24"/>
        </w:rPr>
        <w:t xml:space="preserve">See generally </w:t>
      </w:r>
      <w:r>
        <w:rPr>
          <w:rFonts w:ascii="Times New Roman" w:hAnsi="Times New Roman" w:cs="Times New Roman"/>
          <w:sz w:val="24"/>
          <w:szCs w:val="24"/>
        </w:rPr>
        <w:t>66 Pa.</w:t>
      </w:r>
      <w:r w:rsidR="004C2A81">
        <w:rPr>
          <w:rFonts w:ascii="Times New Roman" w:hAnsi="Times New Roman" w:cs="Times New Roman"/>
          <w:sz w:val="24"/>
          <w:szCs w:val="24"/>
        </w:rPr>
        <w:t xml:space="preserve"> </w:t>
      </w:r>
      <w:r>
        <w:rPr>
          <w:rFonts w:ascii="Times New Roman" w:hAnsi="Times New Roman" w:cs="Times New Roman"/>
          <w:sz w:val="24"/>
          <w:szCs w:val="24"/>
        </w:rPr>
        <w:t>C.S. §</w:t>
      </w:r>
      <w:r w:rsidR="004C2A81">
        <w:rPr>
          <w:rFonts w:ascii="Times New Roman" w:hAnsi="Times New Roman" w:cs="Times New Roman"/>
          <w:sz w:val="24"/>
          <w:szCs w:val="24"/>
        </w:rPr>
        <w:t>§</w:t>
      </w:r>
      <w:r>
        <w:rPr>
          <w:rFonts w:ascii="Times New Roman" w:hAnsi="Times New Roman" w:cs="Times New Roman"/>
          <w:sz w:val="24"/>
          <w:szCs w:val="24"/>
        </w:rPr>
        <w:t xml:space="preserve"> 3011 </w:t>
      </w:r>
      <w:r w:rsidRPr="004C2A81">
        <w:rPr>
          <w:rFonts w:ascii="Times New Roman" w:hAnsi="Times New Roman" w:cs="Times New Roman"/>
          <w:i/>
          <w:sz w:val="24"/>
          <w:szCs w:val="24"/>
        </w:rPr>
        <w:t>et seq</w:t>
      </w:r>
      <w:r>
        <w:rPr>
          <w:rFonts w:ascii="Times New Roman" w:hAnsi="Times New Roman" w:cs="Times New Roman"/>
          <w:sz w:val="24"/>
          <w:szCs w:val="24"/>
        </w:rPr>
        <w:t xml:space="preserve">. </w:t>
      </w:r>
    </w:p>
    <w:p w:rsidR="00982093" w:rsidRPr="00DD45F7" w:rsidRDefault="00982093" w:rsidP="00EC2552">
      <w:pPr>
        <w:pStyle w:val="ListParagraph"/>
        <w:numPr>
          <w:ilvl w:val="0"/>
          <w:numId w:val="2"/>
        </w:numPr>
        <w:autoSpaceDE w:val="0"/>
        <w:autoSpaceDN w:val="0"/>
        <w:adjustRightInd w:val="0"/>
        <w:spacing w:after="0" w:line="240" w:lineRule="auto"/>
        <w:rPr>
          <w:rFonts w:ascii="TimesNewRoman,BoldItalic" w:hAnsi="TimesNewRoman,BoldItalic" w:cs="TimesNewRoman,BoldItalic"/>
          <w:b/>
          <w:bCs/>
          <w:i/>
          <w:iCs/>
          <w:sz w:val="24"/>
          <w:szCs w:val="24"/>
        </w:rPr>
      </w:pPr>
      <w:r w:rsidRPr="00DD45F7">
        <w:rPr>
          <w:rFonts w:ascii="TimesNewRoman,Bold" w:hAnsi="TimesNewRoman,Bold" w:cs="TimesNewRoman,Bold"/>
          <w:b/>
          <w:bCs/>
          <w:sz w:val="24"/>
          <w:szCs w:val="24"/>
        </w:rPr>
        <w:t xml:space="preserve">Eliminating Outreach Requirements Adopted in the </w:t>
      </w:r>
      <w:r w:rsidRPr="00DD45F7">
        <w:rPr>
          <w:rFonts w:ascii="TimesNewRoman,BoldItalic" w:hAnsi="TimesNewRoman,BoldItalic" w:cs="TimesNewRoman,BoldItalic"/>
          <w:b/>
          <w:bCs/>
          <w:i/>
          <w:iCs/>
          <w:sz w:val="24"/>
          <w:szCs w:val="24"/>
        </w:rPr>
        <w:t>2016 Technology Transitions Order.</w:t>
      </w:r>
    </w:p>
    <w:p w:rsidR="00982093" w:rsidRPr="00DD45F7" w:rsidRDefault="00982093" w:rsidP="00982093">
      <w:pPr>
        <w:autoSpaceDE w:val="0"/>
        <w:autoSpaceDN w:val="0"/>
        <w:adjustRightInd w:val="0"/>
        <w:spacing w:after="0" w:line="240" w:lineRule="auto"/>
        <w:rPr>
          <w:rFonts w:ascii="TimesNewRoman,BoldItalic" w:hAnsi="TimesNewRoman,BoldItalic" w:cs="TimesNewRoman,BoldItalic"/>
          <w:b/>
          <w:bCs/>
          <w:i/>
          <w:iCs/>
          <w:sz w:val="24"/>
          <w:szCs w:val="24"/>
        </w:rPr>
      </w:pPr>
    </w:p>
    <w:p w:rsidR="00982093" w:rsidRPr="00DD45F7" w:rsidRDefault="00982093" w:rsidP="003408C2">
      <w:pPr>
        <w:autoSpaceDE w:val="0"/>
        <w:autoSpaceDN w:val="0"/>
        <w:adjustRightInd w:val="0"/>
        <w:spacing w:after="0" w:line="480" w:lineRule="auto"/>
        <w:ind w:firstLine="720"/>
        <w:rPr>
          <w:rFonts w:ascii="TimesNewRoman,BoldItalic" w:hAnsi="TimesNewRoman,BoldItalic" w:cs="TimesNewRoman,BoldItalic"/>
          <w:bCs/>
          <w:iCs/>
          <w:sz w:val="24"/>
          <w:szCs w:val="24"/>
        </w:rPr>
      </w:pPr>
      <w:r w:rsidRPr="00DD45F7">
        <w:rPr>
          <w:rFonts w:ascii="TimesNewRoman,BoldItalic" w:hAnsi="TimesNewRoman,BoldItalic" w:cs="TimesNewRoman,BoldItalic"/>
          <w:bCs/>
          <w:iCs/>
          <w:sz w:val="24"/>
          <w:szCs w:val="24"/>
        </w:rPr>
        <w:t xml:space="preserve">In the </w:t>
      </w:r>
      <w:r w:rsidRPr="00B57C4D">
        <w:rPr>
          <w:rFonts w:ascii="TimesNewRoman,BoldItalic" w:hAnsi="TimesNewRoman,BoldItalic" w:cs="TimesNewRoman,BoldItalic"/>
          <w:bCs/>
          <w:i/>
          <w:iCs/>
          <w:sz w:val="24"/>
          <w:szCs w:val="24"/>
        </w:rPr>
        <w:t>FNPRM</w:t>
      </w:r>
      <w:r w:rsidRPr="00DD45F7">
        <w:rPr>
          <w:rFonts w:ascii="TimesNewRoman,BoldItalic" w:hAnsi="TimesNewRoman,BoldItalic" w:cs="TimesNewRoman,BoldItalic"/>
          <w:bCs/>
          <w:iCs/>
          <w:sz w:val="24"/>
          <w:szCs w:val="24"/>
        </w:rPr>
        <w:t xml:space="preserve">, the Commission sought comment on </w:t>
      </w:r>
      <w:r w:rsidR="007C0BD2">
        <w:rPr>
          <w:rFonts w:ascii="TimesNewRoman,BoldItalic" w:hAnsi="TimesNewRoman,BoldItalic" w:cs="TimesNewRoman,BoldItalic"/>
          <w:bCs/>
          <w:iCs/>
          <w:sz w:val="24"/>
          <w:szCs w:val="24"/>
        </w:rPr>
        <w:t xml:space="preserve">the </w:t>
      </w:r>
      <w:r w:rsidRPr="00DD45F7">
        <w:rPr>
          <w:rFonts w:ascii="TimesNewRoman,BoldItalic" w:hAnsi="TimesNewRoman,BoldItalic" w:cs="TimesNewRoman,BoldItalic"/>
          <w:bCs/>
          <w:iCs/>
          <w:sz w:val="24"/>
          <w:szCs w:val="24"/>
        </w:rPr>
        <w:t xml:space="preserve">proposal </w:t>
      </w:r>
      <w:r w:rsidR="007C0BD2">
        <w:rPr>
          <w:rFonts w:ascii="TimesNewRoman,BoldItalic" w:hAnsi="TimesNewRoman,BoldItalic" w:cs="TimesNewRoman,BoldItalic"/>
          <w:bCs/>
          <w:iCs/>
          <w:sz w:val="24"/>
          <w:szCs w:val="24"/>
        </w:rPr>
        <w:t>of ITTA,</w:t>
      </w:r>
      <w:r w:rsidR="00980C8B">
        <w:rPr>
          <w:rFonts w:ascii="TimesNewRoman,BoldItalic" w:hAnsi="TimesNewRoman,BoldItalic" w:cs="TimesNewRoman,BoldItalic"/>
          <w:bCs/>
          <w:iCs/>
          <w:sz w:val="24"/>
          <w:szCs w:val="24"/>
        </w:rPr>
        <w:t xml:space="preserve"> entitled</w:t>
      </w:r>
      <w:r w:rsidR="007C0BD2">
        <w:rPr>
          <w:rFonts w:ascii="TimesNewRoman,BoldItalic" w:hAnsi="TimesNewRoman,BoldItalic" w:cs="TimesNewRoman,BoldItalic"/>
          <w:bCs/>
          <w:iCs/>
          <w:sz w:val="24"/>
          <w:szCs w:val="24"/>
        </w:rPr>
        <w:t xml:space="preserve"> “The Voice of America’s Broadband Providers,” </w:t>
      </w:r>
      <w:r w:rsidRPr="00DD45F7">
        <w:rPr>
          <w:rFonts w:ascii="TimesNewRoman,BoldItalic" w:hAnsi="TimesNewRoman,BoldItalic" w:cs="TimesNewRoman,BoldItalic"/>
          <w:bCs/>
          <w:iCs/>
          <w:sz w:val="24"/>
          <w:szCs w:val="24"/>
        </w:rPr>
        <w:t>to eliminate the</w:t>
      </w:r>
      <w:r w:rsidR="003E364D">
        <w:rPr>
          <w:rFonts w:ascii="TimesNewRoman,BoldItalic" w:hAnsi="TimesNewRoman,BoldItalic" w:cs="TimesNewRoman,BoldItalic"/>
          <w:bCs/>
          <w:iCs/>
          <w:sz w:val="24"/>
          <w:szCs w:val="24"/>
        </w:rPr>
        <w:t xml:space="preserve"> </w:t>
      </w:r>
      <w:r w:rsidRPr="00DD45F7">
        <w:rPr>
          <w:rFonts w:ascii="TimesNewRoman,BoldItalic" w:hAnsi="TimesNewRoman,BoldItalic" w:cs="TimesNewRoman,BoldItalic"/>
          <w:bCs/>
          <w:iCs/>
          <w:sz w:val="24"/>
          <w:szCs w:val="24"/>
        </w:rPr>
        <w:t xml:space="preserve">outreach requirements adopted in the </w:t>
      </w:r>
      <w:r w:rsidRPr="00DD45F7">
        <w:rPr>
          <w:rFonts w:ascii="TimesNewRoman,BoldItalic" w:hAnsi="TimesNewRoman,BoldItalic" w:cs="TimesNewRoman,BoldItalic"/>
          <w:bCs/>
          <w:i/>
          <w:iCs/>
          <w:sz w:val="24"/>
          <w:szCs w:val="24"/>
        </w:rPr>
        <w:t>2016 Technology Transitions Order</w:t>
      </w:r>
      <w:r w:rsidRPr="00DD45F7">
        <w:rPr>
          <w:rFonts w:ascii="TimesNewRoman,BoldItalic" w:hAnsi="TimesNewRoman,BoldItalic" w:cs="TimesNewRoman,BoldItalic"/>
          <w:bCs/>
          <w:iCs/>
          <w:sz w:val="24"/>
          <w:szCs w:val="24"/>
        </w:rPr>
        <w:t>.  The Pa</w:t>
      </w:r>
      <w:r w:rsidR="00C47599">
        <w:rPr>
          <w:rFonts w:ascii="TimesNewRoman,BoldItalic" w:hAnsi="TimesNewRoman,BoldItalic" w:cs="TimesNewRoman,BoldItalic"/>
          <w:bCs/>
          <w:iCs/>
          <w:sz w:val="24"/>
          <w:szCs w:val="24"/>
        </w:rPr>
        <w:t xml:space="preserve">. </w:t>
      </w:r>
      <w:r w:rsidRPr="00DD45F7">
        <w:rPr>
          <w:rFonts w:ascii="TimesNewRoman,BoldItalic" w:hAnsi="TimesNewRoman,BoldItalic" w:cs="TimesNewRoman,BoldItalic"/>
          <w:bCs/>
          <w:iCs/>
          <w:sz w:val="24"/>
          <w:szCs w:val="24"/>
        </w:rPr>
        <w:t>PUC recommends that the Commission reject this proposal.</w:t>
      </w:r>
    </w:p>
    <w:p w:rsidR="002D14D1" w:rsidRDefault="00982093" w:rsidP="00B57C4D">
      <w:pPr>
        <w:autoSpaceDE w:val="0"/>
        <w:autoSpaceDN w:val="0"/>
        <w:adjustRightInd w:val="0"/>
        <w:spacing w:after="0" w:line="480" w:lineRule="auto"/>
        <w:ind w:firstLine="720"/>
        <w:rPr>
          <w:rFonts w:ascii="Times New Roman" w:hAnsi="Times New Roman" w:cs="Times New Roman"/>
          <w:sz w:val="24"/>
          <w:szCs w:val="24"/>
        </w:rPr>
      </w:pPr>
      <w:r w:rsidRPr="00DD45F7">
        <w:rPr>
          <w:rFonts w:ascii="Times New Roman" w:hAnsi="Times New Roman" w:cs="Times New Roman"/>
          <w:sz w:val="24"/>
          <w:szCs w:val="24"/>
        </w:rPr>
        <w:t xml:space="preserve">The outreach requirements mandate that carriers offer an adequate outreach plan when discontinuing legacy retail services.  </w:t>
      </w:r>
      <w:r w:rsidRPr="00DD45F7">
        <w:rPr>
          <w:rFonts w:ascii="Times New Roman" w:hAnsi="Times New Roman" w:cs="Times New Roman"/>
          <w:i/>
          <w:iCs/>
          <w:sz w:val="24"/>
          <w:szCs w:val="24"/>
        </w:rPr>
        <w:t>See 2016 Technology Transitions Order</w:t>
      </w:r>
      <w:r w:rsidRPr="00DD45F7">
        <w:rPr>
          <w:rFonts w:ascii="Times New Roman" w:hAnsi="Times New Roman" w:cs="Times New Roman"/>
          <w:sz w:val="24"/>
          <w:szCs w:val="24"/>
        </w:rPr>
        <w:t>, 31 FCC Rcd at 8348, para. 179.  These requirements apply to transitioning wireline TDM-based voice service to a voice service using a different technology such as Internet Protocol (IP) or wireless.  The requirements further specify that an adequate outreach plan must, at a minimum, involve</w:t>
      </w:r>
      <w:r w:rsidR="002D14D1">
        <w:rPr>
          <w:rFonts w:ascii="Times New Roman" w:hAnsi="Times New Roman" w:cs="Times New Roman"/>
          <w:sz w:val="24"/>
          <w:szCs w:val="24"/>
        </w:rPr>
        <w:t xml:space="preserve"> the following</w:t>
      </w:r>
      <w:r w:rsidRPr="00DD45F7">
        <w:rPr>
          <w:rFonts w:ascii="Times New Roman" w:hAnsi="Times New Roman" w:cs="Times New Roman"/>
          <w:sz w:val="24"/>
          <w:szCs w:val="24"/>
        </w:rPr>
        <w:t xml:space="preserve">: </w:t>
      </w:r>
    </w:p>
    <w:p w:rsidR="00D44976" w:rsidRDefault="00982093" w:rsidP="008D51B0">
      <w:pPr>
        <w:autoSpaceDE w:val="0"/>
        <w:autoSpaceDN w:val="0"/>
        <w:adjustRightInd w:val="0"/>
        <w:spacing w:after="0" w:line="240" w:lineRule="auto"/>
        <w:ind w:left="1440" w:right="1440"/>
        <w:rPr>
          <w:rFonts w:ascii="Times New Roman" w:hAnsi="Times New Roman" w:cs="Times New Roman"/>
          <w:sz w:val="24"/>
          <w:szCs w:val="24"/>
        </w:rPr>
      </w:pPr>
      <w:r w:rsidRPr="00DD45F7">
        <w:rPr>
          <w:rFonts w:ascii="Times New Roman" w:hAnsi="Times New Roman" w:cs="Times New Roman"/>
          <w:sz w:val="24"/>
          <w:szCs w:val="24"/>
        </w:rPr>
        <w:t xml:space="preserve">(i) the development and dissemination of educational materials provided to all customers affected containing specific information pertinent to the transition, as specified in detail below; (ii) the creation of a telephone hotline and the option to create an additional interactive and accessible service to answer questions regarding the transition; and (iii) appropriate training of staff to field and answer consumer questions about the transition.  </w:t>
      </w:r>
    </w:p>
    <w:p w:rsidR="008D51B0" w:rsidRDefault="008D51B0" w:rsidP="003408C2">
      <w:pPr>
        <w:autoSpaceDE w:val="0"/>
        <w:autoSpaceDN w:val="0"/>
        <w:adjustRightInd w:val="0"/>
        <w:spacing w:after="0" w:line="240" w:lineRule="auto"/>
        <w:ind w:left="1440" w:right="1440" w:firstLine="720"/>
        <w:rPr>
          <w:rFonts w:ascii="Times New Roman" w:hAnsi="Times New Roman" w:cs="Times New Roman"/>
          <w:sz w:val="24"/>
          <w:szCs w:val="24"/>
        </w:rPr>
      </w:pPr>
    </w:p>
    <w:p w:rsidR="00982093" w:rsidRPr="00DD45F7" w:rsidRDefault="0077578C" w:rsidP="003408C2">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i/>
          <w:iCs/>
          <w:sz w:val="24"/>
          <w:szCs w:val="24"/>
        </w:rPr>
        <w:t>I</w:t>
      </w:r>
      <w:r w:rsidR="00982093" w:rsidRPr="00DD45F7">
        <w:rPr>
          <w:rFonts w:ascii="Times New Roman" w:hAnsi="Times New Roman" w:cs="Times New Roman"/>
          <w:i/>
          <w:iCs/>
          <w:sz w:val="24"/>
          <w:szCs w:val="24"/>
        </w:rPr>
        <w:t>d</w:t>
      </w:r>
      <w:r w:rsidR="00982093" w:rsidRPr="00DD45F7">
        <w:rPr>
          <w:rFonts w:ascii="Times New Roman" w:hAnsi="Times New Roman" w:cs="Times New Roman"/>
          <w:sz w:val="24"/>
          <w:szCs w:val="24"/>
        </w:rPr>
        <w:t>. at 8350, para. 181.</w:t>
      </w:r>
    </w:p>
    <w:p w:rsidR="00924FB6" w:rsidRPr="00DD45F7" w:rsidRDefault="00031996" w:rsidP="00B57C4D">
      <w:pPr>
        <w:autoSpaceDE w:val="0"/>
        <w:autoSpaceDN w:val="0"/>
        <w:adjustRightInd w:val="0"/>
        <w:spacing w:after="0" w:line="480" w:lineRule="auto"/>
        <w:ind w:firstLine="720"/>
        <w:rPr>
          <w:rFonts w:ascii="Times New Roman" w:hAnsi="Times New Roman" w:cs="Times New Roman"/>
          <w:sz w:val="24"/>
          <w:szCs w:val="24"/>
        </w:rPr>
      </w:pPr>
      <w:r w:rsidRPr="00DD45F7">
        <w:rPr>
          <w:rFonts w:ascii="Times New Roman" w:hAnsi="Times New Roman" w:cs="Times New Roman"/>
          <w:sz w:val="24"/>
          <w:szCs w:val="24"/>
        </w:rPr>
        <w:t xml:space="preserve">In the </w:t>
      </w:r>
      <w:r w:rsidRPr="00B57C4D">
        <w:rPr>
          <w:rFonts w:ascii="Times New Roman" w:hAnsi="Times New Roman" w:cs="Times New Roman"/>
          <w:i/>
          <w:sz w:val="24"/>
          <w:szCs w:val="24"/>
        </w:rPr>
        <w:t>FNPRM</w:t>
      </w:r>
      <w:r w:rsidRPr="00DD45F7">
        <w:rPr>
          <w:rFonts w:ascii="Times New Roman" w:hAnsi="Times New Roman" w:cs="Times New Roman"/>
          <w:sz w:val="24"/>
          <w:szCs w:val="24"/>
        </w:rPr>
        <w:t xml:space="preserve">, the Commission sought comment on eliminating outreach requirements based upon ITTA’s assertions that these requirements are “unduly burdensome and prescriptive,” in addition to being unnecessary, because </w:t>
      </w:r>
      <w:r w:rsidR="00212DF2">
        <w:rPr>
          <w:rFonts w:ascii="Times New Roman" w:hAnsi="Times New Roman" w:cs="Times New Roman"/>
          <w:sz w:val="24"/>
          <w:szCs w:val="24"/>
        </w:rPr>
        <w:t>the Commission’s</w:t>
      </w:r>
      <w:r w:rsidR="00212DF2" w:rsidRPr="00DD45F7">
        <w:rPr>
          <w:rFonts w:ascii="Times New Roman" w:hAnsi="Times New Roman" w:cs="Times New Roman"/>
          <w:sz w:val="24"/>
          <w:szCs w:val="24"/>
        </w:rPr>
        <w:t xml:space="preserve"> </w:t>
      </w:r>
      <w:r w:rsidRPr="00DD45F7">
        <w:rPr>
          <w:rFonts w:ascii="Times New Roman" w:hAnsi="Times New Roman" w:cs="Times New Roman"/>
          <w:sz w:val="24"/>
          <w:szCs w:val="24"/>
        </w:rPr>
        <w:t xml:space="preserve">preexisting discontinuance notice </w:t>
      </w:r>
      <w:r w:rsidRPr="00DD45F7">
        <w:rPr>
          <w:rFonts w:ascii="Times New Roman" w:hAnsi="Times New Roman" w:cs="Times New Roman"/>
          <w:sz w:val="24"/>
          <w:szCs w:val="24"/>
        </w:rPr>
        <w:lastRenderedPageBreak/>
        <w:t xml:space="preserve">process already provides “affected customers and other stakeholders with adequate information of what is to occur and what steps they may need to take.”  </w:t>
      </w:r>
      <w:r w:rsidRPr="00DD45F7">
        <w:rPr>
          <w:rFonts w:ascii="Times New Roman" w:hAnsi="Times New Roman" w:cs="Times New Roman"/>
          <w:i/>
          <w:sz w:val="24"/>
          <w:szCs w:val="24"/>
        </w:rPr>
        <w:t>FNPRM</w:t>
      </w:r>
      <w:r w:rsidRPr="00DD45F7">
        <w:rPr>
          <w:rFonts w:ascii="Times New Roman" w:hAnsi="Times New Roman" w:cs="Times New Roman"/>
          <w:sz w:val="24"/>
          <w:szCs w:val="24"/>
        </w:rPr>
        <w:t xml:space="preserve"> at 67, para. 177.</w:t>
      </w:r>
    </w:p>
    <w:p w:rsidR="00D54409" w:rsidRPr="00D54409" w:rsidRDefault="00031996" w:rsidP="00D54409">
      <w:pPr>
        <w:autoSpaceDE w:val="0"/>
        <w:autoSpaceDN w:val="0"/>
        <w:adjustRightInd w:val="0"/>
        <w:spacing w:after="0" w:line="480" w:lineRule="auto"/>
        <w:ind w:firstLine="720"/>
        <w:rPr>
          <w:rFonts w:ascii="Times New Roman" w:hAnsi="Times New Roman" w:cs="Times New Roman"/>
          <w:sz w:val="24"/>
          <w:szCs w:val="24"/>
        </w:rPr>
      </w:pPr>
      <w:r w:rsidRPr="00D54409">
        <w:rPr>
          <w:rFonts w:ascii="Times New Roman" w:hAnsi="Times New Roman" w:cs="Times New Roman"/>
          <w:sz w:val="24"/>
          <w:szCs w:val="24"/>
        </w:rPr>
        <w:t>The Pa</w:t>
      </w:r>
      <w:r w:rsidR="00B57C4D" w:rsidRPr="00D54409">
        <w:rPr>
          <w:rFonts w:ascii="Times New Roman" w:hAnsi="Times New Roman" w:cs="Times New Roman"/>
          <w:sz w:val="24"/>
          <w:szCs w:val="24"/>
        </w:rPr>
        <w:t xml:space="preserve">. </w:t>
      </w:r>
      <w:r w:rsidRPr="00D54409">
        <w:rPr>
          <w:rFonts w:ascii="Times New Roman" w:hAnsi="Times New Roman" w:cs="Times New Roman"/>
          <w:sz w:val="24"/>
          <w:szCs w:val="24"/>
        </w:rPr>
        <w:t xml:space="preserve">PUC </w:t>
      </w:r>
      <w:r w:rsidR="00D54409" w:rsidRPr="00D54409">
        <w:rPr>
          <w:rFonts w:ascii="Times New Roman" w:hAnsi="Times New Roman" w:cs="Times New Roman"/>
          <w:sz w:val="24"/>
          <w:szCs w:val="24"/>
        </w:rPr>
        <w:t xml:space="preserve">does not support eliminating the </w:t>
      </w:r>
      <w:r w:rsidR="00D54409" w:rsidRPr="00D54409">
        <w:rPr>
          <w:rFonts w:ascii="Times New Roman" w:hAnsi="Times New Roman" w:cs="Times New Roman"/>
          <w:bCs/>
          <w:iCs/>
          <w:sz w:val="24"/>
          <w:szCs w:val="24"/>
        </w:rPr>
        <w:t xml:space="preserve">outreach requirements adopted in the </w:t>
      </w:r>
      <w:r w:rsidR="00D54409" w:rsidRPr="00D54409">
        <w:rPr>
          <w:rFonts w:ascii="Times New Roman" w:hAnsi="Times New Roman" w:cs="Times New Roman"/>
          <w:bCs/>
          <w:i/>
          <w:iCs/>
          <w:sz w:val="24"/>
          <w:szCs w:val="24"/>
        </w:rPr>
        <w:t>2016 Technology Transitions Order</w:t>
      </w:r>
      <w:r w:rsidR="00D54409" w:rsidRPr="00D54409">
        <w:rPr>
          <w:rFonts w:ascii="Times New Roman" w:hAnsi="Times New Roman" w:cs="Times New Roman"/>
          <w:sz w:val="24"/>
          <w:szCs w:val="24"/>
        </w:rPr>
        <w:t xml:space="preserve">.  Overall, the copper-to-fiber transition in Pennsylvania has been relatively smooth and seamless for consumers and, by all accounts, is going well in the Commonwealth.  The Pa. PUC </w:t>
      </w:r>
      <w:r w:rsidR="009C03AE">
        <w:rPr>
          <w:rFonts w:ascii="Times New Roman" w:hAnsi="Times New Roman" w:cs="Times New Roman"/>
          <w:sz w:val="24"/>
          <w:szCs w:val="24"/>
        </w:rPr>
        <w:t xml:space="preserve">wants </w:t>
      </w:r>
      <w:r w:rsidR="000C2E60">
        <w:rPr>
          <w:rFonts w:ascii="Times New Roman" w:hAnsi="Times New Roman" w:cs="Times New Roman"/>
          <w:sz w:val="24"/>
          <w:szCs w:val="24"/>
        </w:rPr>
        <w:t>it to stay that way</w:t>
      </w:r>
      <w:r w:rsidR="009C03AE">
        <w:rPr>
          <w:rFonts w:ascii="Times New Roman" w:hAnsi="Times New Roman" w:cs="Times New Roman"/>
          <w:sz w:val="24"/>
          <w:szCs w:val="24"/>
        </w:rPr>
        <w:t xml:space="preserve"> and </w:t>
      </w:r>
      <w:r w:rsidR="00D54409" w:rsidRPr="00D54409">
        <w:rPr>
          <w:rFonts w:ascii="Times New Roman" w:hAnsi="Times New Roman" w:cs="Times New Roman"/>
          <w:sz w:val="24"/>
          <w:szCs w:val="24"/>
        </w:rPr>
        <w:t xml:space="preserve">sees no reason to depart from </w:t>
      </w:r>
      <w:r w:rsidR="00D54409">
        <w:rPr>
          <w:rFonts w:ascii="Times New Roman" w:hAnsi="Times New Roman" w:cs="Times New Roman"/>
          <w:sz w:val="24"/>
          <w:szCs w:val="24"/>
        </w:rPr>
        <w:t xml:space="preserve">rules like the outreach requirements </w:t>
      </w:r>
      <w:r w:rsidR="00D54409" w:rsidRPr="00D54409">
        <w:rPr>
          <w:rFonts w:ascii="Times New Roman" w:hAnsi="Times New Roman" w:cs="Times New Roman"/>
          <w:sz w:val="24"/>
          <w:szCs w:val="24"/>
        </w:rPr>
        <w:t xml:space="preserve">that are helping achieve this desired result.  </w:t>
      </w:r>
    </w:p>
    <w:p w:rsidR="005B67BD" w:rsidRPr="00DD45F7" w:rsidRDefault="002C1055" w:rsidP="00D54409">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Pa. PUC also </w:t>
      </w:r>
      <w:r w:rsidR="00031996" w:rsidRPr="00DD45F7">
        <w:rPr>
          <w:rFonts w:ascii="Times New Roman" w:hAnsi="Times New Roman" w:cs="Times New Roman"/>
          <w:sz w:val="24"/>
          <w:szCs w:val="24"/>
        </w:rPr>
        <w:t xml:space="preserve">agrees </w:t>
      </w:r>
      <w:r w:rsidR="005F7DBF" w:rsidRPr="00DD45F7">
        <w:rPr>
          <w:rFonts w:ascii="Times New Roman" w:hAnsi="Times New Roman" w:cs="Times New Roman"/>
          <w:sz w:val="24"/>
          <w:szCs w:val="24"/>
        </w:rPr>
        <w:t xml:space="preserve">with the assessment </w:t>
      </w:r>
      <w:r w:rsidR="00031996" w:rsidRPr="00DD45F7">
        <w:rPr>
          <w:rFonts w:ascii="Times New Roman" w:hAnsi="Times New Roman" w:cs="Times New Roman"/>
          <w:sz w:val="24"/>
          <w:szCs w:val="24"/>
        </w:rPr>
        <w:t xml:space="preserve">in the joint </w:t>
      </w:r>
      <w:r w:rsidR="00FA36EB" w:rsidRPr="00DD45F7">
        <w:rPr>
          <w:rFonts w:ascii="Times New Roman" w:hAnsi="Times New Roman" w:cs="Times New Roman"/>
          <w:sz w:val="24"/>
          <w:szCs w:val="24"/>
        </w:rPr>
        <w:t>comments of Public Knowledge and Center for Rural Strategies</w:t>
      </w:r>
      <w:r w:rsidR="00031996" w:rsidRPr="00DD45F7">
        <w:rPr>
          <w:rFonts w:ascii="Times New Roman" w:hAnsi="Times New Roman" w:cs="Times New Roman"/>
          <w:sz w:val="24"/>
          <w:szCs w:val="24"/>
        </w:rPr>
        <w:t xml:space="preserve"> </w:t>
      </w:r>
      <w:r w:rsidR="00CF7EF8">
        <w:rPr>
          <w:rFonts w:ascii="Times New Roman" w:hAnsi="Times New Roman" w:cs="Times New Roman"/>
          <w:sz w:val="24"/>
          <w:szCs w:val="24"/>
        </w:rPr>
        <w:t xml:space="preserve">that </w:t>
      </w:r>
      <w:r w:rsidR="00031996" w:rsidRPr="00DD45F7">
        <w:rPr>
          <w:rFonts w:ascii="Times New Roman" w:hAnsi="Times New Roman" w:cs="Times New Roman"/>
          <w:sz w:val="24"/>
          <w:szCs w:val="24"/>
        </w:rPr>
        <w:t>additional protections for vulnerable consumers make these rules important and necessary.  Public Knowledge and Center for Rural Strategies Comments at 7.</w:t>
      </w:r>
      <w:r w:rsidR="00924FB6" w:rsidRPr="00DD45F7">
        <w:rPr>
          <w:rFonts w:ascii="Times New Roman" w:hAnsi="Times New Roman" w:cs="Times New Roman"/>
          <w:sz w:val="24"/>
          <w:szCs w:val="24"/>
        </w:rPr>
        <w:t xml:space="preserve">  </w:t>
      </w:r>
      <w:r w:rsidR="006D1B31" w:rsidRPr="00DD45F7">
        <w:rPr>
          <w:rFonts w:ascii="Times New Roman" w:hAnsi="Times New Roman" w:cs="Times New Roman"/>
          <w:sz w:val="24"/>
          <w:szCs w:val="24"/>
        </w:rPr>
        <w:t>The Pa</w:t>
      </w:r>
      <w:r w:rsidR="00B57C4D">
        <w:rPr>
          <w:rFonts w:ascii="Times New Roman" w:hAnsi="Times New Roman" w:cs="Times New Roman"/>
          <w:sz w:val="24"/>
          <w:szCs w:val="24"/>
        </w:rPr>
        <w:t xml:space="preserve">. </w:t>
      </w:r>
      <w:r w:rsidR="006D1B31" w:rsidRPr="00DD45F7">
        <w:rPr>
          <w:rFonts w:ascii="Times New Roman" w:hAnsi="Times New Roman" w:cs="Times New Roman"/>
          <w:sz w:val="24"/>
          <w:szCs w:val="24"/>
        </w:rPr>
        <w:t>PUC notes that</w:t>
      </w:r>
      <w:r w:rsidR="006171B6">
        <w:rPr>
          <w:rFonts w:ascii="Times New Roman" w:hAnsi="Times New Roman" w:cs="Times New Roman"/>
          <w:sz w:val="24"/>
          <w:szCs w:val="24"/>
        </w:rPr>
        <w:t>,</w:t>
      </w:r>
      <w:r w:rsidR="006D1B31" w:rsidRPr="00DD45F7">
        <w:rPr>
          <w:rFonts w:ascii="Times New Roman" w:hAnsi="Times New Roman" w:cs="Times New Roman"/>
          <w:sz w:val="24"/>
          <w:szCs w:val="24"/>
        </w:rPr>
        <w:t xml:space="preserve"> </w:t>
      </w:r>
      <w:r w:rsidR="00492F7F">
        <w:rPr>
          <w:rFonts w:ascii="Times New Roman" w:hAnsi="Times New Roman" w:cs="Times New Roman"/>
          <w:sz w:val="24"/>
          <w:szCs w:val="24"/>
        </w:rPr>
        <w:t>in their comments, the ILECs</w:t>
      </w:r>
      <w:r w:rsidR="006D1B31" w:rsidRPr="00DD45F7">
        <w:rPr>
          <w:rFonts w:ascii="Times New Roman" w:hAnsi="Times New Roman" w:cs="Times New Roman"/>
          <w:sz w:val="24"/>
          <w:szCs w:val="24"/>
        </w:rPr>
        <w:t xml:space="preserve"> have stated that the mere fact that they are the current service provider incents them to reach out to their customers and communicate with them about their specific planned copper retirement.  Nevertheless, based upon our experience with technology transitions, the Pa</w:t>
      </w:r>
      <w:r w:rsidR="00B57C4D">
        <w:rPr>
          <w:rFonts w:ascii="Times New Roman" w:hAnsi="Times New Roman" w:cs="Times New Roman"/>
          <w:sz w:val="24"/>
          <w:szCs w:val="24"/>
        </w:rPr>
        <w:t xml:space="preserve">. </w:t>
      </w:r>
      <w:r w:rsidR="006D1B31" w:rsidRPr="00DD45F7">
        <w:rPr>
          <w:rFonts w:ascii="Times New Roman" w:hAnsi="Times New Roman" w:cs="Times New Roman"/>
          <w:sz w:val="24"/>
          <w:szCs w:val="24"/>
        </w:rPr>
        <w:t xml:space="preserve">PUC states that the Commission should not anticipate that residential consumers will continue to be well-informed about copper retirements impacting their service absent Commission-imposed notice obligations.  </w:t>
      </w:r>
    </w:p>
    <w:p w:rsidR="002C1055" w:rsidRDefault="0083237F" w:rsidP="006961D0">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w:t>
      </w:r>
      <w:r w:rsidR="00C95DB5">
        <w:rPr>
          <w:rFonts w:ascii="Times New Roman" w:hAnsi="Times New Roman" w:cs="Times New Roman"/>
          <w:sz w:val="24"/>
          <w:szCs w:val="24"/>
        </w:rPr>
        <w:t xml:space="preserve">he Pa. PUC believes </w:t>
      </w:r>
      <w:r w:rsidR="006961D0">
        <w:rPr>
          <w:rFonts w:ascii="Times New Roman" w:hAnsi="Times New Roman" w:cs="Times New Roman"/>
          <w:sz w:val="24"/>
          <w:szCs w:val="24"/>
        </w:rPr>
        <w:t xml:space="preserve">there is a </w:t>
      </w:r>
      <w:r>
        <w:rPr>
          <w:rFonts w:ascii="Times New Roman" w:hAnsi="Times New Roman" w:cs="Times New Roman"/>
          <w:sz w:val="24"/>
          <w:szCs w:val="24"/>
        </w:rPr>
        <w:t>continuing</w:t>
      </w:r>
      <w:r w:rsidR="006961D0">
        <w:rPr>
          <w:rFonts w:ascii="Times New Roman" w:hAnsi="Times New Roman" w:cs="Times New Roman"/>
          <w:sz w:val="24"/>
          <w:szCs w:val="24"/>
        </w:rPr>
        <w:t xml:space="preserve"> need to maintain the outreach requirements </w:t>
      </w:r>
      <w:r w:rsidR="00926F93">
        <w:rPr>
          <w:rFonts w:ascii="Times New Roman" w:hAnsi="Times New Roman" w:cs="Times New Roman"/>
          <w:sz w:val="24"/>
          <w:szCs w:val="24"/>
        </w:rPr>
        <w:t xml:space="preserve">given </w:t>
      </w:r>
      <w:r w:rsidR="006961D0">
        <w:rPr>
          <w:rFonts w:ascii="Times New Roman" w:hAnsi="Times New Roman" w:cs="Times New Roman"/>
          <w:sz w:val="24"/>
          <w:szCs w:val="24"/>
        </w:rPr>
        <w:t xml:space="preserve">the changes to the copper retirement notice rules made by the Commission.  </w:t>
      </w:r>
      <w:r w:rsidR="005B67BD" w:rsidRPr="00DD45F7">
        <w:rPr>
          <w:rFonts w:ascii="Times New Roman" w:hAnsi="Times New Roman" w:cs="Times New Roman"/>
          <w:sz w:val="24"/>
          <w:szCs w:val="24"/>
        </w:rPr>
        <w:t>The Pa</w:t>
      </w:r>
      <w:r w:rsidR="00B57C4D">
        <w:rPr>
          <w:rFonts w:ascii="Times New Roman" w:hAnsi="Times New Roman" w:cs="Times New Roman"/>
          <w:sz w:val="24"/>
          <w:szCs w:val="24"/>
        </w:rPr>
        <w:t xml:space="preserve">. </w:t>
      </w:r>
      <w:r w:rsidR="005B67BD" w:rsidRPr="00DD45F7">
        <w:rPr>
          <w:rFonts w:ascii="Times New Roman" w:hAnsi="Times New Roman" w:cs="Times New Roman"/>
          <w:sz w:val="24"/>
          <w:szCs w:val="24"/>
        </w:rPr>
        <w:t xml:space="preserve">PUC notes that by eliminating the rule requiring direct notice of copper retirement to retail customers, the Commission also eliminated the requirement that </w:t>
      </w:r>
      <w:r w:rsidR="001C5EE4">
        <w:rPr>
          <w:rFonts w:ascii="Times New Roman" w:hAnsi="Times New Roman" w:cs="Times New Roman"/>
          <w:sz w:val="24"/>
          <w:szCs w:val="24"/>
        </w:rPr>
        <w:t>ILECs</w:t>
      </w:r>
      <w:r w:rsidR="005B67BD" w:rsidRPr="00DD45F7">
        <w:rPr>
          <w:rFonts w:ascii="Times New Roman" w:hAnsi="Times New Roman" w:cs="Times New Roman"/>
          <w:sz w:val="24"/>
          <w:szCs w:val="24"/>
        </w:rPr>
        <w:t xml:space="preserve"> include in their copper retirement notices “a description of any changes in prices, terms, or conditions that will accompany the planned changes.”</w:t>
      </w:r>
      <w:r w:rsidR="00685A67">
        <w:rPr>
          <w:rFonts w:ascii="Times New Roman" w:hAnsi="Times New Roman" w:cs="Times New Roman"/>
          <w:sz w:val="24"/>
          <w:szCs w:val="24"/>
        </w:rPr>
        <w:t xml:space="preserve">  </w:t>
      </w:r>
      <w:r w:rsidR="00685A67" w:rsidRPr="00685A67">
        <w:rPr>
          <w:rFonts w:ascii="Times New Roman" w:hAnsi="Times New Roman" w:cs="Times New Roman"/>
          <w:i/>
          <w:sz w:val="24"/>
          <w:szCs w:val="24"/>
        </w:rPr>
        <w:t>Notice</w:t>
      </w:r>
      <w:r w:rsidR="00685A67">
        <w:rPr>
          <w:rFonts w:ascii="Times New Roman" w:hAnsi="Times New Roman" w:cs="Times New Roman"/>
          <w:sz w:val="24"/>
          <w:szCs w:val="24"/>
        </w:rPr>
        <w:t xml:space="preserve"> at 26, para. 58.</w:t>
      </w:r>
      <w:r w:rsidR="006961D0">
        <w:rPr>
          <w:rFonts w:ascii="Times New Roman" w:hAnsi="Times New Roman" w:cs="Times New Roman"/>
          <w:sz w:val="24"/>
          <w:szCs w:val="24"/>
        </w:rPr>
        <w:t xml:space="preserve">  W</w:t>
      </w:r>
      <w:r w:rsidR="006961D0" w:rsidRPr="00DD45F7">
        <w:rPr>
          <w:rFonts w:ascii="Times New Roman" w:hAnsi="Times New Roman" w:cs="Times New Roman"/>
          <w:sz w:val="24"/>
          <w:szCs w:val="24"/>
        </w:rPr>
        <w:t xml:space="preserve">ith the elimination of the requirement that </w:t>
      </w:r>
      <w:r w:rsidR="007E1188">
        <w:rPr>
          <w:rFonts w:ascii="Times New Roman" w:hAnsi="Times New Roman" w:cs="Times New Roman"/>
          <w:sz w:val="24"/>
          <w:szCs w:val="24"/>
        </w:rPr>
        <w:t>ILECs</w:t>
      </w:r>
      <w:r w:rsidR="006961D0" w:rsidRPr="00DD45F7">
        <w:rPr>
          <w:rFonts w:ascii="Times New Roman" w:hAnsi="Times New Roman" w:cs="Times New Roman"/>
          <w:sz w:val="24"/>
          <w:szCs w:val="24"/>
        </w:rPr>
        <w:t xml:space="preserve"> provide direct notice of planned copper retirements to state commissions, </w:t>
      </w:r>
      <w:r w:rsidR="007E1188">
        <w:rPr>
          <w:rFonts w:ascii="Times New Roman" w:hAnsi="Times New Roman" w:cs="Times New Roman"/>
          <w:sz w:val="24"/>
          <w:szCs w:val="24"/>
        </w:rPr>
        <w:t>s</w:t>
      </w:r>
      <w:r w:rsidR="006961D0" w:rsidRPr="00DD45F7">
        <w:rPr>
          <w:rFonts w:ascii="Times New Roman" w:hAnsi="Times New Roman" w:cs="Times New Roman"/>
          <w:sz w:val="24"/>
          <w:szCs w:val="24"/>
        </w:rPr>
        <w:t xml:space="preserve">tates are no longer </w:t>
      </w:r>
      <w:r w:rsidR="006961D0" w:rsidRPr="00DD45F7">
        <w:rPr>
          <w:rFonts w:ascii="Times New Roman" w:hAnsi="Times New Roman" w:cs="Times New Roman"/>
          <w:sz w:val="24"/>
          <w:szCs w:val="24"/>
        </w:rPr>
        <w:lastRenderedPageBreak/>
        <w:t xml:space="preserve">well positioned to engage in consumer education and outreach efforts of customer transitions activities of which they no longer have any foreknowledge.  </w:t>
      </w:r>
      <w:r w:rsidR="006961D0">
        <w:rPr>
          <w:rFonts w:ascii="Times New Roman" w:hAnsi="Times New Roman" w:cs="Times New Roman"/>
          <w:sz w:val="24"/>
          <w:szCs w:val="24"/>
        </w:rPr>
        <w:t xml:space="preserve">Moreover, </w:t>
      </w:r>
      <w:r w:rsidR="00924FB6" w:rsidRPr="00DD45F7">
        <w:rPr>
          <w:rFonts w:ascii="Times New Roman" w:hAnsi="Times New Roman" w:cs="Times New Roman"/>
          <w:sz w:val="24"/>
          <w:szCs w:val="24"/>
        </w:rPr>
        <w:t xml:space="preserve">the elimination of the requirement </w:t>
      </w:r>
      <w:r w:rsidR="00926F93">
        <w:rPr>
          <w:rFonts w:ascii="Times New Roman" w:hAnsi="Times New Roman" w:cs="Times New Roman"/>
          <w:sz w:val="24"/>
          <w:szCs w:val="24"/>
        </w:rPr>
        <w:t xml:space="preserve">that ILECs </w:t>
      </w:r>
      <w:r w:rsidR="00924FB6" w:rsidRPr="00DD45F7">
        <w:rPr>
          <w:rFonts w:ascii="Times New Roman" w:hAnsi="Times New Roman" w:cs="Times New Roman"/>
          <w:sz w:val="24"/>
          <w:szCs w:val="24"/>
        </w:rPr>
        <w:t xml:space="preserve">provide direct </w:t>
      </w:r>
      <w:r w:rsidR="00924FB6" w:rsidRPr="00DD45F7">
        <w:rPr>
          <w:rFonts w:ascii="Times New Roman" w:hAnsi="Times New Roman" w:cs="Times New Roman"/>
          <w:iCs/>
          <w:sz w:val="24"/>
          <w:szCs w:val="24"/>
        </w:rPr>
        <w:t xml:space="preserve">notice to retail customers </w:t>
      </w:r>
      <w:r w:rsidR="005919E3">
        <w:rPr>
          <w:rFonts w:ascii="Times New Roman" w:hAnsi="Times New Roman" w:cs="Times New Roman"/>
          <w:sz w:val="24"/>
          <w:szCs w:val="24"/>
        </w:rPr>
        <w:t xml:space="preserve">highlights the </w:t>
      </w:r>
      <w:r w:rsidR="00924FB6" w:rsidRPr="00DD45F7">
        <w:rPr>
          <w:rFonts w:ascii="Times New Roman" w:hAnsi="Times New Roman" w:cs="Times New Roman"/>
          <w:sz w:val="24"/>
          <w:szCs w:val="24"/>
        </w:rPr>
        <w:t>essential</w:t>
      </w:r>
      <w:r w:rsidR="005919E3">
        <w:rPr>
          <w:rFonts w:ascii="Times New Roman" w:hAnsi="Times New Roman" w:cs="Times New Roman"/>
          <w:sz w:val="24"/>
          <w:szCs w:val="24"/>
        </w:rPr>
        <w:t xml:space="preserve"> need</w:t>
      </w:r>
      <w:r w:rsidR="00924FB6" w:rsidRPr="00DD45F7">
        <w:rPr>
          <w:rFonts w:ascii="Times New Roman" w:hAnsi="Times New Roman" w:cs="Times New Roman"/>
          <w:sz w:val="24"/>
          <w:szCs w:val="24"/>
        </w:rPr>
        <w:t xml:space="preserve"> that the Commission require some form of mandatory education and outreach for carriers to inform their customers of network transitions from copper to fiber.  </w:t>
      </w:r>
      <w:r w:rsidR="006961D0" w:rsidRPr="00DD45F7">
        <w:rPr>
          <w:rFonts w:ascii="Times New Roman" w:hAnsi="Times New Roman" w:cs="Times New Roman"/>
          <w:sz w:val="24"/>
          <w:szCs w:val="24"/>
        </w:rPr>
        <w:t>Commission-mandated education and outreach will serve a very practical purpose and will help reduce confusion and ensure that consumers are fully informed</w:t>
      </w:r>
      <w:r w:rsidR="006961D0">
        <w:rPr>
          <w:rFonts w:ascii="Times New Roman" w:hAnsi="Times New Roman" w:cs="Times New Roman"/>
          <w:sz w:val="24"/>
          <w:szCs w:val="24"/>
        </w:rPr>
        <w:t xml:space="preserve">.  </w:t>
      </w:r>
    </w:p>
    <w:p w:rsidR="00924FB6" w:rsidRPr="006961D0" w:rsidRDefault="00924FB6" w:rsidP="006961D0">
      <w:pPr>
        <w:autoSpaceDE w:val="0"/>
        <w:autoSpaceDN w:val="0"/>
        <w:adjustRightInd w:val="0"/>
        <w:spacing w:after="0" w:line="480" w:lineRule="auto"/>
        <w:ind w:firstLine="720"/>
        <w:rPr>
          <w:rFonts w:ascii="Times New Roman" w:hAnsi="Times New Roman" w:cs="Times New Roman"/>
          <w:sz w:val="24"/>
          <w:szCs w:val="24"/>
        </w:rPr>
      </w:pPr>
      <w:r w:rsidRPr="00DD45F7">
        <w:rPr>
          <w:rFonts w:ascii="Times New Roman" w:hAnsi="Times New Roman" w:cs="Times New Roman"/>
          <w:sz w:val="24"/>
          <w:szCs w:val="24"/>
        </w:rPr>
        <w:t>The Pa</w:t>
      </w:r>
      <w:r w:rsidR="00B57C4D">
        <w:rPr>
          <w:rFonts w:ascii="Times New Roman" w:hAnsi="Times New Roman" w:cs="Times New Roman"/>
          <w:sz w:val="24"/>
          <w:szCs w:val="24"/>
        </w:rPr>
        <w:t xml:space="preserve">. </w:t>
      </w:r>
      <w:r w:rsidRPr="00DD45F7">
        <w:rPr>
          <w:rFonts w:ascii="Times New Roman" w:hAnsi="Times New Roman" w:cs="Times New Roman"/>
          <w:sz w:val="24"/>
          <w:szCs w:val="24"/>
        </w:rPr>
        <w:t>PUC agrees with the comments of Greenlining Institute that the Commi</w:t>
      </w:r>
      <w:r w:rsidR="00065266" w:rsidRPr="00DD45F7">
        <w:rPr>
          <w:rFonts w:ascii="Times New Roman" w:hAnsi="Times New Roman" w:cs="Times New Roman"/>
          <w:sz w:val="24"/>
          <w:szCs w:val="24"/>
        </w:rPr>
        <w:t>s</w:t>
      </w:r>
      <w:r w:rsidRPr="00DD45F7">
        <w:rPr>
          <w:rFonts w:ascii="Times New Roman" w:hAnsi="Times New Roman" w:cs="Times New Roman"/>
          <w:sz w:val="24"/>
          <w:szCs w:val="24"/>
        </w:rPr>
        <w:t>sion should maintain notice requirements in some fashion</w:t>
      </w:r>
      <w:r w:rsidR="00D641BD">
        <w:rPr>
          <w:rFonts w:ascii="Times New Roman" w:hAnsi="Times New Roman" w:cs="Times New Roman"/>
          <w:sz w:val="24"/>
          <w:szCs w:val="24"/>
        </w:rPr>
        <w:t>,</w:t>
      </w:r>
      <w:r w:rsidR="006D1B31" w:rsidRPr="00DD45F7">
        <w:rPr>
          <w:rFonts w:ascii="Times New Roman" w:hAnsi="Times New Roman" w:cs="Times New Roman"/>
          <w:sz w:val="24"/>
          <w:szCs w:val="24"/>
        </w:rPr>
        <w:t xml:space="preserve"> </w:t>
      </w:r>
      <w:r w:rsidRPr="00DD45F7">
        <w:rPr>
          <w:rFonts w:ascii="Times New Roman" w:hAnsi="Times New Roman" w:cs="Times New Roman"/>
          <w:sz w:val="24"/>
          <w:szCs w:val="24"/>
        </w:rPr>
        <w:t xml:space="preserve">especially </w:t>
      </w:r>
      <w:r w:rsidR="00391FB9">
        <w:rPr>
          <w:rFonts w:ascii="Times New Roman" w:hAnsi="Times New Roman" w:cs="Times New Roman"/>
          <w:sz w:val="24"/>
          <w:szCs w:val="24"/>
        </w:rPr>
        <w:t>in those cases where a</w:t>
      </w:r>
      <w:r w:rsidRPr="00DD45F7">
        <w:rPr>
          <w:rFonts w:ascii="Times New Roman" w:hAnsi="Times New Roman" w:cs="Times New Roman"/>
          <w:sz w:val="24"/>
          <w:szCs w:val="24"/>
        </w:rPr>
        <w:t xml:space="preserve"> replacement service may be more expensive</w:t>
      </w:r>
      <w:r w:rsidR="00632B7E">
        <w:rPr>
          <w:rFonts w:ascii="Times New Roman" w:hAnsi="Times New Roman" w:cs="Times New Roman"/>
          <w:sz w:val="24"/>
          <w:szCs w:val="24"/>
        </w:rPr>
        <w:t xml:space="preserve"> and</w:t>
      </w:r>
      <w:r w:rsidR="00632B7E" w:rsidRPr="00DD45F7">
        <w:rPr>
          <w:rFonts w:ascii="Times New Roman" w:hAnsi="Times New Roman" w:cs="Times New Roman"/>
          <w:sz w:val="24"/>
          <w:szCs w:val="24"/>
        </w:rPr>
        <w:t xml:space="preserve"> </w:t>
      </w:r>
      <w:r w:rsidRPr="00DD45F7">
        <w:rPr>
          <w:rFonts w:ascii="Times New Roman" w:hAnsi="Times New Roman" w:cs="Times New Roman"/>
          <w:sz w:val="24"/>
          <w:szCs w:val="24"/>
        </w:rPr>
        <w:t xml:space="preserve">provide less functionality and reliability </w:t>
      </w:r>
      <w:r w:rsidR="006D1B31" w:rsidRPr="00DD45F7">
        <w:rPr>
          <w:rFonts w:ascii="Times New Roman" w:hAnsi="Times New Roman" w:cs="Times New Roman"/>
          <w:sz w:val="24"/>
          <w:szCs w:val="24"/>
        </w:rPr>
        <w:t xml:space="preserve">than the legacy service being replaced.  Greenlining Institute Comments at 2.  This migration simply cannot occur absent these communications from the carriers.  </w:t>
      </w:r>
      <w:r w:rsidR="002C1055">
        <w:rPr>
          <w:rFonts w:ascii="Times New Roman" w:hAnsi="Times New Roman" w:cs="Times New Roman"/>
          <w:sz w:val="24"/>
          <w:szCs w:val="24"/>
        </w:rPr>
        <w:t xml:space="preserve">And, again, these observations apply with particularity to interstate </w:t>
      </w:r>
      <w:r w:rsidR="00811448">
        <w:rPr>
          <w:rFonts w:ascii="Times New Roman" w:hAnsi="Times New Roman" w:cs="Times New Roman"/>
          <w:sz w:val="24"/>
          <w:szCs w:val="24"/>
        </w:rPr>
        <w:t xml:space="preserve">common carrier </w:t>
      </w:r>
      <w:r w:rsidR="002C1055">
        <w:rPr>
          <w:rFonts w:ascii="Times New Roman" w:hAnsi="Times New Roman" w:cs="Times New Roman"/>
          <w:sz w:val="24"/>
          <w:szCs w:val="24"/>
        </w:rPr>
        <w:t xml:space="preserve">legacy voice services and the facilities used to provide </w:t>
      </w:r>
      <w:r w:rsidR="00811448">
        <w:rPr>
          <w:rFonts w:ascii="Times New Roman" w:hAnsi="Times New Roman" w:cs="Times New Roman"/>
          <w:sz w:val="24"/>
          <w:szCs w:val="24"/>
        </w:rPr>
        <w:t xml:space="preserve">common carrier </w:t>
      </w:r>
      <w:r w:rsidR="002C1055">
        <w:rPr>
          <w:rFonts w:ascii="Times New Roman" w:hAnsi="Times New Roman" w:cs="Times New Roman"/>
          <w:sz w:val="24"/>
          <w:szCs w:val="24"/>
        </w:rPr>
        <w:t xml:space="preserve">legacy voice services or other services.  </w:t>
      </w:r>
    </w:p>
    <w:p w:rsidR="000D6A51" w:rsidRPr="00DD45F7" w:rsidRDefault="00C9654A" w:rsidP="00EC2552">
      <w:pPr>
        <w:pStyle w:val="ListParagraph"/>
        <w:numPr>
          <w:ilvl w:val="0"/>
          <w:numId w:val="2"/>
        </w:numPr>
        <w:autoSpaceDE w:val="0"/>
        <w:autoSpaceDN w:val="0"/>
        <w:adjustRightInd w:val="0"/>
        <w:spacing w:after="0" w:line="240" w:lineRule="auto"/>
        <w:rPr>
          <w:rFonts w:ascii="TimesNewRoman,Bold" w:hAnsi="TimesNewRoman,Bold" w:cs="TimesNewRoman,Bold"/>
          <w:b/>
          <w:bCs/>
          <w:sz w:val="24"/>
          <w:szCs w:val="24"/>
        </w:rPr>
      </w:pPr>
      <w:r>
        <w:rPr>
          <w:rFonts w:ascii="TimesNewRoman,Bold" w:hAnsi="TimesNewRoman,Bold" w:cs="TimesNewRoman,Bold"/>
          <w:b/>
          <w:bCs/>
          <w:sz w:val="24"/>
          <w:szCs w:val="24"/>
        </w:rPr>
        <w:t>Preemption of State and Local Laws in the Context of R</w:t>
      </w:r>
      <w:r w:rsidR="000D6A51" w:rsidRPr="00DD45F7">
        <w:rPr>
          <w:rFonts w:ascii="TimesNewRoman,Bold" w:hAnsi="TimesNewRoman,Bold" w:cs="TimesNewRoman,Bold"/>
          <w:b/>
          <w:bCs/>
          <w:sz w:val="24"/>
          <w:szCs w:val="24"/>
        </w:rPr>
        <w:t>ebuilding and Repairing Broadband Infrastructure After Natural Disasters</w:t>
      </w:r>
    </w:p>
    <w:p w:rsidR="000D6A51" w:rsidRPr="00DD45F7" w:rsidRDefault="000D6A51" w:rsidP="000D6A51">
      <w:pPr>
        <w:autoSpaceDE w:val="0"/>
        <w:autoSpaceDN w:val="0"/>
        <w:adjustRightInd w:val="0"/>
        <w:spacing w:after="0" w:line="240" w:lineRule="auto"/>
        <w:rPr>
          <w:rFonts w:ascii="Times New Roman" w:hAnsi="Times New Roman" w:cs="Times New Roman"/>
          <w:sz w:val="24"/>
          <w:szCs w:val="24"/>
        </w:rPr>
      </w:pPr>
    </w:p>
    <w:p w:rsidR="000D6A51" w:rsidRPr="00627A7F" w:rsidRDefault="000D6A51" w:rsidP="00627A7F">
      <w:pPr>
        <w:autoSpaceDE w:val="0"/>
        <w:autoSpaceDN w:val="0"/>
        <w:adjustRightInd w:val="0"/>
        <w:spacing w:after="0" w:line="480" w:lineRule="auto"/>
        <w:ind w:firstLine="720"/>
        <w:rPr>
          <w:rFonts w:ascii="Times New Roman" w:hAnsi="Times New Roman" w:cs="Times New Roman"/>
          <w:sz w:val="24"/>
          <w:szCs w:val="24"/>
        </w:rPr>
      </w:pPr>
      <w:r w:rsidRPr="00627A7F">
        <w:rPr>
          <w:rFonts w:ascii="Times New Roman" w:hAnsi="Times New Roman" w:cs="Times New Roman"/>
          <w:sz w:val="24"/>
          <w:szCs w:val="24"/>
        </w:rPr>
        <w:t xml:space="preserve">In the </w:t>
      </w:r>
      <w:r w:rsidRPr="00627A7F">
        <w:rPr>
          <w:rFonts w:ascii="Times New Roman" w:hAnsi="Times New Roman" w:cs="Times New Roman"/>
          <w:i/>
          <w:sz w:val="24"/>
          <w:szCs w:val="24"/>
        </w:rPr>
        <w:t>FNPRM</w:t>
      </w:r>
      <w:r w:rsidRPr="00627A7F">
        <w:rPr>
          <w:rFonts w:ascii="Times New Roman" w:hAnsi="Times New Roman" w:cs="Times New Roman"/>
          <w:sz w:val="24"/>
          <w:szCs w:val="24"/>
        </w:rPr>
        <w:t xml:space="preserve">, the Commission sought comment on whether there are targeted circumstances in which </w:t>
      </w:r>
      <w:r w:rsidR="0023099A">
        <w:rPr>
          <w:rFonts w:ascii="Times New Roman" w:hAnsi="Times New Roman" w:cs="Times New Roman"/>
          <w:sz w:val="24"/>
          <w:szCs w:val="24"/>
        </w:rPr>
        <w:t xml:space="preserve">it </w:t>
      </w:r>
      <w:r w:rsidRPr="00627A7F">
        <w:rPr>
          <w:rFonts w:ascii="Times New Roman" w:hAnsi="Times New Roman" w:cs="Times New Roman"/>
          <w:sz w:val="24"/>
          <w:szCs w:val="24"/>
        </w:rPr>
        <w:t xml:space="preserve">can and should use </w:t>
      </w:r>
      <w:r w:rsidR="00A816F3">
        <w:rPr>
          <w:rFonts w:ascii="Times New Roman" w:hAnsi="Times New Roman" w:cs="Times New Roman"/>
          <w:sz w:val="24"/>
          <w:szCs w:val="24"/>
        </w:rPr>
        <w:t>its</w:t>
      </w:r>
      <w:r w:rsidR="00A816F3" w:rsidRPr="00627A7F">
        <w:rPr>
          <w:rFonts w:ascii="Times New Roman" w:hAnsi="Times New Roman" w:cs="Times New Roman"/>
          <w:sz w:val="24"/>
          <w:szCs w:val="24"/>
        </w:rPr>
        <w:t xml:space="preserve"> </w:t>
      </w:r>
      <w:r w:rsidRPr="00627A7F">
        <w:rPr>
          <w:rFonts w:ascii="Times New Roman" w:hAnsi="Times New Roman" w:cs="Times New Roman"/>
          <w:sz w:val="24"/>
          <w:szCs w:val="24"/>
        </w:rPr>
        <w:t xml:space="preserve">authority to preempt state or local laws that inhibit restoration of communications infrastructure.  </w:t>
      </w:r>
      <w:r w:rsidRPr="00627A7F">
        <w:rPr>
          <w:rFonts w:ascii="Times New Roman" w:hAnsi="Times New Roman" w:cs="Times New Roman"/>
          <w:i/>
          <w:sz w:val="24"/>
          <w:szCs w:val="24"/>
        </w:rPr>
        <w:t>FNPRM</w:t>
      </w:r>
      <w:r w:rsidRPr="00627A7F">
        <w:rPr>
          <w:rFonts w:ascii="Times New Roman" w:hAnsi="Times New Roman" w:cs="Times New Roman"/>
          <w:sz w:val="24"/>
          <w:szCs w:val="24"/>
        </w:rPr>
        <w:t xml:space="preserve"> at 67, para. 178</w:t>
      </w:r>
      <w:r w:rsidR="00D4636D" w:rsidRPr="00627A7F">
        <w:rPr>
          <w:rFonts w:ascii="Times New Roman" w:hAnsi="Times New Roman" w:cs="Times New Roman"/>
          <w:sz w:val="24"/>
          <w:szCs w:val="24"/>
        </w:rPr>
        <w:t xml:space="preserve">.  </w:t>
      </w:r>
      <w:r w:rsidR="00543EFE" w:rsidRPr="00627A7F">
        <w:rPr>
          <w:rFonts w:ascii="Times New Roman" w:hAnsi="Times New Roman" w:cs="Times New Roman"/>
          <w:sz w:val="24"/>
          <w:szCs w:val="24"/>
        </w:rPr>
        <w:t xml:space="preserve">Specifically, the Commission sought comment on its legal authority to preempt state and local laws in this context, including </w:t>
      </w:r>
      <w:r w:rsidR="00A816F3">
        <w:rPr>
          <w:rFonts w:ascii="Times New Roman" w:hAnsi="Times New Roman" w:cs="Times New Roman"/>
          <w:sz w:val="24"/>
          <w:szCs w:val="24"/>
        </w:rPr>
        <w:t>its</w:t>
      </w:r>
      <w:r w:rsidR="00A816F3" w:rsidRPr="00627A7F">
        <w:rPr>
          <w:rFonts w:ascii="Times New Roman" w:hAnsi="Times New Roman" w:cs="Times New Roman"/>
          <w:sz w:val="24"/>
          <w:szCs w:val="24"/>
        </w:rPr>
        <w:t xml:space="preserve"> </w:t>
      </w:r>
      <w:r w:rsidR="00543EFE" w:rsidRPr="00627A7F">
        <w:rPr>
          <w:rFonts w:ascii="Times New Roman" w:hAnsi="Times New Roman" w:cs="Times New Roman"/>
          <w:sz w:val="24"/>
          <w:szCs w:val="24"/>
        </w:rPr>
        <w:t xml:space="preserve">authority under </w:t>
      </w:r>
      <w:r w:rsidR="00A816F3">
        <w:rPr>
          <w:rFonts w:ascii="Times New Roman" w:hAnsi="Times New Roman" w:cs="Times New Roman"/>
          <w:sz w:val="24"/>
          <w:szCs w:val="24"/>
        </w:rPr>
        <w:t>S</w:t>
      </w:r>
      <w:r w:rsidR="00A816F3" w:rsidRPr="00627A7F">
        <w:rPr>
          <w:rFonts w:ascii="Times New Roman" w:hAnsi="Times New Roman" w:cs="Times New Roman"/>
          <w:sz w:val="24"/>
          <w:szCs w:val="24"/>
        </w:rPr>
        <w:t xml:space="preserve">ections </w:t>
      </w:r>
      <w:r w:rsidR="00543EFE" w:rsidRPr="00627A7F">
        <w:rPr>
          <w:rFonts w:ascii="Times New Roman" w:hAnsi="Times New Roman" w:cs="Times New Roman"/>
          <w:sz w:val="24"/>
          <w:szCs w:val="24"/>
        </w:rPr>
        <w:t xml:space="preserve">253 and 332(c)(7) of the </w:t>
      </w:r>
      <w:r w:rsidR="00024BF3">
        <w:rPr>
          <w:rFonts w:ascii="Times New Roman" w:hAnsi="Times New Roman" w:cs="Times New Roman"/>
          <w:sz w:val="24"/>
          <w:szCs w:val="24"/>
        </w:rPr>
        <w:t xml:space="preserve">Telecommunications </w:t>
      </w:r>
      <w:r w:rsidR="00543EFE" w:rsidRPr="00627A7F">
        <w:rPr>
          <w:rFonts w:ascii="Times New Roman" w:hAnsi="Times New Roman" w:cs="Times New Roman"/>
          <w:sz w:val="24"/>
          <w:szCs w:val="24"/>
        </w:rPr>
        <w:t xml:space="preserve">Act </w:t>
      </w:r>
      <w:r w:rsidR="00024BF3">
        <w:rPr>
          <w:rFonts w:ascii="Times New Roman" w:hAnsi="Times New Roman" w:cs="Times New Roman"/>
          <w:sz w:val="24"/>
          <w:szCs w:val="24"/>
        </w:rPr>
        <w:t xml:space="preserve">of 1996 </w:t>
      </w:r>
      <w:r w:rsidR="00543EFE" w:rsidRPr="00627A7F">
        <w:rPr>
          <w:rFonts w:ascii="Times New Roman" w:hAnsi="Times New Roman" w:cs="Times New Roman"/>
          <w:sz w:val="24"/>
          <w:szCs w:val="24"/>
        </w:rPr>
        <w:t xml:space="preserve">and </w:t>
      </w:r>
      <w:r w:rsidR="00A816F3">
        <w:rPr>
          <w:rFonts w:ascii="Times New Roman" w:hAnsi="Times New Roman" w:cs="Times New Roman"/>
          <w:sz w:val="24"/>
          <w:szCs w:val="24"/>
        </w:rPr>
        <w:t>S</w:t>
      </w:r>
      <w:r w:rsidR="00A816F3" w:rsidRPr="00627A7F">
        <w:rPr>
          <w:rFonts w:ascii="Times New Roman" w:hAnsi="Times New Roman" w:cs="Times New Roman"/>
          <w:sz w:val="24"/>
          <w:szCs w:val="24"/>
        </w:rPr>
        <w:t xml:space="preserve">ection </w:t>
      </w:r>
      <w:r w:rsidR="00543EFE" w:rsidRPr="00627A7F">
        <w:rPr>
          <w:rFonts w:ascii="Times New Roman" w:hAnsi="Times New Roman" w:cs="Times New Roman"/>
          <w:sz w:val="24"/>
          <w:szCs w:val="24"/>
        </w:rPr>
        <w:t xml:space="preserve">6409 of the Spectrum Act. </w:t>
      </w:r>
      <w:r w:rsidR="00D4636D" w:rsidRPr="00627A7F">
        <w:rPr>
          <w:rFonts w:ascii="Times New Roman" w:hAnsi="Times New Roman" w:cs="Times New Roman"/>
          <w:sz w:val="24"/>
          <w:szCs w:val="24"/>
        </w:rPr>
        <w:t xml:space="preserve"> </w:t>
      </w:r>
      <w:r w:rsidR="00543EFE" w:rsidRPr="00627A7F">
        <w:rPr>
          <w:rFonts w:ascii="Times New Roman" w:hAnsi="Times New Roman" w:cs="Times New Roman"/>
          <w:i/>
          <w:sz w:val="24"/>
          <w:szCs w:val="24"/>
        </w:rPr>
        <w:t>FNPRM</w:t>
      </w:r>
      <w:r w:rsidR="00543EFE" w:rsidRPr="00627A7F">
        <w:rPr>
          <w:rFonts w:ascii="Times New Roman" w:hAnsi="Times New Roman" w:cs="Times New Roman"/>
          <w:sz w:val="24"/>
          <w:szCs w:val="24"/>
        </w:rPr>
        <w:t xml:space="preserve"> at </w:t>
      </w:r>
      <w:r w:rsidR="00D4636D" w:rsidRPr="00627A7F">
        <w:rPr>
          <w:rFonts w:ascii="Times New Roman" w:hAnsi="Times New Roman" w:cs="Times New Roman"/>
          <w:sz w:val="24"/>
          <w:szCs w:val="24"/>
        </w:rPr>
        <w:t>68, para. 179.  Further, the Commission sought comment on whether it s</w:t>
      </w:r>
      <w:r w:rsidR="00543EFE" w:rsidRPr="00627A7F">
        <w:rPr>
          <w:rFonts w:ascii="Times New Roman" w:hAnsi="Times New Roman" w:cs="Times New Roman"/>
          <w:sz w:val="24"/>
          <w:szCs w:val="24"/>
        </w:rPr>
        <w:t xml:space="preserve">hould limit the scope of any preemption in this </w:t>
      </w:r>
      <w:r w:rsidR="00543EFE" w:rsidRPr="00627A7F">
        <w:rPr>
          <w:rFonts w:ascii="Times New Roman" w:hAnsi="Times New Roman" w:cs="Times New Roman"/>
          <w:sz w:val="24"/>
          <w:szCs w:val="24"/>
        </w:rPr>
        <w:lastRenderedPageBreak/>
        <w:t>context only to periods in</w:t>
      </w:r>
      <w:r w:rsidR="00D4636D" w:rsidRPr="00627A7F">
        <w:rPr>
          <w:rFonts w:ascii="Times New Roman" w:hAnsi="Times New Roman" w:cs="Times New Roman"/>
          <w:sz w:val="24"/>
          <w:szCs w:val="24"/>
        </w:rPr>
        <w:t xml:space="preserve"> </w:t>
      </w:r>
      <w:r w:rsidR="00543EFE" w:rsidRPr="00627A7F">
        <w:rPr>
          <w:rFonts w:ascii="Times New Roman" w:hAnsi="Times New Roman" w:cs="Times New Roman"/>
          <w:sz w:val="24"/>
          <w:szCs w:val="24"/>
        </w:rPr>
        <w:t>which a community is recovering from a natural disaster, and if so</w:t>
      </w:r>
      <w:r w:rsidR="005919E3">
        <w:rPr>
          <w:rFonts w:ascii="Times New Roman" w:hAnsi="Times New Roman" w:cs="Times New Roman"/>
          <w:sz w:val="24"/>
          <w:szCs w:val="24"/>
        </w:rPr>
        <w:t>,</w:t>
      </w:r>
      <w:r w:rsidR="00543EFE" w:rsidRPr="00627A7F">
        <w:rPr>
          <w:rFonts w:ascii="Times New Roman" w:hAnsi="Times New Roman" w:cs="Times New Roman"/>
          <w:sz w:val="24"/>
          <w:szCs w:val="24"/>
        </w:rPr>
        <w:t xml:space="preserve"> how </w:t>
      </w:r>
      <w:r w:rsidR="00A816F3">
        <w:rPr>
          <w:rFonts w:ascii="Times New Roman" w:hAnsi="Times New Roman" w:cs="Times New Roman"/>
          <w:sz w:val="24"/>
          <w:szCs w:val="24"/>
        </w:rPr>
        <w:t>to</w:t>
      </w:r>
      <w:r w:rsidR="00543EFE" w:rsidRPr="00627A7F">
        <w:rPr>
          <w:rFonts w:ascii="Times New Roman" w:hAnsi="Times New Roman" w:cs="Times New Roman"/>
          <w:sz w:val="24"/>
          <w:szCs w:val="24"/>
        </w:rPr>
        <w:t xml:space="preserve"> </w:t>
      </w:r>
      <w:r w:rsidR="005919E3" w:rsidRPr="00627A7F">
        <w:rPr>
          <w:rFonts w:ascii="Times New Roman" w:hAnsi="Times New Roman" w:cs="Times New Roman"/>
          <w:sz w:val="24"/>
          <w:szCs w:val="24"/>
        </w:rPr>
        <w:t>del</w:t>
      </w:r>
      <w:r w:rsidR="005919E3">
        <w:rPr>
          <w:rFonts w:ascii="Times New Roman" w:hAnsi="Times New Roman" w:cs="Times New Roman"/>
          <w:sz w:val="24"/>
          <w:szCs w:val="24"/>
        </w:rPr>
        <w:t>ineate</w:t>
      </w:r>
      <w:r w:rsidR="00543EFE" w:rsidRPr="00627A7F">
        <w:rPr>
          <w:rFonts w:ascii="Times New Roman" w:hAnsi="Times New Roman" w:cs="Times New Roman"/>
          <w:sz w:val="24"/>
          <w:szCs w:val="24"/>
        </w:rPr>
        <w:t xml:space="preserve"> that timeframe</w:t>
      </w:r>
      <w:r w:rsidR="00D4636D" w:rsidRPr="00627A7F">
        <w:rPr>
          <w:rFonts w:ascii="Times New Roman" w:hAnsi="Times New Roman" w:cs="Times New Roman"/>
          <w:sz w:val="24"/>
          <w:szCs w:val="24"/>
        </w:rPr>
        <w:t>.</w:t>
      </w:r>
    </w:p>
    <w:p w:rsidR="00655C6F" w:rsidRDefault="00B57C4D" w:rsidP="00B57C4D">
      <w:pPr>
        <w:tabs>
          <w:tab w:val="left" w:pos="720"/>
        </w:tabs>
        <w:autoSpaceDE w:val="0"/>
        <w:autoSpaceDN w:val="0"/>
        <w:adjustRightInd w:val="0"/>
        <w:spacing w:after="0" w:line="480" w:lineRule="auto"/>
        <w:ind w:firstLine="360"/>
        <w:rPr>
          <w:rFonts w:ascii="Times New Roman" w:hAnsi="Times New Roman" w:cs="Times New Roman"/>
          <w:sz w:val="24"/>
          <w:szCs w:val="24"/>
        </w:rPr>
      </w:pPr>
      <w:r>
        <w:rPr>
          <w:rFonts w:ascii="Times New Roman" w:hAnsi="Times New Roman" w:cs="Times New Roman"/>
          <w:sz w:val="24"/>
          <w:szCs w:val="24"/>
        </w:rPr>
        <w:tab/>
        <w:t>The Pa. PUC agrees with the comments of the City of New York that there is nothing in the federal statutory provisions the Commission cites that suggest that natural disasters or other emergency circumstances lessen the constraints on Commission preemption authority.  Comments of City of New York at 1.  Again, we agree that if the Commission seeks</w:t>
      </w:r>
      <w:r w:rsidR="00C96765">
        <w:rPr>
          <w:rFonts w:ascii="Times New Roman" w:hAnsi="Times New Roman" w:cs="Times New Roman"/>
          <w:sz w:val="24"/>
          <w:szCs w:val="24"/>
        </w:rPr>
        <w:t>,</w:t>
      </w:r>
      <w:r>
        <w:rPr>
          <w:rFonts w:ascii="Times New Roman" w:hAnsi="Times New Roman" w:cs="Times New Roman"/>
          <w:sz w:val="24"/>
          <w:szCs w:val="24"/>
        </w:rPr>
        <w:t xml:space="preserve"> as a matter of policy</w:t>
      </w:r>
      <w:r w:rsidR="00C96765">
        <w:rPr>
          <w:rFonts w:ascii="Times New Roman" w:hAnsi="Times New Roman" w:cs="Times New Roman"/>
          <w:sz w:val="24"/>
          <w:szCs w:val="24"/>
        </w:rPr>
        <w:t>, to exert</w:t>
      </w:r>
      <w:r>
        <w:rPr>
          <w:rFonts w:ascii="Times New Roman" w:hAnsi="Times New Roman" w:cs="Times New Roman"/>
          <w:sz w:val="24"/>
          <w:szCs w:val="24"/>
        </w:rPr>
        <w:t xml:space="preserve"> preempti</w:t>
      </w:r>
      <w:r w:rsidR="00500FF5">
        <w:rPr>
          <w:rFonts w:ascii="Times New Roman" w:hAnsi="Times New Roman" w:cs="Times New Roman"/>
          <w:sz w:val="24"/>
          <w:szCs w:val="24"/>
        </w:rPr>
        <w:t>ve</w:t>
      </w:r>
      <w:r>
        <w:rPr>
          <w:rFonts w:ascii="Times New Roman" w:hAnsi="Times New Roman" w:cs="Times New Roman"/>
          <w:sz w:val="24"/>
          <w:szCs w:val="24"/>
        </w:rPr>
        <w:t xml:space="preserve"> authority in natural disaster scenarios, it should seek a remedy from Congress rather than claim it without statutory permission.</w:t>
      </w:r>
      <w:r w:rsidR="002C1055">
        <w:rPr>
          <w:rStyle w:val="FootnoteReference"/>
          <w:rFonts w:ascii="Times New Roman" w:hAnsi="Times New Roman" w:cs="Times New Roman"/>
          <w:sz w:val="24"/>
          <w:szCs w:val="24"/>
        </w:rPr>
        <w:footnoteReference w:id="10"/>
      </w:r>
    </w:p>
    <w:p w:rsidR="00880434" w:rsidRDefault="00655C6F" w:rsidP="00B57C4D">
      <w:pPr>
        <w:tabs>
          <w:tab w:val="left" w:pos="720"/>
        </w:tabs>
        <w:autoSpaceDE w:val="0"/>
        <w:autoSpaceDN w:val="0"/>
        <w:adjustRightInd w:val="0"/>
        <w:spacing w:after="0" w:line="480" w:lineRule="auto"/>
        <w:ind w:firstLine="360"/>
        <w:rPr>
          <w:rFonts w:ascii="Times New Roman" w:hAnsi="Times New Roman" w:cs="Times New Roman"/>
          <w:sz w:val="24"/>
          <w:szCs w:val="24"/>
        </w:rPr>
      </w:pPr>
      <w:r>
        <w:rPr>
          <w:rFonts w:ascii="Times New Roman" w:hAnsi="Times New Roman" w:cs="Times New Roman"/>
          <w:sz w:val="24"/>
          <w:szCs w:val="24"/>
        </w:rPr>
        <w:tab/>
      </w:r>
      <w:r w:rsidR="00BC53B9">
        <w:rPr>
          <w:rFonts w:ascii="Times New Roman" w:hAnsi="Times New Roman" w:cs="Times New Roman"/>
          <w:sz w:val="24"/>
          <w:szCs w:val="24"/>
        </w:rPr>
        <w:t>Moreover, t</w:t>
      </w:r>
      <w:r>
        <w:rPr>
          <w:rFonts w:ascii="Times New Roman" w:hAnsi="Times New Roman" w:cs="Times New Roman"/>
          <w:sz w:val="24"/>
          <w:szCs w:val="24"/>
        </w:rPr>
        <w:t xml:space="preserve">he Pa. PUC supports the Communications Workers of America’s recommendation that the Commission should reject any proposal to preempt state or local laws under the guise that such statutes “inhibit restoration of communications infrastructure.”  Comments of Communication Workers of America at 7.  The Pa. PUC agrees </w:t>
      </w:r>
      <w:r w:rsidR="00876349">
        <w:rPr>
          <w:rFonts w:ascii="Times New Roman" w:hAnsi="Times New Roman" w:cs="Times New Roman"/>
          <w:sz w:val="24"/>
          <w:szCs w:val="24"/>
        </w:rPr>
        <w:t xml:space="preserve">with </w:t>
      </w:r>
      <w:r>
        <w:rPr>
          <w:rFonts w:ascii="Times New Roman" w:hAnsi="Times New Roman" w:cs="Times New Roman"/>
          <w:sz w:val="24"/>
          <w:szCs w:val="24"/>
        </w:rPr>
        <w:t xml:space="preserve">the </w:t>
      </w:r>
      <w:r w:rsidR="00B76B77">
        <w:rPr>
          <w:rFonts w:ascii="Times New Roman" w:hAnsi="Times New Roman" w:cs="Times New Roman"/>
          <w:sz w:val="24"/>
          <w:szCs w:val="24"/>
        </w:rPr>
        <w:t xml:space="preserve">comments of Public Knowledge and Center for Rural Strategies that the </w:t>
      </w:r>
      <w:r>
        <w:rPr>
          <w:rFonts w:ascii="Times New Roman" w:hAnsi="Times New Roman" w:cs="Times New Roman"/>
          <w:sz w:val="24"/>
          <w:szCs w:val="24"/>
        </w:rPr>
        <w:t>Commission</w:t>
      </w:r>
      <w:r w:rsidR="003543B9">
        <w:rPr>
          <w:rFonts w:ascii="Times New Roman" w:hAnsi="Times New Roman" w:cs="Times New Roman"/>
          <w:sz w:val="24"/>
          <w:szCs w:val="24"/>
        </w:rPr>
        <w:t xml:space="preserve">’s direction on </w:t>
      </w:r>
      <w:r w:rsidR="003C5BDB">
        <w:rPr>
          <w:rFonts w:ascii="Times New Roman" w:hAnsi="Times New Roman" w:cs="Times New Roman"/>
          <w:sz w:val="24"/>
          <w:szCs w:val="24"/>
        </w:rPr>
        <w:t xml:space="preserve">which </w:t>
      </w:r>
      <w:r>
        <w:rPr>
          <w:rFonts w:ascii="Times New Roman" w:hAnsi="Times New Roman" w:cs="Times New Roman"/>
          <w:sz w:val="24"/>
          <w:szCs w:val="24"/>
        </w:rPr>
        <w:t>state laws would be subject to potential preemption</w:t>
      </w:r>
      <w:r w:rsidR="003543B9">
        <w:rPr>
          <w:rFonts w:ascii="Times New Roman" w:hAnsi="Times New Roman" w:cs="Times New Roman"/>
          <w:sz w:val="24"/>
          <w:szCs w:val="24"/>
        </w:rPr>
        <w:t xml:space="preserve"> is vague</w:t>
      </w:r>
      <w:r>
        <w:rPr>
          <w:rFonts w:ascii="Times New Roman" w:hAnsi="Times New Roman" w:cs="Times New Roman"/>
          <w:sz w:val="24"/>
          <w:szCs w:val="24"/>
        </w:rPr>
        <w:t>.</w:t>
      </w:r>
      <w:r w:rsidR="009023E2">
        <w:rPr>
          <w:rFonts w:ascii="Times New Roman" w:hAnsi="Times New Roman" w:cs="Times New Roman"/>
          <w:sz w:val="24"/>
          <w:szCs w:val="24"/>
        </w:rPr>
        <w:t xml:space="preserve">  Comments of Public Knowledge and Center for Rural Strategies at 8</w:t>
      </w:r>
      <w:r w:rsidR="00B76B77">
        <w:rPr>
          <w:rFonts w:ascii="Times New Roman" w:hAnsi="Times New Roman" w:cs="Times New Roman"/>
          <w:sz w:val="24"/>
          <w:szCs w:val="24"/>
        </w:rPr>
        <w:t xml:space="preserve">-9.  </w:t>
      </w:r>
      <w:r w:rsidR="009023E2">
        <w:rPr>
          <w:rFonts w:ascii="Times New Roman" w:hAnsi="Times New Roman" w:cs="Times New Roman"/>
          <w:sz w:val="24"/>
          <w:szCs w:val="24"/>
        </w:rPr>
        <w:t xml:space="preserve">The Commission </w:t>
      </w:r>
      <w:r w:rsidR="00BC53B9">
        <w:rPr>
          <w:rFonts w:ascii="Times New Roman" w:hAnsi="Times New Roman" w:cs="Times New Roman"/>
          <w:sz w:val="24"/>
          <w:szCs w:val="24"/>
        </w:rPr>
        <w:t xml:space="preserve">should not proceed with this course of action, but rather should </w:t>
      </w:r>
      <w:r w:rsidR="009023E2">
        <w:rPr>
          <w:rFonts w:ascii="Times New Roman" w:hAnsi="Times New Roman" w:cs="Times New Roman"/>
          <w:sz w:val="24"/>
          <w:szCs w:val="24"/>
        </w:rPr>
        <w:t>continue to work cooperatively with states to help communities rebuild damaged or destroyed communications infrastructure after a natural disaster</w:t>
      </w:r>
      <w:r w:rsidR="005919E3">
        <w:rPr>
          <w:rFonts w:ascii="Times New Roman" w:hAnsi="Times New Roman" w:cs="Times New Roman"/>
          <w:sz w:val="24"/>
          <w:szCs w:val="24"/>
        </w:rPr>
        <w:t>,</w:t>
      </w:r>
      <w:r w:rsidR="009023E2">
        <w:rPr>
          <w:rFonts w:ascii="Times New Roman" w:hAnsi="Times New Roman" w:cs="Times New Roman"/>
          <w:sz w:val="24"/>
          <w:szCs w:val="24"/>
        </w:rPr>
        <w:t xml:space="preserve"> rather than implement unnecessary and </w:t>
      </w:r>
      <w:r w:rsidR="00D35483">
        <w:rPr>
          <w:rFonts w:ascii="Times New Roman" w:hAnsi="Times New Roman" w:cs="Times New Roman"/>
          <w:sz w:val="24"/>
          <w:szCs w:val="24"/>
        </w:rPr>
        <w:t xml:space="preserve">ill-supported </w:t>
      </w:r>
      <w:r w:rsidR="009023E2">
        <w:rPr>
          <w:rFonts w:ascii="Times New Roman" w:hAnsi="Times New Roman" w:cs="Times New Roman"/>
          <w:sz w:val="24"/>
          <w:szCs w:val="24"/>
        </w:rPr>
        <w:t>preemption of state laws.</w:t>
      </w:r>
      <w:r w:rsidR="00880434">
        <w:rPr>
          <w:rFonts w:ascii="Times New Roman" w:hAnsi="Times New Roman" w:cs="Times New Roman"/>
          <w:sz w:val="24"/>
          <w:szCs w:val="24"/>
        </w:rPr>
        <w:t xml:space="preserve">  </w:t>
      </w:r>
    </w:p>
    <w:p w:rsidR="00B76B77" w:rsidRDefault="00B76B77" w:rsidP="00B76B77">
      <w:pPr>
        <w:tabs>
          <w:tab w:val="left" w:pos="720"/>
        </w:tabs>
        <w:autoSpaceDE w:val="0"/>
        <w:autoSpaceDN w:val="0"/>
        <w:adjustRightInd w:val="0"/>
        <w:spacing w:after="0" w:line="480" w:lineRule="auto"/>
        <w:rPr>
          <w:rFonts w:ascii="Times New Roman" w:hAnsi="Times New Roman" w:cs="Times New Roman"/>
          <w:b/>
          <w:sz w:val="24"/>
          <w:szCs w:val="24"/>
        </w:rPr>
      </w:pPr>
      <w:r w:rsidRPr="00B76B77">
        <w:rPr>
          <w:rFonts w:ascii="Times New Roman" w:hAnsi="Times New Roman" w:cs="Times New Roman"/>
          <w:b/>
          <w:sz w:val="24"/>
          <w:szCs w:val="24"/>
        </w:rPr>
        <w:t>Conclusion</w:t>
      </w:r>
    </w:p>
    <w:p w:rsidR="008E3018" w:rsidRDefault="00B76B77" w:rsidP="00B76B77">
      <w:pPr>
        <w:tabs>
          <w:tab w:val="left" w:pos="720"/>
        </w:tabs>
        <w:autoSpaceDE w:val="0"/>
        <w:autoSpaceDN w:val="0"/>
        <w:adjustRightInd w:val="0"/>
        <w:spacing w:after="0" w:line="480" w:lineRule="auto"/>
        <w:rPr>
          <w:rFonts w:ascii="Times New Roman" w:hAnsi="Times New Roman" w:cs="Times New Roman"/>
          <w:sz w:val="24"/>
          <w:szCs w:val="24"/>
        </w:rPr>
      </w:pPr>
      <w:r w:rsidRPr="00B76B77">
        <w:rPr>
          <w:rFonts w:ascii="Times New Roman" w:hAnsi="Times New Roman" w:cs="Times New Roman"/>
          <w:sz w:val="24"/>
          <w:szCs w:val="24"/>
        </w:rPr>
        <w:lastRenderedPageBreak/>
        <w:tab/>
      </w:r>
      <w:r w:rsidR="007B6C5C" w:rsidRPr="00DD45F7">
        <w:rPr>
          <w:rFonts w:ascii="Times New Roman" w:hAnsi="Times New Roman" w:cs="Times New Roman"/>
          <w:sz w:val="24"/>
          <w:szCs w:val="24"/>
        </w:rPr>
        <w:t xml:space="preserve">The Pa. PUC </w:t>
      </w:r>
      <w:r w:rsidR="00F137E9">
        <w:rPr>
          <w:rFonts w:ascii="Times New Roman" w:hAnsi="Times New Roman" w:cs="Times New Roman"/>
          <w:sz w:val="24"/>
          <w:szCs w:val="24"/>
        </w:rPr>
        <w:t xml:space="preserve">supports </w:t>
      </w:r>
      <w:r w:rsidR="007B6C5C" w:rsidRPr="00DD45F7">
        <w:rPr>
          <w:rFonts w:ascii="Times New Roman" w:hAnsi="Times New Roman" w:cs="Times New Roman"/>
          <w:sz w:val="24"/>
          <w:szCs w:val="24"/>
        </w:rPr>
        <w:t>the Commission’s efforts to ensure its rules allow carriers to invest in modern networks.  However, the Pa. PUC agrees</w:t>
      </w:r>
      <w:r w:rsidR="007B6C5C">
        <w:rPr>
          <w:rFonts w:ascii="Times New Roman" w:hAnsi="Times New Roman" w:cs="Times New Roman"/>
          <w:sz w:val="24"/>
          <w:szCs w:val="24"/>
        </w:rPr>
        <w:t xml:space="preserve"> with</w:t>
      </w:r>
      <w:r w:rsidR="007B6C5C" w:rsidRPr="00DD45F7">
        <w:rPr>
          <w:rFonts w:ascii="Times New Roman" w:hAnsi="Times New Roman" w:cs="Times New Roman"/>
          <w:sz w:val="24"/>
          <w:szCs w:val="24"/>
        </w:rPr>
        <w:t xml:space="preserve"> th</w:t>
      </w:r>
      <w:r w:rsidR="00617378">
        <w:rPr>
          <w:rFonts w:ascii="Times New Roman" w:hAnsi="Times New Roman" w:cs="Times New Roman"/>
          <w:sz w:val="24"/>
          <w:szCs w:val="24"/>
        </w:rPr>
        <w:t>os</w:t>
      </w:r>
      <w:r w:rsidR="007B6C5C" w:rsidRPr="00DD45F7">
        <w:rPr>
          <w:rFonts w:ascii="Times New Roman" w:hAnsi="Times New Roman" w:cs="Times New Roman"/>
          <w:sz w:val="24"/>
          <w:szCs w:val="24"/>
        </w:rPr>
        <w:t xml:space="preserve">e comments submitted in response to the </w:t>
      </w:r>
      <w:r w:rsidR="007B6C5C" w:rsidRPr="00DD45F7">
        <w:rPr>
          <w:rFonts w:ascii="Times New Roman" w:hAnsi="Times New Roman" w:cs="Times New Roman"/>
          <w:i/>
          <w:sz w:val="24"/>
          <w:szCs w:val="24"/>
        </w:rPr>
        <w:t>FNPRM</w:t>
      </w:r>
      <w:r w:rsidR="007B6C5C" w:rsidRPr="00DD45F7">
        <w:rPr>
          <w:rFonts w:ascii="Times New Roman" w:hAnsi="Times New Roman" w:cs="Times New Roman"/>
          <w:sz w:val="24"/>
          <w:szCs w:val="24"/>
        </w:rPr>
        <w:t xml:space="preserve"> that </w:t>
      </w:r>
      <w:r w:rsidR="00617378">
        <w:rPr>
          <w:rFonts w:ascii="Times New Roman" w:hAnsi="Times New Roman" w:cs="Times New Roman"/>
          <w:sz w:val="24"/>
          <w:szCs w:val="24"/>
        </w:rPr>
        <w:t xml:space="preserve">assert that while </w:t>
      </w:r>
      <w:r w:rsidR="007B6C5C" w:rsidRPr="00DD45F7">
        <w:rPr>
          <w:rFonts w:ascii="Times New Roman" w:hAnsi="Times New Roman" w:cs="Times New Roman"/>
          <w:sz w:val="24"/>
          <w:szCs w:val="24"/>
        </w:rPr>
        <w:t>accelerating technology transitions and encouraging investment in next-generation networks is laudable, the Commission should remain mindful of balancing its desire to minimize the burden of transitioning from legacy to next-generation technologies with its responsibility to protect the needs of consumers</w:t>
      </w:r>
      <w:r w:rsidR="00F137E9">
        <w:rPr>
          <w:rFonts w:ascii="Times New Roman" w:hAnsi="Times New Roman" w:cs="Times New Roman"/>
          <w:sz w:val="24"/>
          <w:szCs w:val="24"/>
        </w:rPr>
        <w:t xml:space="preserve"> and to do so in a way that does not preempt state law</w:t>
      </w:r>
      <w:r w:rsidR="007B6C5C" w:rsidRPr="00DD45F7">
        <w:rPr>
          <w:rFonts w:ascii="Times New Roman" w:hAnsi="Times New Roman" w:cs="Times New Roman"/>
          <w:sz w:val="24"/>
          <w:szCs w:val="24"/>
        </w:rPr>
        <w:t xml:space="preserve">.  </w:t>
      </w:r>
    </w:p>
    <w:p w:rsidR="008E3018" w:rsidRDefault="008E3018" w:rsidP="00B76B77">
      <w:pPr>
        <w:tabs>
          <w:tab w:val="left" w:pos="720"/>
        </w:tabs>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r>
      <w:r w:rsidR="00A7580A">
        <w:rPr>
          <w:rFonts w:ascii="Times New Roman" w:hAnsi="Times New Roman" w:cs="Times New Roman"/>
          <w:sz w:val="24"/>
          <w:szCs w:val="24"/>
        </w:rPr>
        <w:t xml:space="preserve">Accordingly, </w:t>
      </w:r>
      <w:r w:rsidR="008F1E7E">
        <w:rPr>
          <w:rFonts w:ascii="Times New Roman" w:hAnsi="Times New Roman" w:cs="Times New Roman"/>
          <w:sz w:val="24"/>
          <w:szCs w:val="24"/>
        </w:rPr>
        <w:t xml:space="preserve">the Commission should not eliminate the </w:t>
      </w:r>
      <w:r w:rsidR="008F1E7E" w:rsidRPr="00DD45F7">
        <w:rPr>
          <w:rFonts w:ascii="Times New Roman" w:hAnsi="Times New Roman" w:cs="Times New Roman"/>
          <w:sz w:val="24"/>
          <w:szCs w:val="24"/>
        </w:rPr>
        <w:t>requirement that wireline carriers provide public notice of network changes affecting the interoperability of customer premises equipment</w:t>
      </w:r>
      <w:r w:rsidR="00A7580A">
        <w:rPr>
          <w:rFonts w:ascii="Times New Roman" w:hAnsi="Times New Roman" w:cs="Times New Roman"/>
          <w:sz w:val="24"/>
          <w:szCs w:val="24"/>
        </w:rPr>
        <w:t xml:space="preserve">, </w:t>
      </w:r>
      <w:r w:rsidR="008F1E7E">
        <w:rPr>
          <w:rFonts w:ascii="Times New Roman" w:hAnsi="Times New Roman" w:cs="Times New Roman"/>
          <w:sz w:val="24"/>
          <w:szCs w:val="24"/>
        </w:rPr>
        <w:t xml:space="preserve">should not eliminate the outreach </w:t>
      </w:r>
      <w:r>
        <w:rPr>
          <w:rFonts w:ascii="Times New Roman" w:hAnsi="Times New Roman" w:cs="Times New Roman"/>
          <w:sz w:val="24"/>
          <w:szCs w:val="24"/>
        </w:rPr>
        <w:t xml:space="preserve">and education </w:t>
      </w:r>
      <w:r w:rsidR="008F1E7E">
        <w:rPr>
          <w:rFonts w:ascii="Times New Roman" w:hAnsi="Times New Roman" w:cs="Times New Roman"/>
          <w:sz w:val="24"/>
          <w:szCs w:val="24"/>
        </w:rPr>
        <w:t xml:space="preserve">requirements in the </w:t>
      </w:r>
      <w:r w:rsidR="008F1E7E">
        <w:rPr>
          <w:rFonts w:ascii="Times New Roman" w:hAnsi="Times New Roman" w:cs="Times New Roman"/>
          <w:i/>
          <w:sz w:val="24"/>
          <w:szCs w:val="24"/>
        </w:rPr>
        <w:t>2016 Technology Transitions Order</w:t>
      </w:r>
      <w:r w:rsidR="00A7580A">
        <w:rPr>
          <w:rFonts w:ascii="Times New Roman" w:hAnsi="Times New Roman" w:cs="Times New Roman"/>
          <w:sz w:val="24"/>
          <w:szCs w:val="24"/>
        </w:rPr>
        <w:t xml:space="preserve">, and should not </w:t>
      </w:r>
      <w:r>
        <w:rPr>
          <w:rFonts w:ascii="Times New Roman" w:hAnsi="Times New Roman" w:cs="Times New Roman"/>
          <w:sz w:val="24"/>
          <w:szCs w:val="24"/>
        </w:rPr>
        <w:t xml:space="preserve">grant forbearance nor </w:t>
      </w:r>
      <w:r w:rsidR="00700A8B">
        <w:rPr>
          <w:rFonts w:ascii="Times New Roman" w:hAnsi="Times New Roman" w:cs="Times New Roman"/>
          <w:sz w:val="24"/>
          <w:szCs w:val="24"/>
        </w:rPr>
        <w:t xml:space="preserve">approve </w:t>
      </w:r>
      <w:r w:rsidR="008F1E7E" w:rsidRPr="00DD45F7">
        <w:rPr>
          <w:rFonts w:ascii="Times New Roman" w:hAnsi="Times New Roman" w:cs="Times New Roman"/>
          <w:sz w:val="24"/>
          <w:szCs w:val="24"/>
        </w:rPr>
        <w:t>streamlin</w:t>
      </w:r>
      <w:r w:rsidR="008F1E7E">
        <w:rPr>
          <w:rFonts w:ascii="Times New Roman" w:hAnsi="Times New Roman" w:cs="Times New Roman"/>
          <w:sz w:val="24"/>
          <w:szCs w:val="24"/>
        </w:rPr>
        <w:t>ing</w:t>
      </w:r>
      <w:r w:rsidR="008F1E7E" w:rsidRPr="00DD45F7">
        <w:rPr>
          <w:rFonts w:ascii="Times New Roman" w:hAnsi="Times New Roman" w:cs="Times New Roman"/>
          <w:sz w:val="24"/>
          <w:szCs w:val="24"/>
        </w:rPr>
        <w:t xml:space="preserve"> the Section 214(a) application process for </w:t>
      </w:r>
      <w:r>
        <w:rPr>
          <w:rFonts w:ascii="Times New Roman" w:hAnsi="Times New Roman" w:cs="Times New Roman"/>
          <w:sz w:val="24"/>
          <w:szCs w:val="24"/>
        </w:rPr>
        <w:t xml:space="preserve">common carrier </w:t>
      </w:r>
      <w:r w:rsidR="008F1E7E" w:rsidRPr="00DD45F7">
        <w:rPr>
          <w:rFonts w:ascii="Times New Roman" w:hAnsi="Times New Roman" w:cs="Times New Roman"/>
          <w:sz w:val="24"/>
          <w:szCs w:val="24"/>
        </w:rPr>
        <w:t xml:space="preserve">legacy </w:t>
      </w:r>
      <w:r w:rsidR="00346AFD">
        <w:rPr>
          <w:rFonts w:ascii="Times New Roman" w:hAnsi="Times New Roman" w:cs="Times New Roman"/>
          <w:sz w:val="24"/>
          <w:szCs w:val="24"/>
        </w:rPr>
        <w:t xml:space="preserve">interstate </w:t>
      </w:r>
      <w:r w:rsidR="008F1E7E" w:rsidRPr="00DD45F7">
        <w:rPr>
          <w:rFonts w:ascii="Times New Roman" w:hAnsi="Times New Roman" w:cs="Times New Roman"/>
          <w:sz w:val="24"/>
          <w:szCs w:val="24"/>
        </w:rPr>
        <w:t xml:space="preserve">voice services </w:t>
      </w:r>
      <w:r w:rsidR="00F137E9">
        <w:rPr>
          <w:rFonts w:ascii="Times New Roman" w:hAnsi="Times New Roman" w:cs="Times New Roman"/>
          <w:sz w:val="24"/>
          <w:szCs w:val="24"/>
        </w:rPr>
        <w:t xml:space="preserve">or facilities used to provide </w:t>
      </w:r>
      <w:r>
        <w:rPr>
          <w:rFonts w:ascii="Times New Roman" w:hAnsi="Times New Roman" w:cs="Times New Roman"/>
          <w:sz w:val="24"/>
          <w:szCs w:val="24"/>
        </w:rPr>
        <w:t xml:space="preserve">that </w:t>
      </w:r>
      <w:r w:rsidR="00F137E9">
        <w:rPr>
          <w:rFonts w:ascii="Times New Roman" w:hAnsi="Times New Roman" w:cs="Times New Roman"/>
          <w:sz w:val="24"/>
          <w:szCs w:val="24"/>
        </w:rPr>
        <w:t xml:space="preserve">service or other services </w:t>
      </w:r>
      <w:r w:rsidR="008F1E7E" w:rsidRPr="00DD45F7">
        <w:rPr>
          <w:rFonts w:ascii="Times New Roman" w:hAnsi="Times New Roman" w:cs="Times New Roman"/>
          <w:sz w:val="24"/>
          <w:szCs w:val="24"/>
        </w:rPr>
        <w:t>based solely on the self-certification of an applicant-carrier</w:t>
      </w:r>
      <w:r w:rsidR="008F1E7E">
        <w:rPr>
          <w:rFonts w:ascii="Times New Roman" w:hAnsi="Times New Roman" w:cs="Times New Roman"/>
          <w:sz w:val="24"/>
          <w:szCs w:val="24"/>
        </w:rPr>
        <w:t xml:space="preserve">.  </w:t>
      </w:r>
    </w:p>
    <w:p w:rsidR="00B76B77" w:rsidRDefault="008E3018" w:rsidP="00B76B77">
      <w:pPr>
        <w:tabs>
          <w:tab w:val="left" w:pos="720"/>
        </w:tabs>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Finally, </w:t>
      </w:r>
      <w:r w:rsidR="00700A8B">
        <w:rPr>
          <w:rFonts w:ascii="Times New Roman" w:hAnsi="Times New Roman" w:cs="Times New Roman"/>
          <w:sz w:val="24"/>
          <w:szCs w:val="24"/>
        </w:rPr>
        <w:t xml:space="preserve">and most importantly, </w:t>
      </w:r>
      <w:r w:rsidR="008F1E7E">
        <w:rPr>
          <w:rFonts w:ascii="Times New Roman" w:hAnsi="Times New Roman" w:cs="Times New Roman"/>
          <w:sz w:val="24"/>
          <w:szCs w:val="24"/>
        </w:rPr>
        <w:t xml:space="preserve">the Commission should not </w:t>
      </w:r>
      <w:r w:rsidR="008F162C">
        <w:rPr>
          <w:rFonts w:ascii="Times New Roman" w:hAnsi="Times New Roman" w:cs="Times New Roman"/>
          <w:sz w:val="24"/>
          <w:szCs w:val="24"/>
        </w:rPr>
        <w:t>attempt</w:t>
      </w:r>
      <w:r w:rsidR="008F1E7E" w:rsidRPr="00627A7F">
        <w:rPr>
          <w:rFonts w:ascii="Times New Roman" w:hAnsi="Times New Roman" w:cs="Times New Roman"/>
          <w:sz w:val="24"/>
          <w:szCs w:val="24"/>
        </w:rPr>
        <w:t xml:space="preserve"> to preempt state or local laws that </w:t>
      </w:r>
      <w:r w:rsidR="005919E3">
        <w:rPr>
          <w:rFonts w:ascii="Times New Roman" w:hAnsi="Times New Roman" w:cs="Times New Roman"/>
          <w:sz w:val="24"/>
          <w:szCs w:val="24"/>
        </w:rPr>
        <w:t xml:space="preserve">purportedly </w:t>
      </w:r>
      <w:r w:rsidR="008F1E7E" w:rsidRPr="00627A7F">
        <w:rPr>
          <w:rFonts w:ascii="Times New Roman" w:hAnsi="Times New Roman" w:cs="Times New Roman"/>
          <w:sz w:val="24"/>
          <w:szCs w:val="24"/>
        </w:rPr>
        <w:t>inhibit restoration of communications infrastructure</w:t>
      </w:r>
      <w:r w:rsidR="008F1E7E">
        <w:rPr>
          <w:rFonts w:ascii="Times New Roman" w:hAnsi="Times New Roman" w:cs="Times New Roman"/>
          <w:sz w:val="24"/>
          <w:szCs w:val="24"/>
        </w:rPr>
        <w:t xml:space="preserve"> after natural disasters</w:t>
      </w:r>
      <w:r w:rsidR="00F137E9">
        <w:rPr>
          <w:rFonts w:ascii="Times New Roman" w:hAnsi="Times New Roman" w:cs="Times New Roman"/>
          <w:sz w:val="24"/>
          <w:szCs w:val="24"/>
        </w:rPr>
        <w:t xml:space="preserve"> and should limit any waiver or decision only to service </w:t>
      </w:r>
      <w:r w:rsidR="00F137E9">
        <w:rPr>
          <w:rFonts w:ascii="Times New Roman" w:hAnsi="Times New Roman" w:cs="Times New Roman"/>
          <w:i/>
          <w:sz w:val="24"/>
          <w:szCs w:val="24"/>
        </w:rPr>
        <w:t xml:space="preserve">restoration </w:t>
      </w:r>
      <w:r w:rsidR="00F137E9">
        <w:rPr>
          <w:rFonts w:ascii="Times New Roman" w:hAnsi="Times New Roman" w:cs="Times New Roman"/>
          <w:sz w:val="24"/>
          <w:szCs w:val="24"/>
        </w:rPr>
        <w:t xml:space="preserve">and not service </w:t>
      </w:r>
      <w:r w:rsidR="00F137E9">
        <w:rPr>
          <w:rFonts w:ascii="Times New Roman" w:hAnsi="Times New Roman" w:cs="Times New Roman"/>
          <w:i/>
          <w:sz w:val="24"/>
          <w:szCs w:val="24"/>
        </w:rPr>
        <w:t>reconstruction</w:t>
      </w:r>
      <w:r w:rsidR="008F1E7E">
        <w:rPr>
          <w:rFonts w:ascii="Times New Roman" w:hAnsi="Times New Roman" w:cs="Times New Roman"/>
          <w:sz w:val="24"/>
          <w:szCs w:val="24"/>
        </w:rPr>
        <w:t>.  Rather, the Commission should continue to work cooperatively with states to help communities rebuild damaged or destroyed</w:t>
      </w:r>
      <w:r>
        <w:rPr>
          <w:rFonts w:ascii="Times New Roman" w:hAnsi="Times New Roman" w:cs="Times New Roman"/>
          <w:sz w:val="24"/>
          <w:szCs w:val="24"/>
        </w:rPr>
        <w:t xml:space="preserve"> communications infrastructure.</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 xml:space="preserve">Respectfully submitted, </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Pennsylvania Public Utility Commission</w:t>
      </w:r>
    </w:p>
    <w:p w:rsidR="00AE718C" w:rsidRPr="00AE718C" w:rsidRDefault="00AE718C" w:rsidP="00AE718C">
      <w:pPr>
        <w:shd w:val="clear" w:color="auto" w:fill="FFFFFF"/>
        <w:spacing w:after="0" w:line="480" w:lineRule="auto"/>
        <w:rPr>
          <w:rFonts w:ascii="Times New Roman" w:hAnsi="Times New Roman" w:cs="Times New Roman"/>
          <w:color w:val="000000"/>
          <w:sz w:val="24"/>
          <w:szCs w:val="24"/>
        </w:rPr>
      </w:pP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u w:val="single"/>
        </w:rPr>
      </w:pPr>
      <w:r w:rsidRPr="00AE718C">
        <w:rPr>
          <w:rFonts w:ascii="Times New Roman" w:hAnsi="Times New Roman" w:cs="Times New Roman"/>
          <w:color w:val="000000"/>
          <w:sz w:val="24"/>
          <w:szCs w:val="24"/>
          <w:u w:val="single"/>
        </w:rPr>
        <w:t xml:space="preserve">/s/ David E. Screven </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David E. Screven, Esquire</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Assistant Counsel</w:t>
      </w:r>
    </w:p>
    <w:p w:rsidR="00AE718C" w:rsidRPr="00AE718C" w:rsidRDefault="00AE718C" w:rsidP="00AE718C">
      <w:pPr>
        <w:shd w:val="clear" w:color="auto" w:fill="FFFFFF"/>
        <w:spacing w:after="0"/>
        <w:rPr>
          <w:rFonts w:ascii="Times New Roman" w:hAnsi="Times New Roman" w:cs="Times New Roman"/>
          <w:color w:val="000000"/>
          <w:sz w:val="24"/>
          <w:szCs w:val="24"/>
        </w:rPr>
      </w:pP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lastRenderedPageBreak/>
        <w:t>Pennsylvania Public Utility Commission</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Commonwealth Keystone Building</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400 North Street</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Harrisburg, PA 17120</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(717) 787-2126</w:t>
      </w:r>
    </w:p>
    <w:p w:rsidR="00AE718C" w:rsidRPr="00AE718C" w:rsidRDefault="00AE718C" w:rsidP="00AE718C">
      <w:pPr>
        <w:shd w:val="clear" w:color="auto" w:fill="FFFFFF"/>
        <w:spacing w:after="0"/>
        <w:ind w:left="3600" w:firstLine="720"/>
        <w:rPr>
          <w:rFonts w:ascii="Times New Roman" w:hAnsi="Times New Roman" w:cs="Times New Roman"/>
          <w:color w:val="000000"/>
          <w:sz w:val="24"/>
          <w:szCs w:val="24"/>
        </w:rPr>
      </w:pPr>
      <w:r w:rsidRPr="00AE718C">
        <w:rPr>
          <w:rFonts w:ascii="Times New Roman" w:hAnsi="Times New Roman" w:cs="Times New Roman"/>
          <w:color w:val="000000"/>
          <w:sz w:val="24"/>
          <w:szCs w:val="24"/>
        </w:rPr>
        <w:t xml:space="preserve">Email: </w:t>
      </w:r>
      <w:hyperlink r:id="rId8" w:history="1">
        <w:r w:rsidRPr="00AE718C">
          <w:rPr>
            <w:rStyle w:val="Hyperlink"/>
            <w:rFonts w:ascii="Times New Roman" w:hAnsi="Times New Roman" w:cs="Times New Roman"/>
            <w:sz w:val="24"/>
            <w:szCs w:val="24"/>
          </w:rPr>
          <w:t>dscreven@pa.gov</w:t>
        </w:r>
      </w:hyperlink>
    </w:p>
    <w:p w:rsidR="00AE718C" w:rsidRPr="00AE718C" w:rsidRDefault="00AE718C" w:rsidP="00AE718C">
      <w:pPr>
        <w:shd w:val="clear" w:color="auto" w:fill="FFFFFF"/>
        <w:spacing w:after="0"/>
        <w:rPr>
          <w:rFonts w:ascii="Times New Roman" w:hAnsi="Times New Roman" w:cs="Times New Roman"/>
          <w:color w:val="000000"/>
          <w:sz w:val="24"/>
          <w:szCs w:val="24"/>
        </w:rPr>
      </w:pPr>
    </w:p>
    <w:p w:rsidR="00172730" w:rsidRPr="00B76B77" w:rsidRDefault="00AE718C" w:rsidP="008E3018">
      <w:pPr>
        <w:shd w:val="clear" w:color="auto" w:fill="FFFFFF"/>
        <w:spacing w:after="0"/>
        <w:rPr>
          <w:rFonts w:ascii="Times New Roman" w:hAnsi="Times New Roman" w:cs="Times New Roman"/>
          <w:sz w:val="24"/>
          <w:szCs w:val="24"/>
        </w:rPr>
      </w:pPr>
      <w:r w:rsidRPr="00AE718C">
        <w:rPr>
          <w:rFonts w:ascii="Times New Roman" w:hAnsi="Times New Roman" w:cs="Times New Roman"/>
          <w:color w:val="000000"/>
          <w:sz w:val="24"/>
          <w:szCs w:val="24"/>
        </w:rPr>
        <w:t xml:space="preserve">Dated:   </w:t>
      </w:r>
      <w:r>
        <w:rPr>
          <w:rFonts w:ascii="Times New Roman" w:hAnsi="Times New Roman" w:cs="Times New Roman"/>
          <w:color w:val="000000"/>
          <w:sz w:val="24"/>
          <w:szCs w:val="24"/>
        </w:rPr>
        <w:t>February 16, 2018</w:t>
      </w:r>
    </w:p>
    <w:sectPr w:rsidR="00172730" w:rsidRPr="00B76B77" w:rsidSect="00627A7F">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45A" w:rsidRDefault="00E6345A" w:rsidP="00D82CFB">
      <w:pPr>
        <w:spacing w:after="0" w:line="240" w:lineRule="auto"/>
      </w:pPr>
      <w:r>
        <w:separator/>
      </w:r>
    </w:p>
  </w:endnote>
  <w:endnote w:type="continuationSeparator" w:id="0">
    <w:p w:rsidR="00E6345A" w:rsidRDefault="00E6345A" w:rsidP="00D82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
    <w:altName w:val="MS Mincho"/>
    <w:panose1 w:val="00000000000000000000"/>
    <w:charset w:val="80"/>
    <w:family w:val="auto"/>
    <w:notTrueType/>
    <w:pitch w:val="default"/>
    <w:sig w:usb0="00000003" w:usb1="08070000" w:usb2="00000010" w:usb3="00000000" w:csb0="00020001" w:csb1="00000000"/>
  </w:font>
  <w:font w:name="Century">
    <w:panose1 w:val="02040604050505020304"/>
    <w:charset w:val="00"/>
    <w:family w:val="roman"/>
    <w:pitch w:val="variable"/>
    <w:sig w:usb0="00000287" w:usb1="00000000" w:usb2="00000000" w:usb3="00000000" w:csb0="0000009F" w:csb1="00000000"/>
  </w:font>
  <w:font w:name="TimesNewRoman,BoldItalic">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4032107"/>
      <w:docPartObj>
        <w:docPartGallery w:val="Page Numbers (Bottom of Page)"/>
        <w:docPartUnique/>
      </w:docPartObj>
    </w:sdtPr>
    <w:sdtEndPr>
      <w:rPr>
        <w:rFonts w:ascii="Times New Roman" w:hAnsi="Times New Roman" w:cs="Times New Roman"/>
        <w:noProof/>
      </w:rPr>
    </w:sdtEndPr>
    <w:sdtContent>
      <w:p w:rsidR="00926F93" w:rsidRPr="00627A7F" w:rsidRDefault="00926F93">
        <w:pPr>
          <w:pStyle w:val="Footer"/>
          <w:jc w:val="center"/>
          <w:rPr>
            <w:rFonts w:ascii="Times New Roman" w:hAnsi="Times New Roman" w:cs="Times New Roman"/>
          </w:rPr>
        </w:pPr>
        <w:r w:rsidRPr="00627A7F">
          <w:rPr>
            <w:rFonts w:ascii="Times New Roman" w:hAnsi="Times New Roman" w:cs="Times New Roman"/>
          </w:rPr>
          <w:fldChar w:fldCharType="begin"/>
        </w:r>
        <w:r w:rsidRPr="00627A7F">
          <w:rPr>
            <w:rFonts w:ascii="Times New Roman" w:hAnsi="Times New Roman" w:cs="Times New Roman"/>
          </w:rPr>
          <w:instrText xml:space="preserve"> PAGE   \* MERGEFORMAT </w:instrText>
        </w:r>
        <w:r w:rsidRPr="00627A7F">
          <w:rPr>
            <w:rFonts w:ascii="Times New Roman" w:hAnsi="Times New Roman" w:cs="Times New Roman"/>
          </w:rPr>
          <w:fldChar w:fldCharType="separate"/>
        </w:r>
        <w:r w:rsidR="000B73F5">
          <w:rPr>
            <w:rFonts w:ascii="Times New Roman" w:hAnsi="Times New Roman" w:cs="Times New Roman"/>
            <w:noProof/>
          </w:rPr>
          <w:t>18</w:t>
        </w:r>
        <w:r w:rsidRPr="00627A7F">
          <w:rPr>
            <w:rFonts w:ascii="Times New Roman" w:hAnsi="Times New Roman" w:cs="Times New Roman"/>
            <w:noProof/>
          </w:rPr>
          <w:fldChar w:fldCharType="end"/>
        </w:r>
      </w:p>
    </w:sdtContent>
  </w:sdt>
  <w:p w:rsidR="00926F93" w:rsidRDefault="00926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45A" w:rsidRDefault="00E6345A" w:rsidP="00D82CFB">
      <w:pPr>
        <w:spacing w:after="0" w:line="240" w:lineRule="auto"/>
      </w:pPr>
      <w:r>
        <w:separator/>
      </w:r>
    </w:p>
  </w:footnote>
  <w:footnote w:type="continuationSeparator" w:id="0">
    <w:p w:rsidR="00E6345A" w:rsidRDefault="00E6345A" w:rsidP="00D82CFB">
      <w:pPr>
        <w:spacing w:after="0" w:line="240" w:lineRule="auto"/>
      </w:pPr>
      <w:r>
        <w:continuationSeparator/>
      </w:r>
    </w:p>
  </w:footnote>
  <w:footnote w:id="1">
    <w:p w:rsidR="00685A67" w:rsidRDefault="00926F93" w:rsidP="004E7915">
      <w:pPr>
        <w:pStyle w:val="FootnoteText"/>
        <w:rPr>
          <w:rFonts w:ascii="Times New Roman" w:hAnsi="Times New Roman" w:cs="Times New Roman"/>
          <w:sz w:val="22"/>
          <w:szCs w:val="22"/>
        </w:rPr>
      </w:pPr>
      <w:r>
        <w:rPr>
          <w:rStyle w:val="FootnoteReference"/>
        </w:rPr>
        <w:footnoteRef/>
      </w:r>
      <w:r>
        <w:t xml:space="preserve"> </w:t>
      </w:r>
      <w:r w:rsidRPr="004E7915">
        <w:rPr>
          <w:rFonts w:ascii="Times New Roman" w:hAnsi="Times New Roman" w:cs="Times New Roman"/>
          <w:i/>
          <w:iCs/>
          <w:sz w:val="22"/>
          <w:szCs w:val="22"/>
        </w:rPr>
        <w:t>Accelerating Wireline Broadband Deployment by Removing Barriers to Infrastructure Investment</w:t>
      </w:r>
      <w:r w:rsidRPr="004E7915">
        <w:rPr>
          <w:rFonts w:ascii="Times New Roman" w:hAnsi="Times New Roman" w:cs="Times New Roman"/>
          <w:sz w:val="22"/>
          <w:szCs w:val="22"/>
        </w:rPr>
        <w:t>, WC Docket No. 17-84, FCC 17-154, released November 29, 2017, 82 Fed</w:t>
      </w:r>
      <w:r>
        <w:rPr>
          <w:rFonts w:ascii="Times New Roman" w:hAnsi="Times New Roman" w:cs="Times New Roman"/>
          <w:sz w:val="22"/>
          <w:szCs w:val="22"/>
        </w:rPr>
        <w:t>.</w:t>
      </w:r>
      <w:r w:rsidRPr="004E7915">
        <w:rPr>
          <w:rFonts w:ascii="Times New Roman" w:hAnsi="Times New Roman" w:cs="Times New Roman"/>
          <w:sz w:val="22"/>
          <w:szCs w:val="22"/>
        </w:rPr>
        <w:t xml:space="preserve"> Reg</w:t>
      </w:r>
      <w:r>
        <w:rPr>
          <w:rFonts w:ascii="Times New Roman" w:hAnsi="Times New Roman" w:cs="Times New Roman"/>
          <w:sz w:val="22"/>
          <w:szCs w:val="22"/>
        </w:rPr>
        <w:t>.</w:t>
      </w:r>
      <w:r w:rsidRPr="004E7915">
        <w:rPr>
          <w:rFonts w:ascii="Times New Roman" w:hAnsi="Times New Roman" w:cs="Times New Roman"/>
          <w:sz w:val="22"/>
          <w:szCs w:val="22"/>
        </w:rPr>
        <w:t xml:space="preserve"> 61520 (December 28, 2017) </w:t>
      </w:r>
    </w:p>
    <w:p w:rsidR="00926F93" w:rsidRDefault="00926F93" w:rsidP="004E7915">
      <w:pPr>
        <w:pStyle w:val="FootnoteText"/>
      </w:pPr>
      <w:r w:rsidRPr="004E7915">
        <w:rPr>
          <w:rFonts w:ascii="Times New Roman" w:hAnsi="Times New Roman" w:cs="Times New Roman"/>
          <w:sz w:val="22"/>
          <w:szCs w:val="22"/>
        </w:rPr>
        <w:t>(</w:t>
      </w:r>
      <w:r w:rsidR="00685A67">
        <w:rPr>
          <w:rFonts w:ascii="Times New Roman" w:hAnsi="Times New Roman" w:cs="Times New Roman"/>
          <w:sz w:val="22"/>
          <w:szCs w:val="22"/>
        </w:rPr>
        <w:t xml:space="preserve">“Notice” or </w:t>
      </w:r>
      <w:r>
        <w:rPr>
          <w:rFonts w:ascii="Times New Roman" w:hAnsi="Times New Roman" w:cs="Times New Roman"/>
          <w:sz w:val="22"/>
          <w:szCs w:val="22"/>
        </w:rPr>
        <w:t>“</w:t>
      </w:r>
      <w:r w:rsidRPr="004E7915">
        <w:rPr>
          <w:rFonts w:ascii="Times New Roman" w:hAnsi="Times New Roman" w:cs="Times New Roman"/>
          <w:i/>
          <w:iCs/>
          <w:sz w:val="22"/>
          <w:szCs w:val="22"/>
        </w:rPr>
        <w:t>FNPRM</w:t>
      </w:r>
      <w:r w:rsidRPr="004E7915">
        <w:rPr>
          <w:rFonts w:ascii="Times New Roman" w:hAnsi="Times New Roman" w:cs="Times New Roman"/>
          <w:sz w:val="22"/>
          <w:szCs w:val="22"/>
        </w:rPr>
        <w:t>”).</w:t>
      </w:r>
    </w:p>
  </w:footnote>
  <w:footnote w:id="2">
    <w:p w:rsidR="00685A67" w:rsidRPr="00685A67" w:rsidRDefault="00685A67" w:rsidP="00685A67">
      <w:pPr>
        <w:pStyle w:val="FootnoteText"/>
        <w:rPr>
          <w:sz w:val="22"/>
          <w:szCs w:val="22"/>
        </w:rPr>
      </w:pPr>
      <w:r>
        <w:rPr>
          <w:rStyle w:val="FootnoteReference"/>
        </w:rPr>
        <w:footnoteRef/>
      </w:r>
      <w:r>
        <w:t xml:space="preserve"> </w:t>
      </w:r>
      <w:r w:rsidRPr="00685A67">
        <w:rPr>
          <w:rFonts w:ascii="Times New Roman" w:hAnsi="Times New Roman" w:cs="Times New Roman"/>
          <w:i/>
          <w:iCs/>
          <w:sz w:val="22"/>
          <w:szCs w:val="22"/>
        </w:rPr>
        <w:t>Technology Transitions et al.</w:t>
      </w:r>
      <w:r w:rsidRPr="00685A67">
        <w:rPr>
          <w:rFonts w:ascii="Times New Roman" w:hAnsi="Times New Roman" w:cs="Times New Roman"/>
          <w:sz w:val="22"/>
          <w:szCs w:val="22"/>
        </w:rPr>
        <w:t xml:space="preserve">, 31 FCC Rcd 8283, </w:t>
      </w:r>
      <w:r w:rsidRPr="00685A67">
        <w:rPr>
          <w:rFonts w:ascii="Times New Roman" w:eastAsia="TimesNewRoman" w:hAnsi="Times New Roman" w:cs="Times New Roman"/>
          <w:sz w:val="22"/>
          <w:szCs w:val="22"/>
        </w:rPr>
        <w:t>8348-52, paras. 179-86</w:t>
      </w:r>
      <w:r w:rsidRPr="00685A67">
        <w:rPr>
          <w:rFonts w:ascii="Times New Roman" w:hAnsi="Times New Roman" w:cs="Times New Roman"/>
          <w:sz w:val="22"/>
          <w:szCs w:val="22"/>
        </w:rPr>
        <w:t xml:space="preserve"> (2016) (</w:t>
      </w:r>
      <w:r w:rsidRPr="00685A67">
        <w:rPr>
          <w:rFonts w:ascii="Times New Roman" w:hAnsi="Times New Roman" w:cs="Times New Roman"/>
          <w:i/>
          <w:iCs/>
          <w:sz w:val="22"/>
          <w:szCs w:val="22"/>
        </w:rPr>
        <w:t>2016 Technology Transitions Order</w:t>
      </w:r>
      <w:r w:rsidRPr="00685A67">
        <w:rPr>
          <w:rFonts w:ascii="Times New Roman" w:hAnsi="Times New Roman" w:cs="Times New Roman"/>
          <w:sz w:val="22"/>
          <w:szCs w:val="22"/>
        </w:rPr>
        <w:t>).</w:t>
      </w:r>
    </w:p>
  </w:footnote>
  <w:footnote w:id="3">
    <w:p w:rsidR="00F34B51" w:rsidRPr="00685A67" w:rsidRDefault="00F34B51">
      <w:pPr>
        <w:pStyle w:val="FootnoteText"/>
        <w:rPr>
          <w:sz w:val="22"/>
          <w:szCs w:val="22"/>
        </w:rPr>
      </w:pPr>
      <w:r w:rsidRPr="00685A67">
        <w:rPr>
          <w:rStyle w:val="FootnoteReference"/>
          <w:sz w:val="22"/>
          <w:szCs w:val="22"/>
        </w:rPr>
        <w:footnoteRef/>
      </w:r>
      <w:r w:rsidR="00685A67" w:rsidRPr="00685A67">
        <w:rPr>
          <w:rFonts w:ascii="Times New Roman" w:hAnsi="Times New Roman" w:cs="Times New Roman"/>
          <w:sz w:val="22"/>
          <w:szCs w:val="22"/>
        </w:rPr>
        <w:t xml:space="preserve"> Telecommunications for the Deaf and Hard of Hearing, Inc., Association of Late-Deafened Adults, California Coalition of Agencies Serving the Deaf and Hard of Hearing, Inc., Cerebral Palsy and Deaf Organization, Hearing Loss Association of America, National Association of the Deaf, and American Foundation of the Blind (collectively, “Consumer Groups”).</w:t>
      </w:r>
    </w:p>
  </w:footnote>
  <w:footnote w:id="4">
    <w:p w:rsidR="00F34B51" w:rsidRDefault="00F34B51">
      <w:pPr>
        <w:pStyle w:val="FootnoteText"/>
      </w:pPr>
      <w:r w:rsidRPr="00685A67">
        <w:rPr>
          <w:rStyle w:val="FootnoteReference"/>
          <w:sz w:val="22"/>
          <w:szCs w:val="22"/>
        </w:rPr>
        <w:footnoteRef/>
      </w:r>
      <w:r w:rsidRPr="00685A67">
        <w:rPr>
          <w:sz w:val="22"/>
          <w:szCs w:val="22"/>
        </w:rPr>
        <w:t xml:space="preserve"> </w:t>
      </w:r>
      <w:r w:rsidR="00685A67" w:rsidRPr="00685A67">
        <w:rPr>
          <w:rFonts w:ascii="Times New Roman" w:hAnsi="Times New Roman" w:cs="Times New Roman"/>
          <w:sz w:val="22"/>
          <w:szCs w:val="22"/>
        </w:rPr>
        <w:t>Rehabilitation Engineering Research Center on Technology for the Deaf and Hard of Hearing at Gallaudet University and Rehabilitation Engineering Center on Universal Interface &amp; Information Technology Access, Trace Research &amp; Development Center at the University of Maryland (collectively “RERCs”).</w:t>
      </w:r>
    </w:p>
  </w:footnote>
  <w:footnote w:id="5">
    <w:p w:rsidR="00926F93" w:rsidRPr="00B3290B" w:rsidRDefault="00926F93">
      <w:pPr>
        <w:pStyle w:val="FootnoteText"/>
        <w:rPr>
          <w:rFonts w:ascii="Times New Roman" w:hAnsi="Times New Roman" w:cs="Times New Roman"/>
          <w:sz w:val="22"/>
          <w:szCs w:val="22"/>
        </w:rPr>
      </w:pPr>
      <w:r w:rsidRPr="0033482F">
        <w:rPr>
          <w:rStyle w:val="FootnoteReference"/>
          <w:rFonts w:ascii="Times New Roman" w:hAnsi="Times New Roman" w:cs="Times New Roman"/>
          <w:sz w:val="22"/>
          <w:szCs w:val="22"/>
        </w:rPr>
        <w:footnoteRef/>
      </w:r>
      <w:r w:rsidRPr="0033482F">
        <w:rPr>
          <w:rFonts w:ascii="Times New Roman" w:hAnsi="Times New Roman" w:cs="Times New Roman"/>
          <w:sz w:val="22"/>
          <w:szCs w:val="22"/>
        </w:rPr>
        <w:t xml:space="preserve"> </w:t>
      </w:r>
      <w:r w:rsidR="00B3290B">
        <w:rPr>
          <w:rFonts w:ascii="Times New Roman" w:hAnsi="Times New Roman" w:cs="Times New Roman"/>
          <w:i/>
          <w:sz w:val="22"/>
          <w:szCs w:val="22"/>
        </w:rPr>
        <w:t>Telecommunications Device Distribution Program, Distribution of Wireline Internet Protocol Enabled Devices through Office of Vocational Rehabilitation</w:t>
      </w:r>
      <w:r w:rsidR="00B3290B">
        <w:rPr>
          <w:rFonts w:ascii="Times New Roman" w:hAnsi="Times New Roman" w:cs="Times New Roman"/>
          <w:sz w:val="22"/>
          <w:szCs w:val="22"/>
        </w:rPr>
        <w:t>, Pa. PUC Letter Guidance to Pennsylvania Department of Labor and Industry, July 9, 2014.</w:t>
      </w:r>
    </w:p>
  </w:footnote>
  <w:footnote w:id="6">
    <w:p w:rsidR="00926F93" w:rsidRPr="00421ADD" w:rsidRDefault="00926F93">
      <w:pPr>
        <w:pStyle w:val="FootnoteText"/>
        <w:rPr>
          <w:rFonts w:ascii="Times New Roman" w:hAnsi="Times New Roman" w:cs="Times New Roman"/>
        </w:rPr>
      </w:pPr>
      <w:r w:rsidRPr="00421ADD">
        <w:rPr>
          <w:rStyle w:val="FootnoteReference"/>
          <w:rFonts w:ascii="Times New Roman" w:hAnsi="Times New Roman" w:cs="Times New Roman"/>
        </w:rPr>
        <w:footnoteRef/>
      </w:r>
      <w:r w:rsidRPr="00421ADD">
        <w:rPr>
          <w:rFonts w:ascii="Times New Roman" w:hAnsi="Times New Roman" w:cs="Times New Roman"/>
        </w:rPr>
        <w:t xml:space="preserve"> </w:t>
      </w:r>
      <w:r w:rsidRPr="00685A67">
        <w:rPr>
          <w:rFonts w:ascii="Times New Roman" w:hAnsi="Times New Roman" w:cs="Times New Roman"/>
          <w:sz w:val="22"/>
          <w:szCs w:val="22"/>
        </w:rPr>
        <w:t xml:space="preserve">The Pa. PUC distinction between voice legacy networks and the interstate voice legacy services that may be provided over those networks is evident here.  According to Verizon in its comments, because the Commission’s jurisdiction extends only to interstate services, providers may discontinue or grandfather purely </w:t>
      </w:r>
      <w:r w:rsidRPr="00685A67">
        <w:rPr>
          <w:rFonts w:ascii="Times New Roman" w:hAnsi="Times New Roman" w:cs="Times New Roman"/>
          <w:i/>
          <w:iCs/>
          <w:sz w:val="22"/>
          <w:szCs w:val="22"/>
        </w:rPr>
        <w:t>intra</w:t>
      </w:r>
      <w:r w:rsidRPr="00685A67">
        <w:rPr>
          <w:rFonts w:ascii="Times New Roman" w:hAnsi="Times New Roman" w:cs="Times New Roman"/>
          <w:sz w:val="22"/>
          <w:szCs w:val="22"/>
        </w:rPr>
        <w:t>state services (like local telephone service) without filing a Section 214(a) application.  While the Pa. PUC agrees that our determinations under Chapter 30 as to voice legacy services can occur independent of federal law, the Pa. PUC also notes that retirement of an interstate voice legacy service does not obviate a continuing obligation to comply with state laws regarding the networks that were used to provide that interstate voice legacy</w:t>
      </w:r>
      <w:r w:rsidR="00B3290B" w:rsidRPr="00685A67">
        <w:rPr>
          <w:rFonts w:ascii="Times New Roman" w:hAnsi="Times New Roman" w:cs="Times New Roman"/>
          <w:sz w:val="22"/>
          <w:szCs w:val="22"/>
        </w:rPr>
        <w:t xml:space="preserve"> service.  Because the provision</w:t>
      </w:r>
      <w:r w:rsidRPr="00685A67">
        <w:rPr>
          <w:rFonts w:ascii="Times New Roman" w:hAnsi="Times New Roman" w:cs="Times New Roman"/>
          <w:sz w:val="22"/>
          <w:szCs w:val="22"/>
        </w:rPr>
        <w:t xml:space="preserve"> of interstate and intrastate services often relies on</w:t>
      </w:r>
      <w:r w:rsidR="00B3290B" w:rsidRPr="00685A67">
        <w:rPr>
          <w:rFonts w:ascii="Times New Roman" w:hAnsi="Times New Roman" w:cs="Times New Roman"/>
          <w:sz w:val="22"/>
          <w:szCs w:val="22"/>
        </w:rPr>
        <w:t xml:space="preserve"> the same network facilities, </w:t>
      </w:r>
      <w:r w:rsidRPr="00685A67">
        <w:rPr>
          <w:rFonts w:ascii="Times New Roman" w:hAnsi="Times New Roman" w:cs="Times New Roman"/>
          <w:sz w:val="22"/>
          <w:szCs w:val="22"/>
        </w:rPr>
        <w:t>Verizon</w:t>
      </w:r>
      <w:r w:rsidR="00B3290B" w:rsidRPr="00685A67">
        <w:rPr>
          <w:rFonts w:ascii="Times New Roman" w:hAnsi="Times New Roman" w:cs="Times New Roman"/>
          <w:sz w:val="22"/>
          <w:szCs w:val="22"/>
        </w:rPr>
        <w:t>’s</w:t>
      </w:r>
      <w:r w:rsidRPr="00685A67">
        <w:rPr>
          <w:rFonts w:ascii="Times New Roman" w:hAnsi="Times New Roman" w:cs="Times New Roman"/>
          <w:sz w:val="22"/>
          <w:szCs w:val="22"/>
        </w:rPr>
        <w:t xml:space="preserve"> decision to retire networks and facilities do not obviate the Pa PUC’s authority over the physical networks or facilities used to provide or facilitate service.</w:t>
      </w:r>
      <w:r>
        <w:rPr>
          <w:rFonts w:ascii="Times New Roman" w:hAnsi="Times New Roman" w:cs="Times New Roman"/>
        </w:rPr>
        <w:t xml:space="preserve">  </w:t>
      </w:r>
    </w:p>
  </w:footnote>
  <w:footnote w:id="7">
    <w:p w:rsidR="00926F93" w:rsidRPr="00685A67" w:rsidRDefault="00926F93">
      <w:pPr>
        <w:pStyle w:val="FootnoteText"/>
        <w:rPr>
          <w:sz w:val="22"/>
          <w:szCs w:val="22"/>
        </w:rPr>
      </w:pPr>
      <w:r>
        <w:rPr>
          <w:rStyle w:val="FootnoteReference"/>
        </w:rPr>
        <w:footnoteRef/>
      </w:r>
      <w:r>
        <w:t xml:space="preserve"> </w:t>
      </w:r>
      <w:r w:rsidR="00FD6315" w:rsidRPr="00685A67">
        <w:rPr>
          <w:rFonts w:ascii="Times New Roman" w:hAnsi="Times New Roman" w:cs="Times New Roman"/>
          <w:sz w:val="22"/>
          <w:szCs w:val="22"/>
        </w:rPr>
        <w:t xml:space="preserve">Chapter 30 of the Pennsylvania Public Utility Code, </w:t>
      </w:r>
      <w:r w:rsidRPr="00685A67">
        <w:rPr>
          <w:rFonts w:ascii="Times New Roman" w:hAnsi="Times New Roman" w:cs="Times New Roman"/>
          <w:sz w:val="22"/>
          <w:szCs w:val="22"/>
        </w:rPr>
        <w:t>66 Pa.</w:t>
      </w:r>
      <w:r w:rsidR="00FD6315" w:rsidRPr="00685A67">
        <w:rPr>
          <w:rFonts w:ascii="Times New Roman" w:hAnsi="Times New Roman" w:cs="Times New Roman"/>
          <w:sz w:val="22"/>
          <w:szCs w:val="22"/>
        </w:rPr>
        <w:t xml:space="preserve"> </w:t>
      </w:r>
      <w:r w:rsidRPr="00685A67">
        <w:rPr>
          <w:rFonts w:ascii="Times New Roman" w:hAnsi="Times New Roman" w:cs="Times New Roman"/>
          <w:sz w:val="22"/>
          <w:szCs w:val="22"/>
        </w:rPr>
        <w:t>C.S. §</w:t>
      </w:r>
      <w:r w:rsidR="00FD6315" w:rsidRPr="00685A67">
        <w:rPr>
          <w:rFonts w:ascii="Times New Roman" w:hAnsi="Times New Roman" w:cs="Times New Roman"/>
          <w:sz w:val="22"/>
          <w:szCs w:val="22"/>
        </w:rPr>
        <w:t>§ 3011</w:t>
      </w:r>
      <w:r w:rsidRPr="00685A67">
        <w:rPr>
          <w:rFonts w:ascii="Times New Roman" w:hAnsi="Times New Roman" w:cs="Times New Roman"/>
          <w:sz w:val="22"/>
          <w:szCs w:val="22"/>
        </w:rPr>
        <w:t xml:space="preserve"> </w:t>
      </w:r>
      <w:r w:rsidRPr="00685A67">
        <w:rPr>
          <w:rFonts w:ascii="Times New Roman" w:hAnsi="Times New Roman" w:cs="Times New Roman"/>
          <w:i/>
          <w:sz w:val="22"/>
          <w:szCs w:val="22"/>
        </w:rPr>
        <w:t>et seq</w:t>
      </w:r>
      <w:r w:rsidRPr="00685A67">
        <w:rPr>
          <w:sz w:val="22"/>
          <w:szCs w:val="22"/>
        </w:rPr>
        <w:t xml:space="preserve">. </w:t>
      </w:r>
    </w:p>
  </w:footnote>
  <w:footnote w:id="8">
    <w:p w:rsidR="00926F93" w:rsidRPr="00282D74" w:rsidRDefault="00926F93" w:rsidP="00894FC5">
      <w:pPr>
        <w:spacing w:after="0" w:line="240" w:lineRule="auto"/>
        <w:rPr>
          <w:rFonts w:ascii="Times New Roman" w:hAnsi="Times New Roman" w:cs="Times New Roman"/>
          <w:sz w:val="20"/>
          <w:szCs w:val="20"/>
        </w:rPr>
      </w:pPr>
      <w:r w:rsidRPr="00685A67">
        <w:rPr>
          <w:rStyle w:val="FootnoteReference"/>
          <w:rFonts w:ascii="Times New Roman" w:hAnsi="Times New Roman" w:cs="Times New Roman"/>
        </w:rPr>
        <w:footnoteRef/>
      </w:r>
      <w:r w:rsidRPr="00685A67">
        <w:rPr>
          <w:rFonts w:ascii="Times New Roman" w:hAnsi="Times New Roman" w:cs="Times New Roman"/>
        </w:rPr>
        <w:t xml:space="preserve"> </w:t>
      </w:r>
      <w:r w:rsidRPr="00685A67">
        <w:rPr>
          <w:rFonts w:ascii="Times New Roman" w:eastAsia="Times New Roman" w:hAnsi="Times New Roman" w:cs="Times New Roman"/>
          <w:color w:val="000000"/>
        </w:rPr>
        <w:t xml:space="preserve">On February 26, 2015, the Pa. PUC entered an order at Docket Nos. </w:t>
      </w:r>
      <w:r w:rsidRPr="00685A67">
        <w:rPr>
          <w:rFonts w:ascii="Times New Roman" w:hAnsi="Times New Roman" w:cs="Times New Roman"/>
        </w:rPr>
        <w:t>P-2014-2446303</w:t>
      </w:r>
      <w:r w:rsidRPr="00685A67">
        <w:rPr>
          <w:rFonts w:ascii="Times New Roman" w:eastAsia="Times New Roman" w:hAnsi="Times New Roman" w:cs="Times New Roman"/>
          <w:color w:val="000000"/>
        </w:rPr>
        <w:t xml:space="preserve"> and</w:t>
      </w:r>
      <w:r w:rsidRPr="00685A67">
        <w:rPr>
          <w:rFonts w:ascii="Times New Roman" w:hAnsi="Times New Roman" w:cs="Times New Roman"/>
        </w:rPr>
        <w:t xml:space="preserve"> P-2014-2446304 </w:t>
      </w:r>
      <w:r w:rsidRPr="00685A67">
        <w:rPr>
          <w:rFonts w:ascii="Times New Roman" w:eastAsia="Times New Roman" w:hAnsi="Times New Roman" w:cs="Times New Roman"/>
          <w:color w:val="000000"/>
        </w:rPr>
        <w:t>granting in part a petition filed by Verizon North LLC and Verizon Pennsylvania LLC and declaring stand-alone basic local telephone service to be competitive in 153 of the 194 Verizon wire centers in Pennsylvania for which Verizon sought a competitive determination under state law.  The reclassification means that in those 153 wire centers, basic service is no longer a tariffed service, and Verizon has pricing flexibility with the service.  </w:t>
      </w:r>
      <w:r w:rsidRPr="00685A67">
        <w:rPr>
          <w:rFonts w:ascii="Times New Roman" w:hAnsi="Times New Roman" w:cs="Times New Roman"/>
        </w:rPr>
        <w:t xml:space="preserve">In making its decision, the Commission relied on record evidence that in the 153 wire centers, the voice services offered by competing providers, including wireless providers, </w:t>
      </w:r>
      <w:r w:rsidR="00FD6315" w:rsidRPr="00685A67">
        <w:rPr>
          <w:rFonts w:ascii="Times New Roman" w:hAnsi="Times New Roman" w:cs="Times New Roman"/>
        </w:rPr>
        <w:t>was</w:t>
      </w:r>
      <w:r w:rsidRPr="00685A67">
        <w:rPr>
          <w:rFonts w:ascii="Times New Roman" w:hAnsi="Times New Roman" w:cs="Times New Roman"/>
        </w:rPr>
        <w:t xml:space="preserve"> “</w:t>
      </w:r>
      <w:r w:rsidRPr="00685A67">
        <w:rPr>
          <w:rFonts w:ascii="Times New Roman" w:hAnsi="Times New Roman" w:cs="Times New Roman"/>
          <w:i/>
          <w:iCs/>
        </w:rPr>
        <w:t>similar enough</w:t>
      </w:r>
      <w:r w:rsidRPr="00685A67">
        <w:rPr>
          <w:rFonts w:ascii="Times New Roman" w:hAnsi="Times New Roman" w:cs="Times New Roman"/>
        </w:rPr>
        <w:t xml:space="preserve">” that consumers were willing and able to switch to them.  </w:t>
      </w:r>
      <w:r w:rsidR="00FD6315" w:rsidRPr="00685A67">
        <w:rPr>
          <w:rFonts w:ascii="Times New Roman" w:eastAsia="Times New Roman" w:hAnsi="Times New Roman" w:cs="Times New Roman"/>
          <w:color w:val="000000"/>
        </w:rPr>
        <w:t xml:space="preserve">Specifically, for residential customers, the 153 wire centers represented areas where there was 100% wireless coverage by non-Verizon affiliated companies and represented areas where at least 97% of households had access to cable telephony.  </w:t>
      </w:r>
      <w:r w:rsidR="00FD6315" w:rsidRPr="00685A67">
        <w:rPr>
          <w:rFonts w:ascii="Times New Roman" w:hAnsi="Times New Roman" w:cs="Times New Roman"/>
        </w:rPr>
        <w:t>T</w:t>
      </w:r>
      <w:r w:rsidRPr="00685A67">
        <w:rPr>
          <w:rFonts w:ascii="Times New Roman" w:hAnsi="Times New Roman" w:cs="Times New Roman"/>
        </w:rPr>
        <w:t xml:space="preserve">herefore, the Commission found these services to be like or substitute services to basic local exchange service, which was a statutory prerequisite for declaring a service to be competitive.  </w:t>
      </w:r>
      <w:r w:rsidRPr="00685A67">
        <w:rPr>
          <w:rFonts w:ascii="Times New Roman" w:eastAsia="Times New Roman" w:hAnsi="Times New Roman" w:cs="Times New Roman"/>
          <w:color w:val="000000"/>
        </w:rPr>
        <w:t>Moreover, the record evidence relied on showed with granularity on a per-wire center basis that basic service customers not only had access to sufficient competitive voice alternatives in the form of cable telephony, wireless, and competitive local exchange carriers (the latter in particular for business customers), but also were actually availing themselves of those alternatives.</w:t>
      </w:r>
      <w:r w:rsidRPr="00D26AC2">
        <w:rPr>
          <w:rFonts w:ascii="Times New Roman" w:eastAsia="Times New Roman" w:hAnsi="Times New Roman" w:cs="Times New Roman"/>
          <w:color w:val="000000"/>
          <w:sz w:val="20"/>
          <w:szCs w:val="20"/>
        </w:rPr>
        <w:t xml:space="preserve">  </w:t>
      </w:r>
    </w:p>
    <w:p w:rsidR="00926F93" w:rsidRDefault="00926F93" w:rsidP="00894FC5">
      <w:pPr>
        <w:pStyle w:val="FootnoteText"/>
      </w:pPr>
    </w:p>
  </w:footnote>
  <w:footnote w:id="9">
    <w:p w:rsidR="00926F93" w:rsidRDefault="00926F93">
      <w:pPr>
        <w:pStyle w:val="FootnoteText"/>
      </w:pPr>
      <w:r>
        <w:rPr>
          <w:rStyle w:val="FootnoteReference"/>
        </w:rPr>
        <w:footnoteRef/>
      </w:r>
      <w:r>
        <w:t xml:space="preserve"> </w:t>
      </w:r>
      <w:r w:rsidRPr="00685A67">
        <w:rPr>
          <w:rFonts w:ascii="Times New Roman" w:hAnsi="Times New Roman" w:cs="Times New Roman"/>
          <w:sz w:val="22"/>
          <w:szCs w:val="22"/>
        </w:rPr>
        <w:t xml:space="preserve">The Pa. PUC believes this approach is evidenced in footnote 3 of the </w:t>
      </w:r>
      <w:r w:rsidRPr="00685A67">
        <w:rPr>
          <w:rFonts w:ascii="Times New Roman" w:hAnsi="Times New Roman" w:cs="Times New Roman"/>
          <w:i/>
          <w:sz w:val="22"/>
          <w:szCs w:val="22"/>
        </w:rPr>
        <w:t>April 2017 Voice Telephone Services Report</w:t>
      </w:r>
      <w:r w:rsidRPr="00685A67">
        <w:rPr>
          <w:rFonts w:ascii="Times New Roman" w:hAnsi="Times New Roman" w:cs="Times New Roman"/>
          <w:sz w:val="22"/>
          <w:szCs w:val="22"/>
        </w:rPr>
        <w:t xml:space="preserve">, the FCC itself acknowledged that “the presentation of mobile wireless telephone subscriber counts in this report does not constitute, or imply, Commission analysis of the extent to which wireline and mobile wireless telephone services are demand substitutes or complements in general or in any particular situation.”  </w:t>
      </w:r>
      <w:r w:rsidRPr="00685A67">
        <w:rPr>
          <w:rFonts w:ascii="Times New Roman" w:hAnsi="Times New Roman" w:cs="Times New Roman"/>
          <w:bCs/>
          <w:i/>
          <w:sz w:val="22"/>
          <w:szCs w:val="22"/>
        </w:rPr>
        <w:t>Voice Telephone Services: Status as of June 30, 2016</w:t>
      </w:r>
      <w:r w:rsidRPr="00685A67">
        <w:rPr>
          <w:rFonts w:ascii="Times New Roman" w:hAnsi="Times New Roman" w:cs="Times New Roman"/>
          <w:b/>
          <w:bCs/>
          <w:sz w:val="22"/>
          <w:szCs w:val="22"/>
        </w:rPr>
        <w:t xml:space="preserve"> </w:t>
      </w:r>
      <w:r w:rsidRPr="00685A67">
        <w:rPr>
          <w:rFonts w:ascii="Times New Roman" w:hAnsi="Times New Roman" w:cs="Times New Roman"/>
          <w:bCs/>
          <w:sz w:val="22"/>
          <w:szCs w:val="22"/>
        </w:rPr>
        <w:t>(April 2017)</w:t>
      </w:r>
      <w:r w:rsidRPr="00685A67">
        <w:rPr>
          <w:rFonts w:ascii="Times New Roman" w:hAnsi="Times New Roman" w:cs="Times New Roman"/>
          <w:b/>
          <w:bCs/>
          <w:sz w:val="22"/>
          <w:szCs w:val="22"/>
        </w:rPr>
        <w:t xml:space="preserve"> </w:t>
      </w:r>
      <w:r w:rsidRPr="00685A67">
        <w:rPr>
          <w:rFonts w:ascii="Times New Roman" w:hAnsi="Times New Roman" w:cs="Times New Roman"/>
          <w:sz w:val="22"/>
          <w:szCs w:val="22"/>
        </w:rPr>
        <w:t>at 4, fn 3. (</w:t>
      </w:r>
      <w:r w:rsidRPr="00685A67">
        <w:rPr>
          <w:rFonts w:ascii="Times New Roman" w:hAnsi="Times New Roman" w:cs="Times New Roman"/>
          <w:i/>
          <w:sz w:val="22"/>
          <w:szCs w:val="22"/>
        </w:rPr>
        <w:t>April</w:t>
      </w:r>
      <w:r w:rsidRPr="00685A67">
        <w:rPr>
          <w:rFonts w:ascii="Times New Roman" w:hAnsi="Times New Roman" w:cs="Times New Roman"/>
          <w:sz w:val="22"/>
          <w:szCs w:val="22"/>
        </w:rPr>
        <w:t xml:space="preserve"> </w:t>
      </w:r>
      <w:r w:rsidRPr="00685A67">
        <w:rPr>
          <w:rFonts w:ascii="Times New Roman" w:hAnsi="Times New Roman" w:cs="Times New Roman"/>
          <w:i/>
          <w:sz w:val="22"/>
          <w:szCs w:val="22"/>
        </w:rPr>
        <w:t>2017 Voice Telephone Services Report</w:t>
      </w:r>
      <w:r w:rsidRPr="00685A67">
        <w:rPr>
          <w:rFonts w:ascii="Times New Roman" w:hAnsi="Times New Roman" w:cs="Times New Roman"/>
          <w:sz w:val="22"/>
          <w:szCs w:val="22"/>
        </w:rPr>
        <w:t>).</w:t>
      </w:r>
      <w:r>
        <w:rPr>
          <w:rFonts w:ascii="Times New Roman" w:hAnsi="Times New Roman" w:cs="Times New Roman"/>
          <w:sz w:val="24"/>
          <w:szCs w:val="24"/>
        </w:rPr>
        <w:t xml:space="preserve">  </w:t>
      </w:r>
    </w:p>
  </w:footnote>
  <w:footnote w:id="10">
    <w:p w:rsidR="00926F93" w:rsidRPr="002C1055" w:rsidRDefault="00926F93">
      <w:pPr>
        <w:pStyle w:val="FootnoteText"/>
      </w:pPr>
      <w:r>
        <w:rPr>
          <w:rStyle w:val="FootnoteReference"/>
        </w:rPr>
        <w:footnoteRef/>
      </w:r>
      <w:r>
        <w:t xml:space="preserve"> </w:t>
      </w:r>
      <w:r w:rsidRPr="00685A67">
        <w:rPr>
          <w:rFonts w:ascii="Times New Roman" w:hAnsi="Times New Roman" w:cs="Times New Roman"/>
          <w:sz w:val="22"/>
          <w:szCs w:val="22"/>
        </w:rPr>
        <w:t xml:space="preserve">Assuming otherwise, </w:t>
      </w:r>
      <w:r w:rsidRPr="00685A67">
        <w:rPr>
          <w:rFonts w:ascii="Times New Roman" w:hAnsi="Times New Roman" w:cs="Times New Roman"/>
          <w:i/>
          <w:sz w:val="22"/>
          <w:szCs w:val="22"/>
        </w:rPr>
        <w:t xml:space="preserve">arguendo, </w:t>
      </w:r>
      <w:r w:rsidRPr="00685A67">
        <w:rPr>
          <w:rFonts w:ascii="Times New Roman" w:hAnsi="Times New Roman" w:cs="Times New Roman"/>
          <w:sz w:val="22"/>
          <w:szCs w:val="22"/>
        </w:rPr>
        <w:t xml:space="preserve">the FCC must limit any decision to service </w:t>
      </w:r>
      <w:r w:rsidRPr="00685A67">
        <w:rPr>
          <w:rFonts w:ascii="Times New Roman" w:hAnsi="Times New Roman" w:cs="Times New Roman"/>
          <w:i/>
          <w:sz w:val="22"/>
          <w:szCs w:val="22"/>
        </w:rPr>
        <w:t xml:space="preserve">restoration </w:t>
      </w:r>
      <w:r w:rsidRPr="00685A67">
        <w:rPr>
          <w:rFonts w:ascii="Times New Roman" w:hAnsi="Times New Roman" w:cs="Times New Roman"/>
          <w:sz w:val="22"/>
          <w:szCs w:val="22"/>
        </w:rPr>
        <w:t xml:space="preserve">as opposed to service </w:t>
      </w:r>
      <w:r w:rsidRPr="00685A67">
        <w:rPr>
          <w:rFonts w:ascii="Times New Roman" w:hAnsi="Times New Roman" w:cs="Times New Roman"/>
          <w:i/>
          <w:sz w:val="22"/>
          <w:szCs w:val="22"/>
        </w:rPr>
        <w:t xml:space="preserve">reconstruction.  </w:t>
      </w:r>
      <w:r w:rsidRPr="00685A67">
        <w:rPr>
          <w:rFonts w:ascii="Times New Roman" w:hAnsi="Times New Roman" w:cs="Times New Roman"/>
          <w:sz w:val="22"/>
          <w:szCs w:val="22"/>
        </w:rPr>
        <w:t xml:space="preserve">A waiver needed for service </w:t>
      </w:r>
      <w:r w:rsidRPr="00685A67">
        <w:rPr>
          <w:rFonts w:ascii="Times New Roman" w:hAnsi="Times New Roman" w:cs="Times New Roman"/>
          <w:i/>
          <w:sz w:val="22"/>
          <w:szCs w:val="22"/>
        </w:rPr>
        <w:t xml:space="preserve">restoration </w:t>
      </w:r>
      <w:r w:rsidRPr="00685A67">
        <w:rPr>
          <w:rFonts w:ascii="Times New Roman" w:hAnsi="Times New Roman" w:cs="Times New Roman"/>
          <w:sz w:val="22"/>
          <w:szCs w:val="22"/>
        </w:rPr>
        <w:t xml:space="preserve">is a short-term action taken </w:t>
      </w:r>
      <w:r w:rsidR="00811448" w:rsidRPr="00685A67">
        <w:rPr>
          <w:rFonts w:ascii="Times New Roman" w:hAnsi="Times New Roman" w:cs="Times New Roman"/>
          <w:sz w:val="22"/>
          <w:szCs w:val="22"/>
        </w:rPr>
        <w:t xml:space="preserve">in response to </w:t>
      </w:r>
      <w:r w:rsidRPr="00685A67">
        <w:rPr>
          <w:rFonts w:ascii="Times New Roman" w:hAnsi="Times New Roman" w:cs="Times New Roman"/>
          <w:sz w:val="22"/>
          <w:szCs w:val="22"/>
        </w:rPr>
        <w:t xml:space="preserve">an emergency.  It is not a </w:t>
      </w:r>
      <w:r w:rsidR="00811448" w:rsidRPr="00685A67">
        <w:rPr>
          <w:rFonts w:ascii="Times New Roman" w:hAnsi="Times New Roman" w:cs="Times New Roman"/>
          <w:sz w:val="22"/>
          <w:szCs w:val="22"/>
        </w:rPr>
        <w:t xml:space="preserve">waiver </w:t>
      </w:r>
      <w:r w:rsidRPr="00685A67">
        <w:rPr>
          <w:rFonts w:ascii="Times New Roman" w:hAnsi="Times New Roman" w:cs="Times New Roman"/>
          <w:sz w:val="22"/>
          <w:szCs w:val="22"/>
        </w:rPr>
        <w:t xml:space="preserve">governing a longer-term period needed for service </w:t>
      </w:r>
      <w:r w:rsidRPr="00685A67">
        <w:rPr>
          <w:rFonts w:ascii="Times New Roman" w:hAnsi="Times New Roman" w:cs="Times New Roman"/>
          <w:i/>
          <w:sz w:val="22"/>
          <w:szCs w:val="22"/>
        </w:rPr>
        <w:t xml:space="preserve">reconstruction.  </w:t>
      </w:r>
      <w:r w:rsidR="008E3018" w:rsidRPr="00685A67">
        <w:rPr>
          <w:rFonts w:ascii="Times New Roman" w:hAnsi="Times New Roman" w:cs="Times New Roman"/>
          <w:sz w:val="22"/>
          <w:szCs w:val="22"/>
        </w:rPr>
        <w:t>In the 2017</w:t>
      </w:r>
      <w:r w:rsidRPr="00685A67">
        <w:rPr>
          <w:rFonts w:ascii="Times New Roman" w:hAnsi="Times New Roman" w:cs="Times New Roman"/>
          <w:sz w:val="22"/>
          <w:szCs w:val="22"/>
        </w:rPr>
        <w:t xml:space="preserve"> </w:t>
      </w:r>
      <w:r w:rsidR="008E3018" w:rsidRPr="00685A67">
        <w:rPr>
          <w:rFonts w:ascii="Times New Roman" w:hAnsi="Times New Roman" w:cs="Times New Roman"/>
          <w:sz w:val="22"/>
          <w:szCs w:val="22"/>
        </w:rPr>
        <w:t>h</w:t>
      </w:r>
      <w:r w:rsidRPr="00685A67">
        <w:rPr>
          <w:rFonts w:ascii="Times New Roman" w:hAnsi="Times New Roman" w:cs="Times New Roman"/>
          <w:sz w:val="22"/>
          <w:szCs w:val="22"/>
        </w:rPr>
        <w:t>urricane</w:t>
      </w:r>
      <w:r w:rsidR="008E3018" w:rsidRPr="00685A67">
        <w:rPr>
          <w:rFonts w:ascii="Times New Roman" w:hAnsi="Times New Roman" w:cs="Times New Roman"/>
          <w:sz w:val="22"/>
          <w:szCs w:val="22"/>
        </w:rPr>
        <w:t>s,</w:t>
      </w:r>
      <w:r w:rsidRPr="00685A67">
        <w:rPr>
          <w:rFonts w:ascii="Times New Roman" w:hAnsi="Times New Roman" w:cs="Times New Roman"/>
          <w:sz w:val="22"/>
          <w:szCs w:val="22"/>
        </w:rPr>
        <w:t xml:space="preserve"> Harvey, Irma, and Marie, for example, the FCC waived rules governing the short-term dispensation of federal universal service support for the Virgin Islands.  This waiver was focused on the </w:t>
      </w:r>
      <w:r w:rsidRPr="00685A67">
        <w:rPr>
          <w:rFonts w:ascii="Times New Roman" w:hAnsi="Times New Roman" w:cs="Times New Roman"/>
          <w:i/>
          <w:sz w:val="22"/>
          <w:szCs w:val="22"/>
        </w:rPr>
        <w:t xml:space="preserve">restoration </w:t>
      </w:r>
      <w:r w:rsidRPr="00685A67">
        <w:rPr>
          <w:rFonts w:ascii="Times New Roman" w:hAnsi="Times New Roman" w:cs="Times New Roman"/>
          <w:sz w:val="22"/>
          <w:szCs w:val="22"/>
        </w:rPr>
        <w:t xml:space="preserve">of service.  This was not a longer-term waiver governing disbursement of all future USF disbursements provided to facilitate </w:t>
      </w:r>
      <w:r w:rsidRPr="00685A67">
        <w:rPr>
          <w:rFonts w:ascii="Times New Roman" w:hAnsi="Times New Roman" w:cs="Times New Roman"/>
          <w:i/>
          <w:sz w:val="22"/>
          <w:szCs w:val="22"/>
        </w:rPr>
        <w:t xml:space="preserve">reconstruction.  </w:t>
      </w:r>
      <w:r w:rsidRPr="00685A67">
        <w:rPr>
          <w:rFonts w:ascii="Times New Roman" w:hAnsi="Times New Roman" w:cs="Times New Roman"/>
          <w:sz w:val="22"/>
          <w:szCs w:val="22"/>
        </w:rPr>
        <w:t>Waivers for dire short</w:t>
      </w:r>
      <w:r w:rsidR="00685A67">
        <w:rPr>
          <w:rFonts w:ascii="Times New Roman" w:hAnsi="Times New Roman" w:cs="Times New Roman"/>
          <w:sz w:val="22"/>
          <w:szCs w:val="22"/>
        </w:rPr>
        <w:t>-</w:t>
      </w:r>
      <w:r w:rsidRPr="00685A67">
        <w:rPr>
          <w:rFonts w:ascii="Times New Roman" w:hAnsi="Times New Roman" w:cs="Times New Roman"/>
          <w:sz w:val="22"/>
          <w:szCs w:val="22"/>
        </w:rPr>
        <w:t xml:space="preserve">term emergency for service </w:t>
      </w:r>
      <w:r w:rsidRPr="00685A67">
        <w:rPr>
          <w:rFonts w:ascii="Times New Roman" w:hAnsi="Times New Roman" w:cs="Times New Roman"/>
          <w:i/>
          <w:sz w:val="22"/>
          <w:szCs w:val="22"/>
        </w:rPr>
        <w:t xml:space="preserve">restoration </w:t>
      </w:r>
      <w:r w:rsidRPr="00685A67">
        <w:rPr>
          <w:rFonts w:ascii="Times New Roman" w:hAnsi="Times New Roman" w:cs="Times New Roman"/>
          <w:sz w:val="22"/>
          <w:szCs w:val="22"/>
        </w:rPr>
        <w:t xml:space="preserve">is not the same thing as a waiver for longer-term, and more focused, </w:t>
      </w:r>
      <w:r w:rsidRPr="00685A67">
        <w:rPr>
          <w:rFonts w:ascii="Times New Roman" w:hAnsi="Times New Roman" w:cs="Times New Roman"/>
          <w:i/>
          <w:sz w:val="22"/>
          <w:szCs w:val="22"/>
        </w:rPr>
        <w:t>reconstruction</w:t>
      </w:r>
      <w:r w:rsidRPr="00685A67">
        <w:rPr>
          <w:rFonts w:ascii="Times New Roman" w:hAnsi="Times New Roman" w:cs="Times New Roman"/>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E0206"/>
    <w:multiLevelType w:val="hybridMultilevel"/>
    <w:tmpl w:val="76B0B54C"/>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38986E07"/>
    <w:multiLevelType w:val="hybridMultilevel"/>
    <w:tmpl w:val="C3BA46CE"/>
    <w:lvl w:ilvl="0" w:tplc="C1D20FB0">
      <w:start w:val="1"/>
      <w:numFmt w:val="upperLetter"/>
      <w:lvlText w:val="%1."/>
      <w:lvlJc w:val="left"/>
      <w:pPr>
        <w:ind w:left="720" w:hanging="360"/>
      </w:pPr>
      <w:rPr>
        <w:rFonts w:ascii="TimesNewRoman,Bold" w:hAnsi="TimesNewRoman,Bold" w:cs="TimesNewRoman,Bold"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9910F5"/>
    <w:multiLevelType w:val="hybridMultilevel"/>
    <w:tmpl w:val="E0525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211"/>
    <w:rsid w:val="00005BE0"/>
    <w:rsid w:val="00015529"/>
    <w:rsid w:val="00015E0C"/>
    <w:rsid w:val="000238EA"/>
    <w:rsid w:val="00024BF3"/>
    <w:rsid w:val="00031996"/>
    <w:rsid w:val="00034F03"/>
    <w:rsid w:val="00041590"/>
    <w:rsid w:val="00042BF2"/>
    <w:rsid w:val="000532BC"/>
    <w:rsid w:val="00061574"/>
    <w:rsid w:val="00065266"/>
    <w:rsid w:val="00067C17"/>
    <w:rsid w:val="000711D1"/>
    <w:rsid w:val="000A05D9"/>
    <w:rsid w:val="000A606B"/>
    <w:rsid w:val="000B73F5"/>
    <w:rsid w:val="000C2E60"/>
    <w:rsid w:val="000C56D4"/>
    <w:rsid w:val="000D259C"/>
    <w:rsid w:val="000D60CB"/>
    <w:rsid w:val="000D6A51"/>
    <w:rsid w:val="000E06FC"/>
    <w:rsid w:val="000F0211"/>
    <w:rsid w:val="000F040C"/>
    <w:rsid w:val="00104701"/>
    <w:rsid w:val="00116E0C"/>
    <w:rsid w:val="001210D7"/>
    <w:rsid w:val="00124CF0"/>
    <w:rsid w:val="001267E4"/>
    <w:rsid w:val="00141AEE"/>
    <w:rsid w:val="00150274"/>
    <w:rsid w:val="001600E4"/>
    <w:rsid w:val="00165BB0"/>
    <w:rsid w:val="00172730"/>
    <w:rsid w:val="00177AFF"/>
    <w:rsid w:val="001A14D1"/>
    <w:rsid w:val="001B01B4"/>
    <w:rsid w:val="001B5AAB"/>
    <w:rsid w:val="001B7405"/>
    <w:rsid w:val="001C1336"/>
    <w:rsid w:val="001C1BA3"/>
    <w:rsid w:val="001C545D"/>
    <w:rsid w:val="001C5EE4"/>
    <w:rsid w:val="001C6AF0"/>
    <w:rsid w:val="001D7555"/>
    <w:rsid w:val="001E5372"/>
    <w:rsid w:val="001F336D"/>
    <w:rsid w:val="00201F31"/>
    <w:rsid w:val="00202E8B"/>
    <w:rsid w:val="00203166"/>
    <w:rsid w:val="00204866"/>
    <w:rsid w:val="00212DF2"/>
    <w:rsid w:val="002142CA"/>
    <w:rsid w:val="0021734C"/>
    <w:rsid w:val="002236F2"/>
    <w:rsid w:val="00225051"/>
    <w:rsid w:val="0023099A"/>
    <w:rsid w:val="00231630"/>
    <w:rsid w:val="00243FA3"/>
    <w:rsid w:val="002602D0"/>
    <w:rsid w:val="0026565C"/>
    <w:rsid w:val="00282D74"/>
    <w:rsid w:val="00292C70"/>
    <w:rsid w:val="00292FF8"/>
    <w:rsid w:val="002A46D0"/>
    <w:rsid w:val="002A6941"/>
    <w:rsid w:val="002C1055"/>
    <w:rsid w:val="002C3874"/>
    <w:rsid w:val="002C5952"/>
    <w:rsid w:val="002D14D1"/>
    <w:rsid w:val="002E08FA"/>
    <w:rsid w:val="002E4385"/>
    <w:rsid w:val="0031307C"/>
    <w:rsid w:val="0031559C"/>
    <w:rsid w:val="003162DB"/>
    <w:rsid w:val="00333B04"/>
    <w:rsid w:val="0033482F"/>
    <w:rsid w:val="0034003D"/>
    <w:rsid w:val="003408C2"/>
    <w:rsid w:val="00342DD5"/>
    <w:rsid w:val="00346AFD"/>
    <w:rsid w:val="00347D5A"/>
    <w:rsid w:val="00350285"/>
    <w:rsid w:val="00350FC8"/>
    <w:rsid w:val="00351E27"/>
    <w:rsid w:val="0035248F"/>
    <w:rsid w:val="003543B9"/>
    <w:rsid w:val="003567B7"/>
    <w:rsid w:val="003656FD"/>
    <w:rsid w:val="003778EA"/>
    <w:rsid w:val="00387178"/>
    <w:rsid w:val="00391FB9"/>
    <w:rsid w:val="003A129C"/>
    <w:rsid w:val="003B5DDC"/>
    <w:rsid w:val="003B5F3A"/>
    <w:rsid w:val="003C1BB6"/>
    <w:rsid w:val="003C5BDB"/>
    <w:rsid w:val="003C60AC"/>
    <w:rsid w:val="003D3067"/>
    <w:rsid w:val="003E364D"/>
    <w:rsid w:val="00406CF7"/>
    <w:rsid w:val="00412499"/>
    <w:rsid w:val="00421ADD"/>
    <w:rsid w:val="004220A4"/>
    <w:rsid w:val="004233CD"/>
    <w:rsid w:val="004238F8"/>
    <w:rsid w:val="00424B1A"/>
    <w:rsid w:val="0043050D"/>
    <w:rsid w:val="0044576D"/>
    <w:rsid w:val="00454F7E"/>
    <w:rsid w:val="00455F12"/>
    <w:rsid w:val="00461795"/>
    <w:rsid w:val="00461A4F"/>
    <w:rsid w:val="00463851"/>
    <w:rsid w:val="00470530"/>
    <w:rsid w:val="004727A4"/>
    <w:rsid w:val="00480BB3"/>
    <w:rsid w:val="0048358B"/>
    <w:rsid w:val="004845A5"/>
    <w:rsid w:val="00487C91"/>
    <w:rsid w:val="00492F7F"/>
    <w:rsid w:val="00496904"/>
    <w:rsid w:val="004C09E2"/>
    <w:rsid w:val="004C2A81"/>
    <w:rsid w:val="004C5E30"/>
    <w:rsid w:val="004C6FFD"/>
    <w:rsid w:val="004D085F"/>
    <w:rsid w:val="004D08E9"/>
    <w:rsid w:val="004D5949"/>
    <w:rsid w:val="004E567D"/>
    <w:rsid w:val="004E74FB"/>
    <w:rsid w:val="004E7915"/>
    <w:rsid w:val="00500FF5"/>
    <w:rsid w:val="005032DB"/>
    <w:rsid w:val="005155D5"/>
    <w:rsid w:val="00516A72"/>
    <w:rsid w:val="00523CB9"/>
    <w:rsid w:val="00524E78"/>
    <w:rsid w:val="005320F8"/>
    <w:rsid w:val="00542317"/>
    <w:rsid w:val="00543EFE"/>
    <w:rsid w:val="00544FB1"/>
    <w:rsid w:val="0054785F"/>
    <w:rsid w:val="005513B5"/>
    <w:rsid w:val="005520D8"/>
    <w:rsid w:val="005522B1"/>
    <w:rsid w:val="00553333"/>
    <w:rsid w:val="005613BB"/>
    <w:rsid w:val="00563FB1"/>
    <w:rsid w:val="00574DC3"/>
    <w:rsid w:val="00576E31"/>
    <w:rsid w:val="00586A50"/>
    <w:rsid w:val="005919E3"/>
    <w:rsid w:val="00595C69"/>
    <w:rsid w:val="005A5D93"/>
    <w:rsid w:val="005B67BD"/>
    <w:rsid w:val="005C2B99"/>
    <w:rsid w:val="005E0F99"/>
    <w:rsid w:val="005F1FCC"/>
    <w:rsid w:val="005F7DBF"/>
    <w:rsid w:val="006044C8"/>
    <w:rsid w:val="006171B6"/>
    <w:rsid w:val="00617378"/>
    <w:rsid w:val="00627A7F"/>
    <w:rsid w:val="00630AEC"/>
    <w:rsid w:val="00631481"/>
    <w:rsid w:val="00632B7E"/>
    <w:rsid w:val="00632F28"/>
    <w:rsid w:val="006366D9"/>
    <w:rsid w:val="00644F90"/>
    <w:rsid w:val="006456FA"/>
    <w:rsid w:val="00654EF5"/>
    <w:rsid w:val="00655C6F"/>
    <w:rsid w:val="006645CA"/>
    <w:rsid w:val="006654E3"/>
    <w:rsid w:val="00672A71"/>
    <w:rsid w:val="00675B66"/>
    <w:rsid w:val="00684B69"/>
    <w:rsid w:val="00685A67"/>
    <w:rsid w:val="006940B4"/>
    <w:rsid w:val="006961D0"/>
    <w:rsid w:val="006972F4"/>
    <w:rsid w:val="006A0EBD"/>
    <w:rsid w:val="006A160C"/>
    <w:rsid w:val="006A696C"/>
    <w:rsid w:val="006B1AF0"/>
    <w:rsid w:val="006B5BB5"/>
    <w:rsid w:val="006C205A"/>
    <w:rsid w:val="006D1314"/>
    <w:rsid w:val="006D1B31"/>
    <w:rsid w:val="006E2458"/>
    <w:rsid w:val="00700A8B"/>
    <w:rsid w:val="00701300"/>
    <w:rsid w:val="00707CFD"/>
    <w:rsid w:val="00721858"/>
    <w:rsid w:val="0072251A"/>
    <w:rsid w:val="00724A9B"/>
    <w:rsid w:val="0072503B"/>
    <w:rsid w:val="00732642"/>
    <w:rsid w:val="007417E6"/>
    <w:rsid w:val="00750DEB"/>
    <w:rsid w:val="00751CCE"/>
    <w:rsid w:val="00754431"/>
    <w:rsid w:val="00756919"/>
    <w:rsid w:val="0077578C"/>
    <w:rsid w:val="00787C45"/>
    <w:rsid w:val="00791E0E"/>
    <w:rsid w:val="007B6C5C"/>
    <w:rsid w:val="007C0BD2"/>
    <w:rsid w:val="007C4A39"/>
    <w:rsid w:val="007C6D1E"/>
    <w:rsid w:val="007E1188"/>
    <w:rsid w:val="007E58A5"/>
    <w:rsid w:val="007F7130"/>
    <w:rsid w:val="007F78D1"/>
    <w:rsid w:val="00811448"/>
    <w:rsid w:val="00831F6D"/>
    <w:rsid w:val="0083237F"/>
    <w:rsid w:val="00832AE9"/>
    <w:rsid w:val="00837C3D"/>
    <w:rsid w:val="008409A4"/>
    <w:rsid w:val="00842238"/>
    <w:rsid w:val="008556A8"/>
    <w:rsid w:val="008644B0"/>
    <w:rsid w:val="00870D73"/>
    <w:rsid w:val="008723C2"/>
    <w:rsid w:val="00876349"/>
    <w:rsid w:val="00876380"/>
    <w:rsid w:val="00876ADA"/>
    <w:rsid w:val="00880434"/>
    <w:rsid w:val="008810D9"/>
    <w:rsid w:val="00894FC5"/>
    <w:rsid w:val="008969A6"/>
    <w:rsid w:val="008A0B95"/>
    <w:rsid w:val="008A1205"/>
    <w:rsid w:val="008A2537"/>
    <w:rsid w:val="008A2934"/>
    <w:rsid w:val="008C558F"/>
    <w:rsid w:val="008D160F"/>
    <w:rsid w:val="008D3B7A"/>
    <w:rsid w:val="008D51B0"/>
    <w:rsid w:val="008E1B37"/>
    <w:rsid w:val="008E3018"/>
    <w:rsid w:val="008E5F48"/>
    <w:rsid w:val="008E6B26"/>
    <w:rsid w:val="008F162C"/>
    <w:rsid w:val="008F19AF"/>
    <w:rsid w:val="008F1E7E"/>
    <w:rsid w:val="008F2262"/>
    <w:rsid w:val="008F4A4C"/>
    <w:rsid w:val="008F608F"/>
    <w:rsid w:val="009023E2"/>
    <w:rsid w:val="009029E8"/>
    <w:rsid w:val="00904AA3"/>
    <w:rsid w:val="00917A61"/>
    <w:rsid w:val="00924FB6"/>
    <w:rsid w:val="00926DA0"/>
    <w:rsid w:val="00926F93"/>
    <w:rsid w:val="00927239"/>
    <w:rsid w:val="009341C0"/>
    <w:rsid w:val="00935A03"/>
    <w:rsid w:val="00936065"/>
    <w:rsid w:val="00941003"/>
    <w:rsid w:val="00947BB9"/>
    <w:rsid w:val="009601AC"/>
    <w:rsid w:val="00963C6B"/>
    <w:rsid w:val="00970C5D"/>
    <w:rsid w:val="00980C8B"/>
    <w:rsid w:val="00982093"/>
    <w:rsid w:val="009901A5"/>
    <w:rsid w:val="009A6D3B"/>
    <w:rsid w:val="009B0DC1"/>
    <w:rsid w:val="009C03AE"/>
    <w:rsid w:val="009D14DD"/>
    <w:rsid w:val="009D20B5"/>
    <w:rsid w:val="009D5B43"/>
    <w:rsid w:val="009D5E5D"/>
    <w:rsid w:val="009D7F6B"/>
    <w:rsid w:val="009E7074"/>
    <w:rsid w:val="009F76CB"/>
    <w:rsid w:val="00A03A09"/>
    <w:rsid w:val="00A03D12"/>
    <w:rsid w:val="00A15AB2"/>
    <w:rsid w:val="00A17AA3"/>
    <w:rsid w:val="00A21421"/>
    <w:rsid w:val="00A21634"/>
    <w:rsid w:val="00A219D6"/>
    <w:rsid w:val="00A33AC6"/>
    <w:rsid w:val="00A53F19"/>
    <w:rsid w:val="00A63704"/>
    <w:rsid w:val="00A7580A"/>
    <w:rsid w:val="00A80ADC"/>
    <w:rsid w:val="00A816F3"/>
    <w:rsid w:val="00AA5E77"/>
    <w:rsid w:val="00AB4A39"/>
    <w:rsid w:val="00AC5BF7"/>
    <w:rsid w:val="00AE4F4B"/>
    <w:rsid w:val="00AE5D36"/>
    <w:rsid w:val="00AE718C"/>
    <w:rsid w:val="00AF453C"/>
    <w:rsid w:val="00B002D5"/>
    <w:rsid w:val="00B00B3D"/>
    <w:rsid w:val="00B01CFD"/>
    <w:rsid w:val="00B3290B"/>
    <w:rsid w:val="00B4234C"/>
    <w:rsid w:val="00B426B3"/>
    <w:rsid w:val="00B42D37"/>
    <w:rsid w:val="00B5391E"/>
    <w:rsid w:val="00B57C4D"/>
    <w:rsid w:val="00B61F72"/>
    <w:rsid w:val="00B65E17"/>
    <w:rsid w:val="00B7071D"/>
    <w:rsid w:val="00B76B77"/>
    <w:rsid w:val="00B840EA"/>
    <w:rsid w:val="00B86B1C"/>
    <w:rsid w:val="00B9064F"/>
    <w:rsid w:val="00B97D53"/>
    <w:rsid w:val="00BA5393"/>
    <w:rsid w:val="00BA7F10"/>
    <w:rsid w:val="00BB55D2"/>
    <w:rsid w:val="00BB5874"/>
    <w:rsid w:val="00BB5CD0"/>
    <w:rsid w:val="00BC53B9"/>
    <w:rsid w:val="00BD301E"/>
    <w:rsid w:val="00BE17B5"/>
    <w:rsid w:val="00BE682F"/>
    <w:rsid w:val="00BE765A"/>
    <w:rsid w:val="00C00C23"/>
    <w:rsid w:val="00C047F3"/>
    <w:rsid w:val="00C17BFA"/>
    <w:rsid w:val="00C34D19"/>
    <w:rsid w:val="00C3730A"/>
    <w:rsid w:val="00C4600B"/>
    <w:rsid w:val="00C466A2"/>
    <w:rsid w:val="00C47599"/>
    <w:rsid w:val="00C556B3"/>
    <w:rsid w:val="00C56C07"/>
    <w:rsid w:val="00C65619"/>
    <w:rsid w:val="00C6671D"/>
    <w:rsid w:val="00C66B86"/>
    <w:rsid w:val="00C71ED5"/>
    <w:rsid w:val="00C80C23"/>
    <w:rsid w:val="00C84C01"/>
    <w:rsid w:val="00C85F69"/>
    <w:rsid w:val="00C93AE9"/>
    <w:rsid w:val="00C95DB5"/>
    <w:rsid w:val="00C9654A"/>
    <w:rsid w:val="00C96765"/>
    <w:rsid w:val="00C97309"/>
    <w:rsid w:val="00CA31E6"/>
    <w:rsid w:val="00CB1820"/>
    <w:rsid w:val="00CC420D"/>
    <w:rsid w:val="00CC6625"/>
    <w:rsid w:val="00CC677B"/>
    <w:rsid w:val="00CD29B8"/>
    <w:rsid w:val="00CD3C73"/>
    <w:rsid w:val="00CE42E0"/>
    <w:rsid w:val="00CE7D56"/>
    <w:rsid w:val="00CF03DE"/>
    <w:rsid w:val="00CF7EF8"/>
    <w:rsid w:val="00D00F8D"/>
    <w:rsid w:val="00D01AE2"/>
    <w:rsid w:val="00D06200"/>
    <w:rsid w:val="00D0795D"/>
    <w:rsid w:val="00D105E3"/>
    <w:rsid w:val="00D26AC2"/>
    <w:rsid w:val="00D3220F"/>
    <w:rsid w:val="00D35483"/>
    <w:rsid w:val="00D3707E"/>
    <w:rsid w:val="00D41BF6"/>
    <w:rsid w:val="00D42BC2"/>
    <w:rsid w:val="00D44976"/>
    <w:rsid w:val="00D4636D"/>
    <w:rsid w:val="00D54409"/>
    <w:rsid w:val="00D603DA"/>
    <w:rsid w:val="00D641BD"/>
    <w:rsid w:val="00D70F17"/>
    <w:rsid w:val="00D73B67"/>
    <w:rsid w:val="00D82CFB"/>
    <w:rsid w:val="00D90AEE"/>
    <w:rsid w:val="00D924A6"/>
    <w:rsid w:val="00DA2233"/>
    <w:rsid w:val="00DB7308"/>
    <w:rsid w:val="00DC1960"/>
    <w:rsid w:val="00DD45F7"/>
    <w:rsid w:val="00DE2100"/>
    <w:rsid w:val="00E01A56"/>
    <w:rsid w:val="00E15E80"/>
    <w:rsid w:val="00E332AC"/>
    <w:rsid w:val="00E40A59"/>
    <w:rsid w:val="00E5434F"/>
    <w:rsid w:val="00E6345A"/>
    <w:rsid w:val="00E72095"/>
    <w:rsid w:val="00E839B1"/>
    <w:rsid w:val="00E86DEA"/>
    <w:rsid w:val="00E90872"/>
    <w:rsid w:val="00E9441C"/>
    <w:rsid w:val="00EA61DA"/>
    <w:rsid w:val="00EA6A87"/>
    <w:rsid w:val="00EA769B"/>
    <w:rsid w:val="00EB397D"/>
    <w:rsid w:val="00EC1A52"/>
    <w:rsid w:val="00EC1ABB"/>
    <w:rsid w:val="00EC2552"/>
    <w:rsid w:val="00EC5236"/>
    <w:rsid w:val="00ED0A33"/>
    <w:rsid w:val="00EF2D7D"/>
    <w:rsid w:val="00EF3D8A"/>
    <w:rsid w:val="00F040BB"/>
    <w:rsid w:val="00F118B5"/>
    <w:rsid w:val="00F1371C"/>
    <w:rsid w:val="00F137E9"/>
    <w:rsid w:val="00F166D1"/>
    <w:rsid w:val="00F216B9"/>
    <w:rsid w:val="00F34B51"/>
    <w:rsid w:val="00F37212"/>
    <w:rsid w:val="00F43CC5"/>
    <w:rsid w:val="00F52C50"/>
    <w:rsid w:val="00F5346C"/>
    <w:rsid w:val="00F54B7B"/>
    <w:rsid w:val="00F63E2B"/>
    <w:rsid w:val="00F6415B"/>
    <w:rsid w:val="00F64470"/>
    <w:rsid w:val="00F83854"/>
    <w:rsid w:val="00FA36EB"/>
    <w:rsid w:val="00FA6449"/>
    <w:rsid w:val="00FC082B"/>
    <w:rsid w:val="00FC367B"/>
    <w:rsid w:val="00FC48B4"/>
    <w:rsid w:val="00FC5744"/>
    <w:rsid w:val="00FD6315"/>
    <w:rsid w:val="00FE216A"/>
    <w:rsid w:val="00FE43B8"/>
    <w:rsid w:val="00FF153C"/>
    <w:rsid w:val="00FF4B97"/>
    <w:rsid w:val="00FF75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596F9"/>
  <w15:docId w15:val="{8CE37175-B159-4371-9982-CBB860663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65BB0"/>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basedOn w:val="Normal"/>
    <w:link w:val="FootnoteTextChar"/>
    <w:unhideWhenUsed/>
    <w:rsid w:val="00D82CFB"/>
    <w:pPr>
      <w:spacing w:after="0" w:line="240" w:lineRule="auto"/>
    </w:pPr>
    <w:rPr>
      <w:sz w:val="20"/>
      <w:szCs w:val="20"/>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basedOn w:val="DefaultParagraphFont"/>
    <w:link w:val="FootnoteText"/>
    <w:rsid w:val="00D82CFB"/>
    <w:rPr>
      <w:sz w:val="20"/>
      <w:szCs w:val="20"/>
    </w:rPr>
  </w:style>
  <w:style w:type="character" w:styleId="FootnoteReference">
    <w:name w:val="footnote reference"/>
    <w:aliases w:val="Style 13,Style 12,(NECG) Footnote Reference,Appel note de bas de p,Style 124,o,fr,Style 3,FR,Style 17,Footnote Reference/,Style 6,Style 7,Style 4,Footnote Reference1,Style 34,Style 9,Style 20,callout,-E Funotenzeichen"/>
    <w:basedOn w:val="DefaultParagraphFont"/>
    <w:unhideWhenUsed/>
    <w:rsid w:val="00D82CFB"/>
    <w:rPr>
      <w:vertAlign w:val="superscript"/>
    </w:rPr>
  </w:style>
  <w:style w:type="paragraph" w:styleId="ListParagraph">
    <w:name w:val="List Paragraph"/>
    <w:basedOn w:val="Normal"/>
    <w:uiPriority w:val="34"/>
    <w:qFormat/>
    <w:rsid w:val="00E839B1"/>
    <w:pPr>
      <w:ind w:left="720"/>
      <w:contextualSpacing/>
    </w:pPr>
  </w:style>
  <w:style w:type="paragraph" w:customStyle="1" w:styleId="TxBrc15">
    <w:name w:val="TxBr_c15"/>
    <w:basedOn w:val="Normal"/>
    <w:uiPriority w:val="99"/>
    <w:rsid w:val="00387178"/>
    <w:pPr>
      <w:widowControl w:val="0"/>
      <w:autoSpaceDE w:val="0"/>
      <w:autoSpaceDN w:val="0"/>
      <w:adjustRightInd w:val="0"/>
      <w:spacing w:after="0" w:line="240" w:lineRule="atLeast"/>
      <w:jc w:val="center"/>
    </w:pPr>
    <w:rPr>
      <w:rFonts w:ascii="Courier New" w:eastAsia="Times New Roman" w:hAnsi="Courier New" w:cs="Courier New"/>
      <w:sz w:val="24"/>
      <w:szCs w:val="24"/>
    </w:rPr>
  </w:style>
  <w:style w:type="paragraph" w:styleId="TOAHeading">
    <w:name w:val="toa heading"/>
    <w:basedOn w:val="Normal"/>
    <w:next w:val="Normal"/>
    <w:semiHidden/>
    <w:rsid w:val="00387178"/>
    <w:pPr>
      <w:widowControl w:val="0"/>
      <w:tabs>
        <w:tab w:val="right" w:pos="9360"/>
      </w:tabs>
      <w:suppressAutoHyphens/>
      <w:spacing w:after="0" w:line="240" w:lineRule="auto"/>
    </w:pPr>
    <w:rPr>
      <w:rFonts w:ascii="Times New Roman" w:eastAsia="Times New Roman" w:hAnsi="Times New Roman" w:cs="Times New Roman"/>
      <w:snapToGrid w:val="0"/>
      <w:kern w:val="28"/>
      <w:szCs w:val="20"/>
    </w:rPr>
  </w:style>
  <w:style w:type="character" w:styleId="Hyperlink">
    <w:name w:val="Hyperlink"/>
    <w:basedOn w:val="DefaultParagraphFont"/>
    <w:uiPriority w:val="99"/>
    <w:semiHidden/>
    <w:unhideWhenUsed/>
    <w:rsid w:val="00387178"/>
    <w:rPr>
      <w:color w:val="0081C6"/>
      <w:u w:val="single"/>
    </w:rPr>
  </w:style>
  <w:style w:type="character" w:styleId="CommentReference">
    <w:name w:val="annotation reference"/>
    <w:basedOn w:val="DefaultParagraphFont"/>
    <w:uiPriority w:val="99"/>
    <w:semiHidden/>
    <w:unhideWhenUsed/>
    <w:rsid w:val="00C34D19"/>
    <w:rPr>
      <w:sz w:val="16"/>
      <w:szCs w:val="16"/>
    </w:rPr>
  </w:style>
  <w:style w:type="paragraph" w:styleId="CommentText">
    <w:name w:val="annotation text"/>
    <w:basedOn w:val="Normal"/>
    <w:link w:val="CommentTextChar"/>
    <w:uiPriority w:val="99"/>
    <w:semiHidden/>
    <w:unhideWhenUsed/>
    <w:rsid w:val="00C34D19"/>
    <w:pPr>
      <w:spacing w:line="240" w:lineRule="auto"/>
    </w:pPr>
    <w:rPr>
      <w:sz w:val="20"/>
      <w:szCs w:val="20"/>
    </w:rPr>
  </w:style>
  <w:style w:type="character" w:customStyle="1" w:styleId="CommentTextChar">
    <w:name w:val="Comment Text Char"/>
    <w:basedOn w:val="DefaultParagraphFont"/>
    <w:link w:val="CommentText"/>
    <w:uiPriority w:val="99"/>
    <w:semiHidden/>
    <w:rsid w:val="00C34D19"/>
    <w:rPr>
      <w:sz w:val="20"/>
      <w:szCs w:val="20"/>
    </w:rPr>
  </w:style>
  <w:style w:type="paragraph" w:styleId="CommentSubject">
    <w:name w:val="annotation subject"/>
    <w:basedOn w:val="CommentText"/>
    <w:next w:val="CommentText"/>
    <w:link w:val="CommentSubjectChar"/>
    <w:uiPriority w:val="99"/>
    <w:semiHidden/>
    <w:unhideWhenUsed/>
    <w:rsid w:val="00C34D19"/>
    <w:rPr>
      <w:b/>
      <w:bCs/>
    </w:rPr>
  </w:style>
  <w:style w:type="character" w:customStyle="1" w:styleId="CommentSubjectChar">
    <w:name w:val="Comment Subject Char"/>
    <w:basedOn w:val="CommentTextChar"/>
    <w:link w:val="CommentSubject"/>
    <w:uiPriority w:val="99"/>
    <w:semiHidden/>
    <w:rsid w:val="00C34D19"/>
    <w:rPr>
      <w:b/>
      <w:bCs/>
      <w:sz w:val="20"/>
      <w:szCs w:val="20"/>
    </w:rPr>
  </w:style>
  <w:style w:type="paragraph" w:styleId="BalloonText">
    <w:name w:val="Balloon Text"/>
    <w:basedOn w:val="Normal"/>
    <w:link w:val="BalloonTextChar"/>
    <w:uiPriority w:val="99"/>
    <w:semiHidden/>
    <w:unhideWhenUsed/>
    <w:rsid w:val="00C34D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4D19"/>
    <w:rPr>
      <w:rFonts w:ascii="Segoe UI" w:hAnsi="Segoe UI" w:cs="Segoe UI"/>
      <w:sz w:val="18"/>
      <w:szCs w:val="18"/>
    </w:rPr>
  </w:style>
  <w:style w:type="paragraph" w:styleId="Header">
    <w:name w:val="header"/>
    <w:basedOn w:val="Normal"/>
    <w:link w:val="HeaderChar"/>
    <w:uiPriority w:val="99"/>
    <w:unhideWhenUsed/>
    <w:rsid w:val="001C6A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C6AF0"/>
  </w:style>
  <w:style w:type="paragraph" w:styleId="Footer">
    <w:name w:val="footer"/>
    <w:basedOn w:val="Normal"/>
    <w:link w:val="FooterChar"/>
    <w:uiPriority w:val="99"/>
    <w:unhideWhenUsed/>
    <w:rsid w:val="001C6A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C6A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83019">
      <w:bodyDiv w:val="1"/>
      <w:marLeft w:val="0"/>
      <w:marRight w:val="0"/>
      <w:marTop w:val="0"/>
      <w:marBottom w:val="0"/>
      <w:divBdr>
        <w:top w:val="none" w:sz="0" w:space="0" w:color="auto"/>
        <w:left w:val="none" w:sz="0" w:space="0" w:color="auto"/>
        <w:bottom w:val="none" w:sz="0" w:space="0" w:color="auto"/>
        <w:right w:val="none" w:sz="0" w:space="0" w:color="auto"/>
      </w:divBdr>
    </w:div>
    <w:div w:id="272132440">
      <w:bodyDiv w:val="1"/>
      <w:marLeft w:val="0"/>
      <w:marRight w:val="0"/>
      <w:marTop w:val="0"/>
      <w:marBottom w:val="0"/>
      <w:divBdr>
        <w:top w:val="none" w:sz="0" w:space="0" w:color="auto"/>
        <w:left w:val="none" w:sz="0" w:space="0" w:color="auto"/>
        <w:bottom w:val="none" w:sz="0" w:space="0" w:color="auto"/>
        <w:right w:val="none" w:sz="0" w:space="0" w:color="auto"/>
      </w:divBdr>
    </w:div>
    <w:div w:id="146565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screven@pa.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0FB07-FEEF-4031-8C1B-04D50629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4490</Words>
  <Characters>25596</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Screven, David</dc:creator>
  <cp:lastModifiedBy>Screven, David</cp:lastModifiedBy>
  <cp:revision>2</cp:revision>
  <cp:lastPrinted>2018-02-09T20:24:00Z</cp:lastPrinted>
  <dcterms:created xsi:type="dcterms:W3CDTF">2018-02-16T23:19:00Z</dcterms:created>
  <dcterms:modified xsi:type="dcterms:W3CDTF">2018-02-16T23:19:00Z</dcterms:modified>
</cp:coreProperties>
</file>