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F4E" w:rsidRDefault="00071279">
      <w:pPr>
        <w:spacing w:before="69" w:line="249" w:lineRule="auto"/>
        <w:ind w:left="3473" w:right="1226" w:hanging="1724"/>
        <w:rPr>
          <w:b/>
          <w:sz w:val="20"/>
        </w:rPr>
      </w:pPr>
      <w:proofErr w:type="gramStart"/>
      <w:r>
        <w:rPr>
          <w:b/>
          <w:color w:val="494949"/>
          <w:w w:val="105"/>
          <w:sz w:val="20"/>
        </w:rPr>
        <w:t>CPNI Compliance Statement and Operating Procedures of Ranch Wireless, Inc.</w:t>
      </w:r>
      <w:proofErr w:type="gramEnd"/>
    </w:p>
    <w:p w:rsidR="006E7F4E" w:rsidRDefault="006E7F4E">
      <w:pPr>
        <w:pStyle w:val="BodyText"/>
        <w:rPr>
          <w:b/>
          <w:sz w:val="22"/>
        </w:rPr>
      </w:pPr>
    </w:p>
    <w:p w:rsidR="006E7F4E" w:rsidRDefault="006E7F4E">
      <w:pPr>
        <w:pStyle w:val="BodyText"/>
        <w:spacing w:before="9"/>
        <w:rPr>
          <w:b/>
          <w:sz w:val="20"/>
        </w:rPr>
      </w:pPr>
    </w:p>
    <w:p w:rsidR="006E7F4E" w:rsidRDefault="005802B5" w:rsidP="005802B5">
      <w:r>
        <w:rPr>
          <w:w w:val="105"/>
        </w:rPr>
        <w:t xml:space="preserve">Pursuant to the requirements </w:t>
      </w:r>
      <w:r w:rsidR="00071279">
        <w:rPr>
          <w:w w:val="105"/>
        </w:rPr>
        <w:t xml:space="preserve">contained </w:t>
      </w:r>
      <w:r w:rsidR="00071279">
        <w:rPr>
          <w:color w:val="5B5B5B"/>
          <w:w w:val="105"/>
        </w:rPr>
        <w:t xml:space="preserve">in </w:t>
      </w:r>
      <w:r w:rsidR="00071279">
        <w:rPr>
          <w:w w:val="105"/>
        </w:rPr>
        <w:t xml:space="preserve">Implementation of the Telecommunications Act of 1996: Telecommunications Carriers' Use </w:t>
      </w:r>
      <w:r w:rsidR="00071279">
        <w:rPr>
          <w:color w:val="5B5B5B"/>
          <w:w w:val="105"/>
        </w:rPr>
        <w:t xml:space="preserve">of </w:t>
      </w:r>
      <w:r w:rsidR="00071279">
        <w:rPr>
          <w:w w:val="105"/>
        </w:rPr>
        <w:t xml:space="preserve">Customer Proprietary Network Information and Other Customer Information; IP-Enabled Services, </w:t>
      </w:r>
      <w:r w:rsidR="00071279">
        <w:rPr>
          <w:w w:val="105"/>
        </w:rPr>
        <w:t xml:space="preserve">CC Docket No. 96-115; WC Docket No. 04- 36, Report and Order and Further Notice of Proposed Rulemaking, 22 FCC Red 6927 </w:t>
      </w:r>
      <w:r w:rsidR="00071279">
        <w:rPr>
          <w:w w:val="106"/>
        </w:rPr>
        <w:t>(2007)(</w:t>
      </w:r>
      <w:r w:rsidR="00071279">
        <w:rPr>
          <w:spacing w:val="-1"/>
          <w:w w:val="106"/>
        </w:rPr>
        <w:t>"EPI</w:t>
      </w:r>
      <w:r w:rsidR="00071279">
        <w:rPr>
          <w:w w:val="106"/>
        </w:rPr>
        <w:t>C</w:t>
      </w:r>
      <w:r w:rsidR="00071279">
        <w:rPr>
          <w:spacing w:val="6"/>
        </w:rPr>
        <w:t xml:space="preserve"> </w:t>
      </w:r>
      <w:r w:rsidR="00071279">
        <w:rPr>
          <w:spacing w:val="-1"/>
          <w:w w:val="107"/>
        </w:rPr>
        <w:t>CPN</w:t>
      </w:r>
      <w:r w:rsidR="00071279">
        <w:rPr>
          <w:w w:val="107"/>
        </w:rPr>
        <w:t>I</w:t>
      </w:r>
      <w:r w:rsidR="00071279">
        <w:t xml:space="preserve"> </w:t>
      </w:r>
      <w:r w:rsidR="00071279">
        <w:rPr>
          <w:spacing w:val="-1"/>
          <w:w w:val="107"/>
        </w:rPr>
        <w:t>Order"</w:t>
      </w:r>
      <w:r w:rsidR="00071279">
        <w:rPr>
          <w:w w:val="107"/>
        </w:rPr>
        <w:t>)</w:t>
      </w:r>
      <w:r w:rsidR="00071279">
        <w:rPr>
          <w:spacing w:val="-18"/>
          <w:w w:val="107"/>
        </w:rPr>
        <w:t>,</w:t>
      </w:r>
      <w:r w:rsidR="00071279">
        <w:rPr>
          <w:rFonts w:ascii="Arial"/>
          <w:w w:val="42"/>
          <w:position w:val="4"/>
          <w:sz w:val="12"/>
        </w:rPr>
        <w:t>1</w:t>
      </w:r>
      <w:r w:rsidR="00071279">
        <w:rPr>
          <w:rFonts w:ascii="Arial"/>
          <w:position w:val="4"/>
          <w:sz w:val="12"/>
        </w:rPr>
        <w:t xml:space="preserve">  </w:t>
      </w:r>
      <w:r w:rsidR="00071279">
        <w:t xml:space="preserve"> </w:t>
      </w:r>
      <w:r>
        <w:t xml:space="preserve">I, </w:t>
      </w:r>
      <w:r w:rsidR="00071279">
        <w:rPr>
          <w:b/>
          <w:spacing w:val="-1"/>
          <w:w w:val="107"/>
        </w:rPr>
        <w:t>A</w:t>
      </w:r>
      <w:r w:rsidR="00071279">
        <w:rPr>
          <w:b/>
          <w:spacing w:val="-1"/>
          <w:w w:val="107"/>
        </w:rPr>
        <w:t>lle</w:t>
      </w:r>
      <w:r w:rsidR="00071279">
        <w:rPr>
          <w:b/>
          <w:w w:val="107"/>
        </w:rPr>
        <w:t>n</w:t>
      </w:r>
      <w:r w:rsidR="00071279">
        <w:rPr>
          <w:b/>
          <w:spacing w:val="-4"/>
        </w:rPr>
        <w:t xml:space="preserve"> </w:t>
      </w:r>
      <w:r w:rsidR="00071279">
        <w:rPr>
          <w:b/>
          <w:spacing w:val="-1"/>
          <w:w w:val="107"/>
        </w:rPr>
        <w:t>Pooley</w:t>
      </w:r>
      <w:r w:rsidR="00071279">
        <w:rPr>
          <w:b/>
          <w:w w:val="107"/>
        </w:rPr>
        <w:t>,</w:t>
      </w:r>
      <w:r w:rsidR="00071279">
        <w:rPr>
          <w:b/>
          <w:spacing w:val="-1"/>
        </w:rPr>
        <w:t xml:space="preserve"> </w:t>
      </w:r>
      <w:r w:rsidR="00071279">
        <w:rPr>
          <w:b/>
          <w:spacing w:val="-1"/>
          <w:w w:val="107"/>
        </w:rPr>
        <w:t>Owne</w:t>
      </w:r>
      <w:r w:rsidR="00071279">
        <w:rPr>
          <w:b/>
          <w:w w:val="107"/>
        </w:rPr>
        <w:t>r</w:t>
      </w:r>
      <w:r w:rsidR="00071279">
        <w:rPr>
          <w:b/>
          <w:spacing w:val="1"/>
        </w:rPr>
        <w:t xml:space="preserve"> </w:t>
      </w:r>
      <w:r w:rsidR="00071279">
        <w:rPr>
          <w:b/>
          <w:w w:val="107"/>
        </w:rPr>
        <w:t>of</w:t>
      </w:r>
      <w:r w:rsidR="00071279">
        <w:rPr>
          <w:b/>
          <w:spacing w:val="5"/>
        </w:rPr>
        <w:t xml:space="preserve"> </w:t>
      </w:r>
      <w:r w:rsidR="00071279">
        <w:rPr>
          <w:b/>
          <w:spacing w:val="-1"/>
          <w:w w:val="106"/>
        </w:rPr>
        <w:t>Ranc</w:t>
      </w:r>
      <w:r w:rsidR="00071279">
        <w:rPr>
          <w:b/>
          <w:w w:val="106"/>
        </w:rPr>
        <w:t>h</w:t>
      </w:r>
      <w:r w:rsidR="00071279">
        <w:rPr>
          <w:b/>
        </w:rPr>
        <w:t xml:space="preserve"> </w:t>
      </w:r>
      <w:r w:rsidR="00071279">
        <w:rPr>
          <w:b/>
          <w:w w:val="106"/>
        </w:rPr>
        <w:t>Wireless</w:t>
      </w:r>
      <w:r w:rsidR="00071279">
        <w:rPr>
          <w:b/>
          <w:spacing w:val="5"/>
        </w:rPr>
        <w:t xml:space="preserve"> </w:t>
      </w:r>
      <w:r w:rsidR="00071279">
        <w:rPr>
          <w:b/>
          <w:spacing w:val="-1"/>
          <w:w w:val="107"/>
        </w:rPr>
        <w:t>Inc.</w:t>
      </w:r>
      <w:r w:rsidR="00071279">
        <w:rPr>
          <w:b/>
          <w:w w:val="107"/>
        </w:rPr>
        <w:t>,</w:t>
      </w:r>
      <w:r w:rsidR="00071279">
        <w:rPr>
          <w:b/>
          <w:spacing w:val="-6"/>
        </w:rPr>
        <w:t xml:space="preserve"> </w:t>
      </w:r>
      <w:r w:rsidR="00071279">
        <w:rPr>
          <w:spacing w:val="-1"/>
          <w:w w:val="107"/>
        </w:rPr>
        <w:t>certif</w:t>
      </w:r>
      <w:r w:rsidR="00071279">
        <w:rPr>
          <w:w w:val="107"/>
        </w:rPr>
        <w:t>y</w:t>
      </w:r>
      <w:r w:rsidR="00071279">
        <w:rPr>
          <w:spacing w:val="1"/>
        </w:rPr>
        <w:t xml:space="preserve"> </w:t>
      </w:r>
      <w:r w:rsidR="00071279">
        <w:rPr>
          <w:spacing w:val="-1"/>
          <w:w w:val="108"/>
        </w:rPr>
        <w:t>tha</w:t>
      </w:r>
      <w:r w:rsidR="00071279">
        <w:rPr>
          <w:w w:val="108"/>
        </w:rPr>
        <w:t>t</w:t>
      </w:r>
      <w:r w:rsidR="00071279">
        <w:rPr>
          <w:spacing w:val="-2"/>
        </w:rPr>
        <w:t xml:space="preserve"> </w:t>
      </w:r>
      <w:r w:rsidR="00071279">
        <w:rPr>
          <w:w w:val="108"/>
        </w:rPr>
        <w:t>I</w:t>
      </w:r>
      <w:r w:rsidR="00071279">
        <w:t xml:space="preserve"> </w:t>
      </w:r>
      <w:r w:rsidR="00071279">
        <w:rPr>
          <w:spacing w:val="-1"/>
          <w:w w:val="107"/>
        </w:rPr>
        <w:t xml:space="preserve">am </w:t>
      </w:r>
      <w:r w:rsidR="00071279">
        <w:rPr>
          <w:w w:val="105"/>
        </w:rPr>
        <w:t xml:space="preserve">an officer of the company named above, and acting </w:t>
      </w:r>
      <w:r w:rsidR="00071279">
        <w:rPr>
          <w:color w:val="5B5B5B"/>
          <w:w w:val="105"/>
        </w:rPr>
        <w:t xml:space="preserve">as </w:t>
      </w:r>
      <w:r w:rsidR="00071279">
        <w:rPr>
          <w:w w:val="105"/>
        </w:rPr>
        <w:t xml:space="preserve">an agent of the company, that I have personal knowledge that the company has established operating procedures </w:t>
      </w:r>
      <w:r>
        <w:rPr>
          <w:w w:val="105"/>
        </w:rPr>
        <w:t>that are adequate to ensure com</w:t>
      </w:r>
      <w:r w:rsidR="00071279">
        <w:rPr>
          <w:w w:val="105"/>
        </w:rPr>
        <w:t>pliance with the Commission's CPNI</w:t>
      </w:r>
      <w:r>
        <w:rPr>
          <w:w w:val="105"/>
        </w:rPr>
        <w:t xml:space="preserve"> </w:t>
      </w:r>
      <w:r w:rsidR="00071279">
        <w:rPr>
          <w:spacing w:val="-27"/>
          <w:w w:val="105"/>
        </w:rPr>
        <w:t xml:space="preserve"> </w:t>
      </w:r>
      <w:r w:rsidR="00071279">
        <w:rPr>
          <w:w w:val="105"/>
        </w:rPr>
        <w:t>rules.</w:t>
      </w:r>
    </w:p>
    <w:p w:rsidR="006E7F4E" w:rsidRDefault="006E7F4E">
      <w:pPr>
        <w:pStyle w:val="BodyText"/>
        <w:spacing w:before="1"/>
        <w:rPr>
          <w:sz w:val="22"/>
        </w:rPr>
      </w:pPr>
    </w:p>
    <w:p w:rsidR="006E7F4E" w:rsidRDefault="00071279">
      <w:pPr>
        <w:spacing w:before="1" w:line="256" w:lineRule="auto"/>
        <w:ind w:left="261" w:right="337" w:hanging="2"/>
        <w:rPr>
          <w:sz w:val="20"/>
        </w:rPr>
      </w:pPr>
      <w:r>
        <w:rPr>
          <w:b/>
          <w:color w:val="494949"/>
          <w:w w:val="105"/>
          <w:sz w:val="20"/>
        </w:rPr>
        <w:t xml:space="preserve">Ranch Wireless </w:t>
      </w:r>
      <w:r>
        <w:rPr>
          <w:color w:val="494949"/>
          <w:w w:val="105"/>
          <w:sz w:val="20"/>
        </w:rPr>
        <w:t>Inc. has established policies and procedures to comply w</w:t>
      </w:r>
      <w:r>
        <w:rPr>
          <w:color w:val="494949"/>
          <w:w w:val="105"/>
          <w:sz w:val="20"/>
        </w:rPr>
        <w:t xml:space="preserve">ith the Federal Communications Commission's (FCC) rules regarding the use, disclosure, </w:t>
      </w:r>
      <w:r>
        <w:rPr>
          <w:color w:val="5B5B5B"/>
          <w:w w:val="105"/>
          <w:sz w:val="20"/>
        </w:rPr>
        <w:t xml:space="preserve">and </w:t>
      </w:r>
      <w:r>
        <w:rPr>
          <w:color w:val="494949"/>
          <w:w w:val="105"/>
          <w:sz w:val="20"/>
        </w:rPr>
        <w:t xml:space="preserve">access to </w:t>
      </w:r>
      <w:r>
        <w:rPr>
          <w:color w:val="5B5B5B"/>
          <w:w w:val="105"/>
          <w:sz w:val="20"/>
        </w:rPr>
        <w:t xml:space="preserve">section </w:t>
      </w:r>
      <w:r>
        <w:rPr>
          <w:color w:val="494949"/>
          <w:w w:val="105"/>
          <w:sz w:val="20"/>
        </w:rPr>
        <w:t>64.2001 et seq</w:t>
      </w:r>
      <w:r>
        <w:rPr>
          <w:color w:val="6E6E6E"/>
          <w:w w:val="105"/>
          <w:sz w:val="20"/>
        </w:rPr>
        <w:t xml:space="preserve">. </w:t>
      </w:r>
      <w:r>
        <w:rPr>
          <w:color w:val="494949"/>
          <w:w w:val="105"/>
          <w:sz w:val="20"/>
        </w:rPr>
        <w:t xml:space="preserve">of the Commission's rules, 47 C.F.R. </w:t>
      </w:r>
      <w:r>
        <w:rPr>
          <w:rFonts w:ascii="Arial" w:hAnsi="Arial"/>
          <w:color w:val="494949"/>
          <w:w w:val="105"/>
          <w:sz w:val="19"/>
        </w:rPr>
        <w:t xml:space="preserve">§ </w:t>
      </w:r>
      <w:r>
        <w:rPr>
          <w:color w:val="494949"/>
          <w:w w:val="105"/>
          <w:sz w:val="20"/>
        </w:rPr>
        <w:t xml:space="preserve">64 </w:t>
      </w:r>
      <w:r>
        <w:rPr>
          <w:color w:val="6E6E6E"/>
          <w:w w:val="105"/>
          <w:sz w:val="20"/>
        </w:rPr>
        <w:t>.</w:t>
      </w:r>
      <w:r>
        <w:rPr>
          <w:color w:val="494949"/>
          <w:w w:val="105"/>
          <w:sz w:val="20"/>
        </w:rPr>
        <w:t>2001 et seq. These procedures ensure that Company is compliant with the FCC's customer p</w:t>
      </w:r>
      <w:r>
        <w:rPr>
          <w:color w:val="494949"/>
          <w:w w:val="105"/>
          <w:sz w:val="20"/>
        </w:rPr>
        <w:t>roprietary network information (CPNI) rules. The purpose of this statement is to summarize our Company's policies and procedures designed to safeguard CPNI.</w:t>
      </w:r>
    </w:p>
    <w:p w:rsidR="006E7F4E" w:rsidRDefault="006E7F4E">
      <w:pPr>
        <w:pStyle w:val="BodyText"/>
        <w:spacing w:before="10"/>
      </w:pPr>
    </w:p>
    <w:p w:rsidR="006E7F4E" w:rsidRDefault="00071279">
      <w:pPr>
        <w:spacing w:before="1" w:line="259" w:lineRule="auto"/>
        <w:ind w:left="270" w:right="239" w:firstLine="1"/>
        <w:rPr>
          <w:sz w:val="20"/>
        </w:rPr>
      </w:pPr>
      <w:r>
        <w:rPr>
          <w:color w:val="5B5B5B"/>
          <w:w w:val="105"/>
          <w:sz w:val="20"/>
        </w:rPr>
        <w:t xml:space="preserve">The </w:t>
      </w:r>
      <w:r>
        <w:rPr>
          <w:color w:val="494949"/>
          <w:w w:val="105"/>
          <w:sz w:val="20"/>
        </w:rPr>
        <w:t xml:space="preserve">Company uses CPNI for the limited purposes of </w:t>
      </w:r>
      <w:r>
        <w:rPr>
          <w:color w:val="5B5B5B"/>
          <w:w w:val="105"/>
          <w:sz w:val="20"/>
        </w:rPr>
        <w:t xml:space="preserve">initiating, </w:t>
      </w:r>
      <w:r>
        <w:rPr>
          <w:color w:val="494949"/>
          <w:w w:val="105"/>
          <w:sz w:val="20"/>
        </w:rPr>
        <w:t xml:space="preserve">rendering, billing, and collecting </w:t>
      </w:r>
      <w:r>
        <w:rPr>
          <w:color w:val="5B5B5B"/>
          <w:w w:val="105"/>
          <w:sz w:val="20"/>
        </w:rPr>
        <w:t>f</w:t>
      </w:r>
      <w:r>
        <w:rPr>
          <w:color w:val="5B5B5B"/>
          <w:w w:val="105"/>
          <w:sz w:val="20"/>
        </w:rPr>
        <w:t xml:space="preserve">or </w:t>
      </w:r>
      <w:r>
        <w:rPr>
          <w:color w:val="494949"/>
          <w:w w:val="105"/>
          <w:sz w:val="20"/>
        </w:rPr>
        <w:t xml:space="preserve">telecommunications </w:t>
      </w:r>
      <w:r>
        <w:rPr>
          <w:color w:val="5B5B5B"/>
          <w:w w:val="105"/>
          <w:sz w:val="20"/>
        </w:rPr>
        <w:t xml:space="preserve">services, </w:t>
      </w:r>
      <w:r>
        <w:rPr>
          <w:color w:val="494949"/>
          <w:w w:val="105"/>
          <w:sz w:val="20"/>
        </w:rPr>
        <w:t xml:space="preserve">and may use CPNI, </w:t>
      </w:r>
      <w:r>
        <w:rPr>
          <w:color w:val="5B5B5B"/>
          <w:w w:val="105"/>
          <w:sz w:val="20"/>
        </w:rPr>
        <w:t xml:space="preserve">if necessary, </w:t>
      </w:r>
      <w:r>
        <w:rPr>
          <w:color w:val="494949"/>
          <w:w w:val="105"/>
          <w:sz w:val="20"/>
        </w:rPr>
        <w:t xml:space="preserve">to </w:t>
      </w:r>
      <w:r>
        <w:rPr>
          <w:color w:val="5B5B5B"/>
          <w:w w:val="105"/>
          <w:sz w:val="20"/>
        </w:rPr>
        <w:t xml:space="preserve">protect </w:t>
      </w:r>
      <w:r>
        <w:rPr>
          <w:color w:val="494949"/>
          <w:w w:val="105"/>
          <w:sz w:val="20"/>
        </w:rPr>
        <w:t xml:space="preserve">its property </w:t>
      </w:r>
      <w:r>
        <w:rPr>
          <w:color w:val="5B5B5B"/>
          <w:w w:val="105"/>
          <w:sz w:val="20"/>
        </w:rPr>
        <w:t xml:space="preserve">rights. Company </w:t>
      </w:r>
      <w:r>
        <w:rPr>
          <w:color w:val="494949"/>
          <w:w w:val="105"/>
          <w:sz w:val="20"/>
        </w:rPr>
        <w:t>does not disclose CPNI or permit access to such CPNI to any third parties other than as necessary to provide service.</w:t>
      </w:r>
    </w:p>
    <w:p w:rsidR="006E7F4E" w:rsidRDefault="006E7F4E">
      <w:pPr>
        <w:pStyle w:val="BodyText"/>
        <w:spacing w:before="6"/>
        <w:rPr>
          <w:sz w:val="22"/>
        </w:rPr>
      </w:pPr>
    </w:p>
    <w:p w:rsidR="006E7F4E" w:rsidRDefault="00071279">
      <w:pPr>
        <w:spacing w:line="261" w:lineRule="auto"/>
        <w:ind w:left="283" w:right="337" w:hanging="2"/>
        <w:rPr>
          <w:sz w:val="20"/>
        </w:rPr>
      </w:pPr>
      <w:r>
        <w:rPr>
          <w:color w:val="494949"/>
          <w:w w:val="105"/>
          <w:sz w:val="20"/>
        </w:rPr>
        <w:t>The Company has implemented a sys</w:t>
      </w:r>
      <w:r>
        <w:rPr>
          <w:color w:val="494949"/>
          <w:w w:val="105"/>
          <w:sz w:val="20"/>
        </w:rPr>
        <w:t xml:space="preserve">tem by which the status of a customer's CPNI approval </w:t>
      </w:r>
      <w:r>
        <w:rPr>
          <w:color w:val="5B5B5B"/>
          <w:w w:val="105"/>
          <w:sz w:val="20"/>
        </w:rPr>
        <w:t xml:space="preserve">can </w:t>
      </w:r>
      <w:r>
        <w:rPr>
          <w:color w:val="494949"/>
          <w:w w:val="105"/>
          <w:sz w:val="20"/>
        </w:rPr>
        <w:t>be clearly established prior to the use of CPNI.</w:t>
      </w:r>
    </w:p>
    <w:p w:rsidR="006E7F4E" w:rsidRDefault="006E7F4E">
      <w:pPr>
        <w:pStyle w:val="BodyText"/>
        <w:spacing w:before="10"/>
        <w:rPr>
          <w:sz w:val="19"/>
        </w:rPr>
      </w:pPr>
    </w:p>
    <w:p w:rsidR="006E7F4E" w:rsidRDefault="00071279">
      <w:pPr>
        <w:spacing w:before="1" w:line="268" w:lineRule="auto"/>
        <w:ind w:left="290" w:right="239" w:hanging="5"/>
        <w:rPr>
          <w:sz w:val="20"/>
        </w:rPr>
      </w:pPr>
      <w:r>
        <w:rPr>
          <w:color w:val="494949"/>
          <w:w w:val="105"/>
          <w:sz w:val="20"/>
        </w:rPr>
        <w:t>The Company has established procedures to verify an incoming caller's identity</w:t>
      </w:r>
      <w:r>
        <w:rPr>
          <w:color w:val="8C8C8C"/>
          <w:w w:val="105"/>
          <w:sz w:val="20"/>
        </w:rPr>
        <w:t xml:space="preserve">. </w:t>
      </w:r>
      <w:r>
        <w:rPr>
          <w:color w:val="494949"/>
          <w:w w:val="105"/>
          <w:sz w:val="20"/>
        </w:rPr>
        <w:t>The Company trains its personnel as to when they are and are not aut</w:t>
      </w:r>
      <w:r>
        <w:rPr>
          <w:color w:val="494949"/>
          <w:w w:val="105"/>
          <w:sz w:val="20"/>
        </w:rPr>
        <w:t>horized to use CPNI, and has an express disciplinary process in place. The Company also limits the number of employees that have access to customer information and call data.</w:t>
      </w:r>
    </w:p>
    <w:p w:rsidR="006E7F4E" w:rsidRDefault="006E7F4E">
      <w:pPr>
        <w:pStyle w:val="BodyText"/>
        <w:spacing w:before="7"/>
        <w:rPr>
          <w:sz w:val="20"/>
        </w:rPr>
      </w:pPr>
    </w:p>
    <w:p w:rsidR="006E7F4E" w:rsidRDefault="00071279">
      <w:pPr>
        <w:spacing w:line="256" w:lineRule="auto"/>
        <w:ind w:left="300" w:right="161" w:hanging="4"/>
        <w:rPr>
          <w:sz w:val="20"/>
        </w:rPr>
      </w:pPr>
      <w:r>
        <w:rPr>
          <w:color w:val="5B5B5B"/>
          <w:w w:val="105"/>
          <w:sz w:val="20"/>
        </w:rPr>
        <w:t xml:space="preserve">The </w:t>
      </w:r>
      <w:r>
        <w:rPr>
          <w:color w:val="494949"/>
          <w:w w:val="105"/>
          <w:sz w:val="20"/>
        </w:rPr>
        <w:t xml:space="preserve">Company shall maintain a record, </w:t>
      </w:r>
      <w:r>
        <w:rPr>
          <w:color w:val="5B5B5B"/>
          <w:w w:val="105"/>
          <w:sz w:val="20"/>
        </w:rPr>
        <w:t xml:space="preserve">electronically or </w:t>
      </w:r>
      <w:r>
        <w:rPr>
          <w:color w:val="494949"/>
          <w:w w:val="105"/>
          <w:sz w:val="20"/>
        </w:rPr>
        <w:t xml:space="preserve">in </w:t>
      </w:r>
      <w:r>
        <w:rPr>
          <w:color w:val="5B5B5B"/>
          <w:w w:val="105"/>
          <w:sz w:val="20"/>
        </w:rPr>
        <w:t xml:space="preserve">some </w:t>
      </w:r>
      <w:r>
        <w:rPr>
          <w:color w:val="494949"/>
          <w:w w:val="105"/>
          <w:sz w:val="20"/>
        </w:rPr>
        <w:t>other manner</w:t>
      </w:r>
      <w:r>
        <w:rPr>
          <w:color w:val="6E6E6E"/>
          <w:w w:val="105"/>
          <w:sz w:val="20"/>
        </w:rPr>
        <w:t xml:space="preserve">, </w:t>
      </w:r>
      <w:r>
        <w:rPr>
          <w:color w:val="5B5B5B"/>
          <w:w w:val="105"/>
          <w:sz w:val="20"/>
        </w:rPr>
        <w:t xml:space="preserve">of </w:t>
      </w:r>
      <w:r>
        <w:rPr>
          <w:color w:val="494949"/>
          <w:w w:val="105"/>
          <w:sz w:val="20"/>
        </w:rPr>
        <w:t xml:space="preserve">their own and </w:t>
      </w:r>
      <w:proofErr w:type="gramStart"/>
      <w:r>
        <w:rPr>
          <w:color w:val="494949"/>
          <w:w w:val="105"/>
          <w:sz w:val="20"/>
        </w:rPr>
        <w:t xml:space="preserve">their affiliates' </w:t>
      </w:r>
      <w:r>
        <w:rPr>
          <w:color w:val="5B5B5B"/>
          <w:w w:val="105"/>
          <w:sz w:val="20"/>
        </w:rPr>
        <w:t xml:space="preserve">sales </w:t>
      </w:r>
      <w:r>
        <w:rPr>
          <w:color w:val="494949"/>
          <w:w w:val="105"/>
          <w:sz w:val="20"/>
        </w:rPr>
        <w:t>and marketing campaigns that use their customers' CPNI</w:t>
      </w:r>
      <w:r>
        <w:rPr>
          <w:color w:val="6E6E6E"/>
          <w:w w:val="105"/>
          <w:sz w:val="20"/>
        </w:rPr>
        <w:t>.</w:t>
      </w:r>
      <w:proofErr w:type="gramEnd"/>
      <w:r>
        <w:rPr>
          <w:color w:val="6E6E6E"/>
          <w:w w:val="105"/>
          <w:sz w:val="20"/>
        </w:rPr>
        <w:t xml:space="preserve"> </w:t>
      </w:r>
      <w:r>
        <w:rPr>
          <w:color w:val="494949"/>
          <w:w w:val="105"/>
          <w:sz w:val="20"/>
        </w:rPr>
        <w:t xml:space="preserve">All </w:t>
      </w:r>
      <w:r>
        <w:rPr>
          <w:color w:val="5B5B5B"/>
          <w:w w:val="105"/>
          <w:sz w:val="20"/>
        </w:rPr>
        <w:t xml:space="preserve">carriers shall </w:t>
      </w:r>
      <w:r>
        <w:rPr>
          <w:color w:val="494949"/>
          <w:w w:val="105"/>
          <w:sz w:val="20"/>
        </w:rPr>
        <w:t xml:space="preserve">maintain </w:t>
      </w:r>
      <w:r>
        <w:rPr>
          <w:color w:val="5B5B5B"/>
          <w:w w:val="105"/>
          <w:sz w:val="20"/>
        </w:rPr>
        <w:t xml:space="preserve">a </w:t>
      </w:r>
      <w:r>
        <w:rPr>
          <w:color w:val="494949"/>
          <w:w w:val="105"/>
          <w:sz w:val="20"/>
        </w:rPr>
        <w:t xml:space="preserve">record of </w:t>
      </w:r>
      <w:r>
        <w:rPr>
          <w:color w:val="5B5B5B"/>
          <w:w w:val="105"/>
          <w:sz w:val="20"/>
        </w:rPr>
        <w:t xml:space="preserve">all </w:t>
      </w:r>
      <w:r>
        <w:rPr>
          <w:color w:val="494949"/>
          <w:w w:val="105"/>
          <w:sz w:val="20"/>
        </w:rPr>
        <w:t xml:space="preserve">instances where CPNI was disclosed </w:t>
      </w:r>
      <w:r>
        <w:rPr>
          <w:color w:val="5B5B5B"/>
          <w:w w:val="105"/>
          <w:sz w:val="20"/>
        </w:rPr>
        <w:t xml:space="preserve">or </w:t>
      </w:r>
      <w:r>
        <w:rPr>
          <w:color w:val="494949"/>
          <w:w w:val="105"/>
          <w:sz w:val="20"/>
        </w:rPr>
        <w:t xml:space="preserve">provided to third parties, </w:t>
      </w:r>
      <w:r>
        <w:rPr>
          <w:color w:val="5B5B5B"/>
          <w:w w:val="105"/>
          <w:sz w:val="20"/>
        </w:rPr>
        <w:t xml:space="preserve">or </w:t>
      </w:r>
      <w:r>
        <w:rPr>
          <w:color w:val="494949"/>
          <w:w w:val="105"/>
          <w:sz w:val="20"/>
        </w:rPr>
        <w:t xml:space="preserve">where third parties were allowed access to CPNI. The record must include a description of each campaign, the specific CPNI that was used in the campaign, and </w:t>
      </w:r>
      <w:r>
        <w:rPr>
          <w:color w:val="5B5B5B"/>
          <w:w w:val="105"/>
          <w:sz w:val="20"/>
        </w:rPr>
        <w:t xml:space="preserve">what </w:t>
      </w:r>
      <w:r>
        <w:rPr>
          <w:color w:val="494949"/>
          <w:w w:val="105"/>
          <w:sz w:val="20"/>
        </w:rPr>
        <w:t xml:space="preserve">products and services were </w:t>
      </w:r>
      <w:r>
        <w:rPr>
          <w:color w:val="5B5B5B"/>
          <w:w w:val="105"/>
          <w:sz w:val="20"/>
        </w:rPr>
        <w:t xml:space="preserve">offered </w:t>
      </w:r>
      <w:r>
        <w:rPr>
          <w:color w:val="494949"/>
          <w:w w:val="105"/>
          <w:sz w:val="20"/>
        </w:rPr>
        <w:t xml:space="preserve">as a part of the campaign. Carriers </w:t>
      </w:r>
      <w:r>
        <w:rPr>
          <w:color w:val="5B5B5B"/>
          <w:w w:val="105"/>
          <w:sz w:val="20"/>
        </w:rPr>
        <w:t xml:space="preserve">shall </w:t>
      </w:r>
      <w:r>
        <w:rPr>
          <w:color w:val="494949"/>
          <w:w w:val="105"/>
          <w:sz w:val="20"/>
        </w:rPr>
        <w:t>retain the recor</w:t>
      </w:r>
      <w:r>
        <w:rPr>
          <w:color w:val="494949"/>
          <w:w w:val="105"/>
          <w:sz w:val="20"/>
        </w:rPr>
        <w:t xml:space="preserve">d for a minimum </w:t>
      </w:r>
      <w:r>
        <w:rPr>
          <w:color w:val="5B5B5B"/>
          <w:w w:val="105"/>
          <w:sz w:val="20"/>
        </w:rPr>
        <w:t xml:space="preserve">of </w:t>
      </w:r>
      <w:r>
        <w:rPr>
          <w:color w:val="494949"/>
          <w:w w:val="105"/>
          <w:sz w:val="20"/>
        </w:rPr>
        <w:t>one</w:t>
      </w:r>
      <w:r>
        <w:rPr>
          <w:color w:val="494949"/>
          <w:spacing w:val="38"/>
          <w:w w:val="105"/>
          <w:sz w:val="20"/>
        </w:rPr>
        <w:t xml:space="preserve"> </w:t>
      </w:r>
      <w:r>
        <w:rPr>
          <w:color w:val="494949"/>
          <w:w w:val="105"/>
          <w:sz w:val="20"/>
        </w:rPr>
        <w:t>year.</w:t>
      </w:r>
    </w:p>
    <w:p w:rsidR="006E7F4E" w:rsidRDefault="006E7F4E">
      <w:pPr>
        <w:pStyle w:val="BodyText"/>
        <w:rPr>
          <w:sz w:val="20"/>
        </w:rPr>
      </w:pPr>
    </w:p>
    <w:p w:rsidR="006E7F4E" w:rsidRDefault="006E7F4E">
      <w:pPr>
        <w:pStyle w:val="BodyText"/>
        <w:rPr>
          <w:sz w:val="20"/>
        </w:rPr>
      </w:pPr>
    </w:p>
    <w:p w:rsidR="006E7F4E" w:rsidRDefault="006E7F4E">
      <w:pPr>
        <w:pStyle w:val="BodyText"/>
        <w:rPr>
          <w:sz w:val="20"/>
        </w:rPr>
      </w:pPr>
    </w:p>
    <w:p w:rsidR="006E7F4E" w:rsidRDefault="00071279">
      <w:pPr>
        <w:pStyle w:val="BodyText"/>
        <w:spacing w:before="2"/>
        <w:rPr>
          <w:sz w:val="14"/>
        </w:rPr>
      </w:pPr>
      <w:r>
        <w:pict>
          <v:line id="_x0000_s1035" style="position:absolute;z-index:251658240;mso-wrap-distance-left:0;mso-wrap-distance-right:0;mso-position-horizontal-relative:page" from="101.35pt,10.55pt" to="241.15pt,10.55pt" strokeweight=".25411mm">
            <w10:wrap type="topAndBottom" anchorx="page"/>
          </v:line>
        </w:pict>
      </w:r>
    </w:p>
    <w:p w:rsidR="006E7F4E" w:rsidRDefault="00071279">
      <w:pPr>
        <w:spacing w:before="79" w:line="244" w:lineRule="auto"/>
        <w:ind w:left="314" w:right="239" w:hanging="18"/>
        <w:rPr>
          <w:sz w:val="19"/>
        </w:rPr>
      </w:pPr>
      <w:r>
        <w:rPr>
          <w:rFonts w:ascii="Arial"/>
          <w:color w:val="3A3A3A"/>
          <w:w w:val="70"/>
          <w:position w:val="4"/>
          <w:sz w:val="12"/>
        </w:rPr>
        <w:t xml:space="preserve">1 </w:t>
      </w:r>
      <w:r>
        <w:rPr>
          <w:color w:val="494949"/>
          <w:sz w:val="19"/>
        </w:rPr>
        <w:t xml:space="preserve">47 C.F.R. </w:t>
      </w:r>
      <w:r>
        <w:rPr>
          <w:color w:val="494949"/>
          <w:sz w:val="20"/>
        </w:rPr>
        <w:t xml:space="preserve">S: </w:t>
      </w:r>
      <w:r>
        <w:rPr>
          <w:color w:val="5B5B5B"/>
          <w:sz w:val="20"/>
        </w:rPr>
        <w:t xml:space="preserve">64.2009(e) states: </w:t>
      </w:r>
      <w:r>
        <w:rPr>
          <w:color w:val="6E6E6E"/>
          <w:spacing w:val="5"/>
          <w:sz w:val="20"/>
        </w:rPr>
        <w:t>"</w:t>
      </w:r>
      <w:r>
        <w:rPr>
          <w:color w:val="494949"/>
          <w:spacing w:val="5"/>
          <w:sz w:val="20"/>
        </w:rPr>
        <w:t xml:space="preserve">A </w:t>
      </w:r>
      <w:r>
        <w:rPr>
          <w:color w:val="494949"/>
          <w:sz w:val="20"/>
        </w:rPr>
        <w:t xml:space="preserve">telecommunications carrier must have an officer, as an agent </w:t>
      </w:r>
      <w:r>
        <w:rPr>
          <w:color w:val="494949"/>
          <w:sz w:val="19"/>
        </w:rPr>
        <w:t xml:space="preserve">of </w:t>
      </w:r>
      <w:r>
        <w:rPr>
          <w:color w:val="494949"/>
          <w:sz w:val="20"/>
        </w:rPr>
        <w:t xml:space="preserve">the </w:t>
      </w:r>
      <w:r>
        <w:rPr>
          <w:color w:val="494949"/>
          <w:sz w:val="19"/>
        </w:rPr>
        <w:t xml:space="preserve">carrier, </w:t>
      </w:r>
      <w:r>
        <w:rPr>
          <w:color w:val="5B5B5B"/>
          <w:sz w:val="19"/>
        </w:rPr>
        <w:t xml:space="preserve">sign and </w:t>
      </w:r>
      <w:r>
        <w:rPr>
          <w:color w:val="494949"/>
          <w:sz w:val="19"/>
        </w:rPr>
        <w:t xml:space="preserve">file with the Commission a compliance certificate </w:t>
      </w:r>
      <w:r>
        <w:rPr>
          <w:color w:val="5B5B5B"/>
          <w:sz w:val="19"/>
        </w:rPr>
        <w:t xml:space="preserve">on an </w:t>
      </w:r>
      <w:r>
        <w:rPr>
          <w:color w:val="494949"/>
          <w:sz w:val="19"/>
        </w:rPr>
        <w:t>annual  bas</w:t>
      </w:r>
      <w:r>
        <w:rPr>
          <w:color w:val="6E6E6E"/>
          <w:sz w:val="19"/>
        </w:rPr>
        <w:t xml:space="preserve">is. </w:t>
      </w:r>
      <w:r>
        <w:rPr>
          <w:color w:val="5B5B5B"/>
          <w:sz w:val="19"/>
        </w:rPr>
        <w:t xml:space="preserve">The officer </w:t>
      </w:r>
      <w:r>
        <w:rPr>
          <w:color w:val="494949"/>
          <w:sz w:val="19"/>
        </w:rPr>
        <w:t xml:space="preserve">must </w:t>
      </w:r>
      <w:r>
        <w:rPr>
          <w:color w:val="5B5B5B"/>
          <w:sz w:val="19"/>
        </w:rPr>
        <w:t xml:space="preserve">state </w:t>
      </w:r>
      <w:r>
        <w:rPr>
          <w:color w:val="494949"/>
          <w:sz w:val="19"/>
        </w:rPr>
        <w:t xml:space="preserve">in </w:t>
      </w:r>
      <w:r>
        <w:rPr>
          <w:color w:val="5B5B5B"/>
          <w:sz w:val="19"/>
        </w:rPr>
        <w:t>th</w:t>
      </w:r>
      <w:r>
        <w:rPr>
          <w:color w:val="5B5B5B"/>
          <w:sz w:val="19"/>
        </w:rPr>
        <w:t xml:space="preserve">e </w:t>
      </w:r>
      <w:r>
        <w:rPr>
          <w:color w:val="494949"/>
          <w:sz w:val="19"/>
        </w:rPr>
        <w:t xml:space="preserve">certification that he or she has personal knowledge </w:t>
      </w:r>
      <w:r>
        <w:rPr>
          <w:color w:val="5B5B5B"/>
          <w:sz w:val="19"/>
        </w:rPr>
        <w:t xml:space="preserve">that </w:t>
      </w:r>
      <w:r>
        <w:rPr>
          <w:color w:val="494949"/>
          <w:sz w:val="19"/>
        </w:rPr>
        <w:t xml:space="preserve">the </w:t>
      </w:r>
      <w:r>
        <w:rPr>
          <w:color w:val="5B5B5B"/>
          <w:sz w:val="19"/>
        </w:rPr>
        <w:t xml:space="preserve">company </w:t>
      </w:r>
      <w:r>
        <w:rPr>
          <w:color w:val="494949"/>
          <w:sz w:val="19"/>
        </w:rPr>
        <w:t xml:space="preserve">has </w:t>
      </w:r>
      <w:r>
        <w:rPr>
          <w:color w:val="5B5B5B"/>
          <w:sz w:val="19"/>
        </w:rPr>
        <w:t xml:space="preserve">established operating </w:t>
      </w:r>
      <w:r>
        <w:rPr>
          <w:color w:val="494949"/>
          <w:sz w:val="19"/>
        </w:rPr>
        <w:t xml:space="preserve">procedures that are adequate to </w:t>
      </w:r>
      <w:r>
        <w:rPr>
          <w:color w:val="5B5B5B"/>
          <w:sz w:val="19"/>
        </w:rPr>
        <w:t xml:space="preserve">ensure </w:t>
      </w:r>
      <w:r>
        <w:rPr>
          <w:color w:val="494949"/>
          <w:sz w:val="19"/>
        </w:rPr>
        <w:t xml:space="preserve">compliance with the rules in this </w:t>
      </w:r>
      <w:r>
        <w:rPr>
          <w:color w:val="5B5B5B"/>
          <w:sz w:val="19"/>
        </w:rPr>
        <w:t xml:space="preserve">subpart. </w:t>
      </w:r>
      <w:r>
        <w:rPr>
          <w:color w:val="494949"/>
          <w:sz w:val="19"/>
        </w:rPr>
        <w:t xml:space="preserve">The </w:t>
      </w:r>
      <w:r>
        <w:rPr>
          <w:color w:val="5B5B5B"/>
          <w:sz w:val="19"/>
        </w:rPr>
        <w:t xml:space="preserve">carrier </w:t>
      </w:r>
      <w:r>
        <w:rPr>
          <w:color w:val="494949"/>
          <w:sz w:val="19"/>
        </w:rPr>
        <w:t xml:space="preserve">must provide </w:t>
      </w:r>
      <w:r>
        <w:rPr>
          <w:color w:val="5B5B5B"/>
          <w:sz w:val="19"/>
        </w:rPr>
        <w:t xml:space="preserve">a statement accompanying </w:t>
      </w:r>
      <w:r>
        <w:rPr>
          <w:color w:val="494949"/>
          <w:sz w:val="19"/>
        </w:rPr>
        <w:t xml:space="preserve">the certification </w:t>
      </w:r>
      <w:r>
        <w:rPr>
          <w:color w:val="5B5B5B"/>
          <w:sz w:val="19"/>
        </w:rPr>
        <w:t xml:space="preserve">explaining </w:t>
      </w:r>
      <w:r>
        <w:rPr>
          <w:color w:val="494949"/>
          <w:sz w:val="19"/>
        </w:rPr>
        <w:t>how its op</w:t>
      </w:r>
      <w:r>
        <w:rPr>
          <w:color w:val="6E6E6E"/>
          <w:sz w:val="19"/>
        </w:rPr>
        <w:t>e</w:t>
      </w:r>
      <w:r>
        <w:rPr>
          <w:color w:val="494949"/>
          <w:sz w:val="19"/>
        </w:rPr>
        <w:t xml:space="preserve">rating procedures </w:t>
      </w:r>
      <w:r>
        <w:rPr>
          <w:color w:val="5B5B5B"/>
          <w:sz w:val="19"/>
        </w:rPr>
        <w:t xml:space="preserve">ensure </w:t>
      </w:r>
      <w:r>
        <w:rPr>
          <w:color w:val="494949"/>
          <w:sz w:val="19"/>
        </w:rPr>
        <w:t xml:space="preserve">that </w:t>
      </w:r>
      <w:r>
        <w:rPr>
          <w:color w:val="5B5B5B"/>
          <w:sz w:val="19"/>
        </w:rPr>
        <w:t xml:space="preserve">it is or </w:t>
      </w:r>
      <w:r>
        <w:rPr>
          <w:color w:val="494949"/>
          <w:sz w:val="19"/>
        </w:rPr>
        <w:t xml:space="preserve">is not </w:t>
      </w:r>
      <w:r>
        <w:rPr>
          <w:color w:val="5B5B5B"/>
          <w:sz w:val="19"/>
        </w:rPr>
        <w:t xml:space="preserve">in compliance </w:t>
      </w:r>
      <w:r>
        <w:rPr>
          <w:color w:val="494949"/>
          <w:sz w:val="19"/>
        </w:rPr>
        <w:t xml:space="preserve">with the rules in </w:t>
      </w:r>
      <w:r>
        <w:rPr>
          <w:color w:val="5B5B5B"/>
          <w:sz w:val="19"/>
        </w:rPr>
        <w:t xml:space="preserve">this subpart. In </w:t>
      </w:r>
      <w:r>
        <w:rPr>
          <w:color w:val="494949"/>
          <w:sz w:val="19"/>
        </w:rPr>
        <w:t>addition</w:t>
      </w:r>
      <w:r>
        <w:rPr>
          <w:color w:val="8C8C8C"/>
          <w:sz w:val="19"/>
        </w:rPr>
        <w:t xml:space="preserve">, </w:t>
      </w:r>
      <w:r>
        <w:rPr>
          <w:color w:val="494949"/>
          <w:sz w:val="19"/>
        </w:rPr>
        <w:t>th</w:t>
      </w:r>
      <w:r>
        <w:rPr>
          <w:color w:val="6E6E6E"/>
          <w:sz w:val="19"/>
        </w:rPr>
        <w:t xml:space="preserve">e </w:t>
      </w:r>
      <w:r>
        <w:rPr>
          <w:color w:val="5B5B5B"/>
          <w:sz w:val="19"/>
        </w:rPr>
        <w:t xml:space="preserve">carrier must </w:t>
      </w:r>
      <w:r>
        <w:rPr>
          <w:color w:val="494949"/>
          <w:sz w:val="19"/>
        </w:rPr>
        <w:t xml:space="preserve">include </w:t>
      </w:r>
      <w:r>
        <w:rPr>
          <w:color w:val="5B5B5B"/>
          <w:sz w:val="19"/>
        </w:rPr>
        <w:t xml:space="preserve">an explanation of </w:t>
      </w:r>
      <w:r>
        <w:rPr>
          <w:color w:val="6E6E6E"/>
          <w:sz w:val="19"/>
        </w:rPr>
        <w:t xml:space="preserve">any </w:t>
      </w:r>
      <w:r>
        <w:rPr>
          <w:color w:val="5B5B5B"/>
          <w:sz w:val="19"/>
        </w:rPr>
        <w:t xml:space="preserve">actions </w:t>
      </w:r>
      <w:r>
        <w:rPr>
          <w:color w:val="494949"/>
          <w:spacing w:val="-3"/>
          <w:sz w:val="19"/>
        </w:rPr>
        <w:t>tak</w:t>
      </w:r>
      <w:r>
        <w:rPr>
          <w:color w:val="6E6E6E"/>
          <w:spacing w:val="-3"/>
          <w:sz w:val="19"/>
        </w:rPr>
        <w:t xml:space="preserve">en </w:t>
      </w:r>
      <w:r>
        <w:rPr>
          <w:color w:val="5B5B5B"/>
          <w:sz w:val="19"/>
        </w:rPr>
        <w:t xml:space="preserve">against </w:t>
      </w:r>
      <w:r>
        <w:rPr>
          <w:color w:val="494949"/>
          <w:sz w:val="19"/>
        </w:rPr>
        <w:t xml:space="preserve">data </w:t>
      </w:r>
      <w:r>
        <w:rPr>
          <w:color w:val="494949"/>
          <w:spacing w:val="-3"/>
          <w:sz w:val="19"/>
        </w:rPr>
        <w:t>brok</w:t>
      </w:r>
      <w:r>
        <w:rPr>
          <w:color w:val="6E6E6E"/>
          <w:spacing w:val="-3"/>
          <w:sz w:val="19"/>
        </w:rPr>
        <w:t>er</w:t>
      </w:r>
      <w:r>
        <w:rPr>
          <w:color w:val="494949"/>
          <w:spacing w:val="-3"/>
          <w:sz w:val="19"/>
        </w:rPr>
        <w:t xml:space="preserve">s </w:t>
      </w:r>
      <w:r>
        <w:rPr>
          <w:color w:val="5B5B5B"/>
          <w:sz w:val="19"/>
        </w:rPr>
        <w:t xml:space="preserve">and a summary of </w:t>
      </w:r>
      <w:r>
        <w:rPr>
          <w:color w:val="5B5B5B"/>
          <w:sz w:val="18"/>
        </w:rPr>
        <w:t xml:space="preserve">all </w:t>
      </w:r>
      <w:r>
        <w:rPr>
          <w:color w:val="5B5B5B"/>
          <w:sz w:val="19"/>
        </w:rPr>
        <w:t>customer complaints receiv</w:t>
      </w:r>
      <w:r>
        <w:rPr>
          <w:color w:val="5B5B5B"/>
          <w:sz w:val="19"/>
        </w:rPr>
        <w:t xml:space="preserve">ed in </w:t>
      </w:r>
      <w:r>
        <w:rPr>
          <w:color w:val="494949"/>
          <w:sz w:val="19"/>
        </w:rPr>
        <w:t>th</w:t>
      </w:r>
      <w:r>
        <w:rPr>
          <w:color w:val="6E6E6E"/>
          <w:sz w:val="19"/>
        </w:rPr>
        <w:t xml:space="preserve">e </w:t>
      </w:r>
      <w:r>
        <w:rPr>
          <w:color w:val="5B5B5B"/>
          <w:sz w:val="19"/>
        </w:rPr>
        <w:t xml:space="preserve">past year </w:t>
      </w:r>
      <w:r>
        <w:rPr>
          <w:color w:val="494949"/>
          <w:sz w:val="19"/>
        </w:rPr>
        <w:t xml:space="preserve">concerning the unauthorized release of CPNI. This filing must be made annually with the </w:t>
      </w:r>
      <w:r>
        <w:rPr>
          <w:color w:val="5B5B5B"/>
          <w:sz w:val="19"/>
        </w:rPr>
        <w:t xml:space="preserve">Enforcement </w:t>
      </w:r>
      <w:r>
        <w:rPr>
          <w:color w:val="494949"/>
          <w:sz w:val="19"/>
        </w:rPr>
        <w:t xml:space="preserve">Bureau on </w:t>
      </w:r>
      <w:r>
        <w:rPr>
          <w:color w:val="5B5B5B"/>
          <w:sz w:val="19"/>
        </w:rPr>
        <w:t xml:space="preserve">or </w:t>
      </w:r>
      <w:r>
        <w:rPr>
          <w:color w:val="494949"/>
          <w:sz w:val="19"/>
        </w:rPr>
        <w:t>before March 1 in EB Docket No. 06</w:t>
      </w:r>
      <w:r>
        <w:rPr>
          <w:color w:val="6E6E6E"/>
          <w:sz w:val="19"/>
        </w:rPr>
        <w:t>-</w:t>
      </w:r>
      <w:r>
        <w:rPr>
          <w:color w:val="494949"/>
          <w:sz w:val="19"/>
        </w:rPr>
        <w:t xml:space="preserve">36, </w:t>
      </w:r>
      <w:r>
        <w:rPr>
          <w:color w:val="5B5B5B"/>
          <w:sz w:val="19"/>
        </w:rPr>
        <w:t xml:space="preserve">for </w:t>
      </w:r>
      <w:r>
        <w:rPr>
          <w:color w:val="494949"/>
          <w:sz w:val="19"/>
        </w:rPr>
        <w:t xml:space="preserve">data pertaining to </w:t>
      </w:r>
      <w:r>
        <w:rPr>
          <w:color w:val="5B5B5B"/>
          <w:sz w:val="19"/>
        </w:rPr>
        <w:t xml:space="preserve">the </w:t>
      </w:r>
      <w:r>
        <w:rPr>
          <w:color w:val="494949"/>
          <w:sz w:val="19"/>
        </w:rPr>
        <w:t>previous calendar</w:t>
      </w:r>
      <w:r>
        <w:rPr>
          <w:color w:val="494949"/>
          <w:spacing w:val="33"/>
          <w:sz w:val="19"/>
        </w:rPr>
        <w:t xml:space="preserve"> </w:t>
      </w:r>
      <w:r>
        <w:rPr>
          <w:color w:val="5B5B5B"/>
          <w:sz w:val="19"/>
        </w:rPr>
        <w:t>year."</w:t>
      </w:r>
    </w:p>
    <w:p w:rsidR="006E7F4E" w:rsidRDefault="006E7F4E">
      <w:pPr>
        <w:spacing w:line="244" w:lineRule="auto"/>
        <w:rPr>
          <w:sz w:val="19"/>
        </w:rPr>
        <w:sectPr w:rsidR="006E7F4E">
          <w:type w:val="continuous"/>
          <w:pgSz w:w="12240" w:h="20160"/>
          <w:pgMar w:top="1660" w:right="1720" w:bottom="280" w:left="1720" w:header="720" w:footer="720" w:gutter="0"/>
          <w:cols w:space="720"/>
        </w:sectPr>
      </w:pPr>
    </w:p>
    <w:p w:rsidR="006E7F4E" w:rsidRDefault="00071279">
      <w:pPr>
        <w:pStyle w:val="BodyText"/>
        <w:spacing w:before="69" w:line="247" w:lineRule="auto"/>
        <w:ind w:left="236" w:right="250" w:hanging="8"/>
        <w:jc w:val="both"/>
      </w:pPr>
      <w:r>
        <w:rPr>
          <w:color w:val="494949"/>
        </w:rPr>
        <w:lastRenderedPageBreak/>
        <w:t>The Company has es</w:t>
      </w:r>
      <w:r>
        <w:rPr>
          <w:color w:val="494949"/>
        </w:rPr>
        <w:t xml:space="preserve">tablished a supervisory review process regarding carrier compliance with the rules in this subpart for outbound marketing situations and </w:t>
      </w:r>
      <w:r w:rsidR="005802B5">
        <w:rPr>
          <w:color w:val="494949"/>
        </w:rPr>
        <w:t>maintains</w:t>
      </w:r>
      <w:r>
        <w:rPr>
          <w:color w:val="494949"/>
        </w:rPr>
        <w:t xml:space="preserve"> records of carrier compliance for a minimum period of one year. Specifically, sales personnel must obtain supe</w:t>
      </w:r>
      <w:r>
        <w:rPr>
          <w:color w:val="494949"/>
        </w:rPr>
        <w:t>rvisory approval of any proposed outbound marketing request for customer approval</w:t>
      </w:r>
      <w:r>
        <w:rPr>
          <w:color w:val="646464"/>
        </w:rPr>
        <w:t>.</w:t>
      </w:r>
    </w:p>
    <w:p w:rsidR="006E7F4E" w:rsidRDefault="006E7F4E">
      <w:pPr>
        <w:pStyle w:val="BodyText"/>
        <w:spacing w:before="3"/>
      </w:pPr>
    </w:p>
    <w:p w:rsidR="006E7F4E" w:rsidRDefault="00071279">
      <w:pPr>
        <w:pStyle w:val="BodyText"/>
        <w:spacing w:line="242" w:lineRule="auto"/>
        <w:ind w:left="243" w:right="337" w:hanging="5"/>
      </w:pPr>
      <w:r>
        <w:rPr>
          <w:color w:val="494949"/>
        </w:rPr>
        <w:t xml:space="preserve">The Company will provide written notice within five (5) business days to the Commission of any instance where the opt-out mechanisms do not work properly, to such a degree </w:t>
      </w:r>
      <w:r>
        <w:rPr>
          <w:color w:val="494949"/>
        </w:rPr>
        <w:t>that consumers' inability to opt-out is more than an anomaly.</w:t>
      </w:r>
    </w:p>
    <w:p w:rsidR="006E7F4E" w:rsidRDefault="006E7F4E">
      <w:pPr>
        <w:pStyle w:val="BodyText"/>
        <w:spacing w:before="6"/>
      </w:pPr>
    </w:p>
    <w:p w:rsidR="006E7F4E" w:rsidRDefault="00071279">
      <w:pPr>
        <w:pStyle w:val="ListParagraph"/>
        <w:numPr>
          <w:ilvl w:val="0"/>
          <w:numId w:val="1"/>
        </w:numPr>
        <w:tabs>
          <w:tab w:val="left" w:pos="1626"/>
          <w:tab w:val="left" w:pos="1627"/>
        </w:tabs>
        <w:spacing w:line="244" w:lineRule="auto"/>
        <w:ind w:hanging="688"/>
        <w:rPr>
          <w:sz w:val="21"/>
        </w:rPr>
      </w:pPr>
      <w:r>
        <w:rPr>
          <w:color w:val="494949"/>
          <w:sz w:val="21"/>
        </w:rPr>
        <w:t xml:space="preserve">The notice shall be </w:t>
      </w:r>
      <w:r>
        <w:rPr>
          <w:color w:val="3B3B3B"/>
          <w:sz w:val="21"/>
        </w:rPr>
        <w:t xml:space="preserve">in </w:t>
      </w:r>
      <w:r>
        <w:rPr>
          <w:color w:val="494949"/>
          <w:sz w:val="21"/>
        </w:rPr>
        <w:t>the form of a letter, and shall include the carrier's name, a description of the opt-out mechanism(s) used, the problem(s) experienced, the remedy proposed and when it wi</w:t>
      </w:r>
      <w:r>
        <w:rPr>
          <w:color w:val="494949"/>
          <w:sz w:val="21"/>
        </w:rPr>
        <w:t xml:space="preserve">ll be/was implemented, whether the </w:t>
      </w:r>
      <w:r w:rsidR="005802B5">
        <w:rPr>
          <w:color w:val="494949"/>
          <w:sz w:val="21"/>
        </w:rPr>
        <w:t>relevant state</w:t>
      </w:r>
      <w:r>
        <w:rPr>
          <w:color w:val="494949"/>
          <w:sz w:val="21"/>
        </w:rPr>
        <w:t xml:space="preserve"> commission(s) has been notified and whether it has taken any action, a copy of the notice provided to customers, and contact</w:t>
      </w:r>
      <w:r>
        <w:rPr>
          <w:color w:val="494949"/>
          <w:spacing w:val="7"/>
          <w:sz w:val="21"/>
        </w:rPr>
        <w:t xml:space="preserve"> </w:t>
      </w:r>
      <w:r>
        <w:rPr>
          <w:color w:val="494949"/>
          <w:sz w:val="21"/>
        </w:rPr>
        <w:t>information.</w:t>
      </w:r>
    </w:p>
    <w:p w:rsidR="006E7F4E" w:rsidRDefault="006E7F4E">
      <w:pPr>
        <w:pStyle w:val="BodyText"/>
        <w:spacing w:before="10"/>
        <w:rPr>
          <w:sz w:val="22"/>
        </w:rPr>
      </w:pPr>
    </w:p>
    <w:p w:rsidR="006E7F4E" w:rsidRDefault="00071279">
      <w:pPr>
        <w:pStyle w:val="ListParagraph"/>
        <w:numPr>
          <w:ilvl w:val="0"/>
          <w:numId w:val="1"/>
        </w:numPr>
        <w:tabs>
          <w:tab w:val="left" w:pos="1634"/>
          <w:tab w:val="left" w:pos="1635"/>
        </w:tabs>
        <w:spacing w:before="1" w:line="232" w:lineRule="auto"/>
        <w:ind w:left="1640" w:right="351" w:hanging="693"/>
        <w:rPr>
          <w:sz w:val="21"/>
        </w:rPr>
      </w:pPr>
      <w:r>
        <w:rPr>
          <w:color w:val="494949"/>
          <w:sz w:val="21"/>
        </w:rPr>
        <w:t>Such notice must be submitted even if the carrier offers other methods by which</w:t>
      </w:r>
      <w:r>
        <w:rPr>
          <w:color w:val="3B3B3B"/>
          <w:sz w:val="21"/>
        </w:rPr>
        <w:t xml:space="preserve"> consumers </w:t>
      </w:r>
      <w:r>
        <w:rPr>
          <w:color w:val="494949"/>
          <w:sz w:val="21"/>
        </w:rPr>
        <w:t>may</w:t>
      </w:r>
      <w:r>
        <w:rPr>
          <w:color w:val="494949"/>
          <w:spacing w:val="5"/>
          <w:sz w:val="21"/>
        </w:rPr>
        <w:t xml:space="preserve"> </w:t>
      </w:r>
      <w:r>
        <w:rPr>
          <w:color w:val="494949"/>
          <w:sz w:val="21"/>
        </w:rPr>
        <w:t>opt-out.</w:t>
      </w:r>
    </w:p>
    <w:p w:rsidR="006E7F4E" w:rsidRDefault="006E7F4E">
      <w:pPr>
        <w:pStyle w:val="BodyText"/>
        <w:spacing w:before="11"/>
        <w:rPr>
          <w:sz w:val="20"/>
        </w:rPr>
      </w:pPr>
    </w:p>
    <w:p w:rsidR="006E7F4E" w:rsidRDefault="00071279">
      <w:pPr>
        <w:pStyle w:val="BodyText"/>
        <w:spacing w:line="247" w:lineRule="auto"/>
        <w:ind w:left="256" w:right="239" w:hanging="4"/>
      </w:pPr>
      <w:r>
        <w:rPr>
          <w:color w:val="494949"/>
        </w:rPr>
        <w:t>The Company has not taken any actions (proceedings instituted or petitions filed by a company at either state commissions, the court system</w:t>
      </w:r>
      <w:r>
        <w:rPr>
          <w:color w:val="646464"/>
        </w:rPr>
        <w:t xml:space="preserve">, </w:t>
      </w:r>
      <w:r>
        <w:rPr>
          <w:color w:val="494949"/>
        </w:rPr>
        <w:t xml:space="preserve">or at the </w:t>
      </w:r>
      <w:r w:rsidR="005802B5">
        <w:rPr>
          <w:color w:val="494949"/>
        </w:rPr>
        <w:t>Commission against</w:t>
      </w:r>
      <w:r>
        <w:rPr>
          <w:color w:val="494949"/>
        </w:rPr>
        <w:t xml:space="preserve"> data brokers) against data brokers in the past year. Any information that they have with respect to the processes </w:t>
      </w:r>
      <w:proofErr w:type="spellStart"/>
      <w:r>
        <w:rPr>
          <w:color w:val="494949"/>
        </w:rPr>
        <w:t>pretexters</w:t>
      </w:r>
      <w:proofErr w:type="spellEnd"/>
      <w:r>
        <w:rPr>
          <w:color w:val="494949"/>
        </w:rPr>
        <w:t xml:space="preserve"> are using to attempt to access CPNI , and what steps companies are taking to protect CPNI</w:t>
      </w:r>
      <w:r>
        <w:rPr>
          <w:color w:val="646464"/>
        </w:rPr>
        <w:t>.</w:t>
      </w:r>
    </w:p>
    <w:p w:rsidR="006E7F4E" w:rsidRDefault="006E7F4E">
      <w:pPr>
        <w:pStyle w:val="BodyText"/>
        <w:spacing w:before="3"/>
      </w:pPr>
    </w:p>
    <w:p w:rsidR="006E7F4E" w:rsidRDefault="00071279">
      <w:pPr>
        <w:pStyle w:val="BodyText"/>
        <w:spacing w:line="242" w:lineRule="auto"/>
        <w:ind w:left="265" w:right="337" w:hanging="4"/>
      </w:pPr>
      <w:r>
        <w:rPr>
          <w:color w:val="494949"/>
        </w:rPr>
        <w:t xml:space="preserve">The Company has not </w:t>
      </w:r>
      <w:r>
        <w:rPr>
          <w:color w:val="494949"/>
        </w:rPr>
        <w:t>received any customer complaints concerning the unauthorized release of CPNI in the past year</w:t>
      </w:r>
      <w:r>
        <w:rPr>
          <w:color w:val="646464"/>
        </w:rPr>
        <w:t>.</w:t>
      </w:r>
    </w:p>
    <w:p w:rsidR="006E7F4E" w:rsidRDefault="006E7F4E">
      <w:pPr>
        <w:pStyle w:val="BodyText"/>
        <w:spacing w:before="1"/>
      </w:pPr>
    </w:p>
    <w:p w:rsidR="006E7F4E" w:rsidRDefault="00071279">
      <w:pPr>
        <w:pStyle w:val="BodyText"/>
        <w:spacing w:line="244" w:lineRule="auto"/>
        <w:ind w:left="273" w:right="337" w:hanging="6"/>
      </w:pPr>
      <w:r>
        <w:rPr>
          <w:color w:val="494949"/>
        </w:rPr>
        <w:t>The company represents and warrants that the above certification is consistent with 47 C.F</w:t>
      </w:r>
      <w:r>
        <w:rPr>
          <w:color w:val="646464"/>
        </w:rPr>
        <w:t>.</w:t>
      </w:r>
      <w:r>
        <w:rPr>
          <w:color w:val="494949"/>
        </w:rPr>
        <w:t xml:space="preserve">R. </w:t>
      </w:r>
      <w:r>
        <w:rPr>
          <w:rFonts w:ascii="Arial" w:hAnsi="Arial"/>
          <w:color w:val="494949"/>
          <w:sz w:val="18"/>
        </w:rPr>
        <w:t xml:space="preserve">§ </w:t>
      </w:r>
      <w:r>
        <w:rPr>
          <w:color w:val="494949"/>
        </w:rPr>
        <w:t>1.17, which requires truthful and accurate statements to the Com</w:t>
      </w:r>
      <w:r>
        <w:rPr>
          <w:color w:val="494949"/>
        </w:rPr>
        <w:t>mission</w:t>
      </w:r>
      <w:r>
        <w:rPr>
          <w:color w:val="727272"/>
        </w:rPr>
        <w:t xml:space="preserve">. </w:t>
      </w:r>
      <w:r>
        <w:rPr>
          <w:color w:val="494949"/>
        </w:rPr>
        <w:t>The company also acknowledges that false statements and misrepresentations to the Commission ar</w:t>
      </w:r>
      <w:r>
        <w:rPr>
          <w:color w:val="646464"/>
        </w:rPr>
        <w:t xml:space="preserve">e </w:t>
      </w:r>
      <w:r>
        <w:rPr>
          <w:color w:val="494949"/>
        </w:rPr>
        <w:t>punish</w:t>
      </w:r>
      <w:r>
        <w:rPr>
          <w:color w:val="646464"/>
        </w:rPr>
        <w:t>a</w:t>
      </w:r>
      <w:r>
        <w:rPr>
          <w:color w:val="494949"/>
        </w:rPr>
        <w:t>ble under Title 18 of the U</w:t>
      </w:r>
      <w:r>
        <w:rPr>
          <w:color w:val="646464"/>
        </w:rPr>
        <w:t>.</w:t>
      </w:r>
      <w:r>
        <w:rPr>
          <w:color w:val="494949"/>
        </w:rPr>
        <w:t>S. Code and may subject it to enforcement action</w:t>
      </w:r>
      <w:r>
        <w:rPr>
          <w:color w:val="727272"/>
        </w:rPr>
        <w:t>.</w:t>
      </w:r>
    </w:p>
    <w:p w:rsidR="006E7F4E" w:rsidRDefault="006E7F4E">
      <w:pPr>
        <w:pStyle w:val="BodyText"/>
        <w:spacing w:before="1"/>
        <w:rPr>
          <w:sz w:val="22"/>
        </w:rPr>
      </w:pPr>
    </w:p>
    <w:p w:rsidR="006E7F4E" w:rsidRDefault="00071279">
      <w:pPr>
        <w:pStyle w:val="BodyText"/>
        <w:spacing w:after="4" w:line="242" w:lineRule="auto"/>
        <w:ind w:left="281" w:right="337" w:hanging="5"/>
      </w:pPr>
      <w:r>
        <w:rPr>
          <w:color w:val="494949"/>
        </w:rPr>
        <w:t>The Company annually submits a CPNI certification to the FCC fro</w:t>
      </w:r>
      <w:r>
        <w:rPr>
          <w:color w:val="494949"/>
        </w:rPr>
        <w:t xml:space="preserve">m an officer with personal knowledge of the </w:t>
      </w:r>
      <w:r w:rsidR="005802B5">
        <w:rPr>
          <w:color w:val="494949"/>
        </w:rPr>
        <w:t>p</w:t>
      </w:r>
      <w:r>
        <w:rPr>
          <w:color w:val="494949"/>
        </w:rPr>
        <w:t>olicies</w:t>
      </w:r>
      <w:r w:rsidR="005802B5">
        <w:rPr>
          <w:color w:val="494949"/>
        </w:rPr>
        <w:t xml:space="preserve"> and p</w:t>
      </w:r>
      <w:r>
        <w:rPr>
          <w:color w:val="494949"/>
          <w:w w:val="120"/>
        </w:rPr>
        <w:t xml:space="preserve">rocedures </w:t>
      </w:r>
      <w:r w:rsidR="005802B5">
        <w:rPr>
          <w:color w:val="494949"/>
        </w:rPr>
        <w:t>that it has impl</w:t>
      </w:r>
      <w:r>
        <w:rPr>
          <w:color w:val="646464"/>
        </w:rPr>
        <w:t>e</w:t>
      </w:r>
      <w:r>
        <w:rPr>
          <w:color w:val="494949"/>
        </w:rPr>
        <w:t>mented to safeguard CPNI.</w:t>
      </w:r>
    </w:p>
    <w:p w:rsidR="006E7F4E" w:rsidRDefault="006E7F4E">
      <w:pPr>
        <w:pStyle w:val="BodyText"/>
        <w:ind w:left="268"/>
        <w:rPr>
          <w:sz w:val="20"/>
        </w:rPr>
      </w:pPr>
    </w:p>
    <w:p w:rsidR="005802B5" w:rsidRDefault="005802B5" w:rsidP="005802B5">
      <w:pPr>
        <w:ind w:left="282"/>
        <w:rPr>
          <w:rFonts w:ascii="Courier New"/>
          <w:color w:val="494949"/>
          <w:w w:val="110"/>
          <w:sz w:val="25"/>
        </w:rPr>
      </w:pPr>
    </w:p>
    <w:p w:rsidR="005802B5" w:rsidRDefault="005802B5" w:rsidP="005802B5">
      <w:pPr>
        <w:ind w:left="282"/>
        <w:rPr>
          <w:rFonts w:ascii="Courier New"/>
          <w:color w:val="494949"/>
          <w:w w:val="110"/>
          <w:sz w:val="25"/>
        </w:rPr>
      </w:pPr>
    </w:p>
    <w:p w:rsidR="005802B5" w:rsidRDefault="005802B5" w:rsidP="005802B5">
      <w:pPr>
        <w:ind w:left="282"/>
        <w:rPr>
          <w:rFonts w:ascii="Courier New"/>
          <w:color w:val="494949"/>
          <w:w w:val="110"/>
          <w:sz w:val="25"/>
        </w:rPr>
      </w:pPr>
      <w:r>
        <w:rPr>
          <w:rFonts w:ascii="Courier New"/>
          <w:noProof/>
          <w:color w:val="494949"/>
          <w:w w:val="110"/>
          <w:sz w:val="25"/>
        </w:rPr>
        <w:drawing>
          <wp:inline distT="0" distB="0" distL="0" distR="0">
            <wp:extent cx="1121134" cy="3716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 pic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1292" cy="371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02B5" w:rsidRDefault="00071279" w:rsidP="005802B5">
      <w:pPr>
        <w:ind w:left="282"/>
        <w:rPr>
          <w:rFonts w:ascii="Courier New"/>
          <w:color w:val="494949"/>
          <w:w w:val="110"/>
          <w:sz w:val="25"/>
        </w:rPr>
      </w:pPr>
      <w:r>
        <w:rPr>
          <w:rFonts w:ascii="Courier New"/>
          <w:color w:val="494949"/>
          <w:w w:val="110"/>
          <w:sz w:val="25"/>
        </w:rPr>
        <w:t>CEO</w:t>
      </w:r>
    </w:p>
    <w:p w:rsidR="00071279" w:rsidRDefault="00071279" w:rsidP="005802B5">
      <w:pPr>
        <w:ind w:left="282"/>
        <w:rPr>
          <w:rFonts w:ascii="Courier New"/>
          <w:color w:val="494949"/>
          <w:w w:val="110"/>
          <w:sz w:val="25"/>
        </w:rPr>
      </w:pPr>
      <w:r>
        <w:rPr>
          <w:rFonts w:ascii="Courier New"/>
          <w:color w:val="494949"/>
          <w:w w:val="110"/>
          <w:sz w:val="25"/>
        </w:rPr>
        <w:t>2/22/2018</w:t>
      </w:r>
      <w:bookmarkStart w:id="0" w:name="_GoBack"/>
      <w:bookmarkEnd w:id="0"/>
    </w:p>
    <w:p w:rsidR="005802B5" w:rsidRDefault="005802B5" w:rsidP="005802B5">
      <w:pPr>
        <w:ind w:left="282"/>
        <w:rPr>
          <w:rFonts w:ascii="Courier New"/>
          <w:color w:val="494949"/>
          <w:w w:val="110"/>
          <w:sz w:val="25"/>
        </w:rPr>
      </w:pPr>
    </w:p>
    <w:p w:rsidR="005802B5" w:rsidRDefault="005802B5" w:rsidP="005802B5">
      <w:pPr>
        <w:ind w:left="282"/>
        <w:rPr>
          <w:rFonts w:ascii="Courier New"/>
          <w:sz w:val="7"/>
        </w:rPr>
      </w:pPr>
    </w:p>
    <w:p w:rsidR="006E7F4E" w:rsidRDefault="006E7F4E">
      <w:pPr>
        <w:pStyle w:val="BodyText"/>
        <w:spacing w:before="9"/>
        <w:rPr>
          <w:rFonts w:ascii="Courier New"/>
          <w:sz w:val="7"/>
        </w:rPr>
      </w:pPr>
    </w:p>
    <w:p w:rsidR="006E7F4E" w:rsidRPr="005802B5" w:rsidRDefault="00071279" w:rsidP="005802B5">
      <w:pPr>
        <w:pStyle w:val="BodyText"/>
        <w:spacing w:line="20" w:lineRule="exact"/>
        <w:rPr>
          <w:rFonts w:ascii="Courier New"/>
          <w:sz w:val="2"/>
        </w:rPr>
      </w:pPr>
      <w:r>
        <w:pict>
          <v:line id="_x0000_s1026" style="position:absolute;z-index:-251659264;mso-position-horizontal-relative:page" from="154.1pt,17.8pt" to="174.75pt,17.8pt" strokecolor="#494949" strokeweight=".35294mm">
            <w10:wrap anchorx="page"/>
          </v:line>
        </w:pict>
      </w:r>
      <w:r>
        <w:rPr>
          <w:rFonts w:ascii="Courier New"/>
          <w:sz w:val="2"/>
        </w:rPr>
        <w:t xml:space="preserve">  </w:t>
      </w:r>
    </w:p>
    <w:sectPr w:rsidR="006E7F4E" w:rsidRPr="005802B5">
      <w:pgSz w:w="12240" w:h="20160"/>
      <w:pgMar w:top="166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83527"/>
    <w:multiLevelType w:val="hybridMultilevel"/>
    <w:tmpl w:val="BE0EC1EC"/>
    <w:lvl w:ilvl="0" w:tplc="2C480A4E">
      <w:start w:val="1"/>
      <w:numFmt w:val="decimal"/>
      <w:lvlText w:val="(%1)"/>
      <w:lvlJc w:val="left"/>
      <w:pPr>
        <w:ind w:left="1630" w:hanging="685"/>
        <w:jc w:val="left"/>
      </w:pPr>
      <w:rPr>
        <w:rFonts w:ascii="Times New Roman" w:eastAsia="Times New Roman" w:hAnsi="Times New Roman" w:cs="Times New Roman" w:hint="default"/>
        <w:color w:val="494949"/>
        <w:w w:val="102"/>
        <w:sz w:val="21"/>
        <w:szCs w:val="21"/>
      </w:rPr>
    </w:lvl>
    <w:lvl w:ilvl="1" w:tplc="994C99A6">
      <w:numFmt w:val="bullet"/>
      <w:lvlText w:val="•"/>
      <w:lvlJc w:val="left"/>
      <w:pPr>
        <w:ind w:left="2356" w:hanging="685"/>
      </w:pPr>
      <w:rPr>
        <w:rFonts w:hint="default"/>
      </w:rPr>
    </w:lvl>
    <w:lvl w:ilvl="2" w:tplc="DC10EF0A">
      <w:numFmt w:val="bullet"/>
      <w:lvlText w:val="•"/>
      <w:lvlJc w:val="left"/>
      <w:pPr>
        <w:ind w:left="3072" w:hanging="685"/>
      </w:pPr>
      <w:rPr>
        <w:rFonts w:hint="default"/>
      </w:rPr>
    </w:lvl>
    <w:lvl w:ilvl="3" w:tplc="08C8445C">
      <w:numFmt w:val="bullet"/>
      <w:lvlText w:val="•"/>
      <w:lvlJc w:val="left"/>
      <w:pPr>
        <w:ind w:left="3788" w:hanging="685"/>
      </w:pPr>
      <w:rPr>
        <w:rFonts w:hint="default"/>
      </w:rPr>
    </w:lvl>
    <w:lvl w:ilvl="4" w:tplc="02164C44">
      <w:numFmt w:val="bullet"/>
      <w:lvlText w:val="•"/>
      <w:lvlJc w:val="left"/>
      <w:pPr>
        <w:ind w:left="4504" w:hanging="685"/>
      </w:pPr>
      <w:rPr>
        <w:rFonts w:hint="default"/>
      </w:rPr>
    </w:lvl>
    <w:lvl w:ilvl="5" w:tplc="63DA415A">
      <w:numFmt w:val="bullet"/>
      <w:lvlText w:val="•"/>
      <w:lvlJc w:val="left"/>
      <w:pPr>
        <w:ind w:left="5220" w:hanging="685"/>
      </w:pPr>
      <w:rPr>
        <w:rFonts w:hint="default"/>
      </w:rPr>
    </w:lvl>
    <w:lvl w:ilvl="6" w:tplc="6B147C20">
      <w:numFmt w:val="bullet"/>
      <w:lvlText w:val="•"/>
      <w:lvlJc w:val="left"/>
      <w:pPr>
        <w:ind w:left="5936" w:hanging="685"/>
      </w:pPr>
      <w:rPr>
        <w:rFonts w:hint="default"/>
      </w:rPr>
    </w:lvl>
    <w:lvl w:ilvl="7" w:tplc="70BC3918">
      <w:numFmt w:val="bullet"/>
      <w:lvlText w:val="•"/>
      <w:lvlJc w:val="left"/>
      <w:pPr>
        <w:ind w:left="6652" w:hanging="685"/>
      </w:pPr>
      <w:rPr>
        <w:rFonts w:hint="default"/>
      </w:rPr>
    </w:lvl>
    <w:lvl w:ilvl="8" w:tplc="D69219EA">
      <w:numFmt w:val="bullet"/>
      <w:lvlText w:val="•"/>
      <w:lvlJc w:val="left"/>
      <w:pPr>
        <w:ind w:left="7368" w:hanging="6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E7F4E"/>
    <w:rsid w:val="00071279"/>
    <w:rsid w:val="005802B5"/>
    <w:rsid w:val="006E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1630" w:right="241" w:hanging="693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80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2B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849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Ranch</dc:creator>
  <cp:lastModifiedBy>Ranch</cp:lastModifiedBy>
  <cp:revision>2</cp:revision>
  <dcterms:created xsi:type="dcterms:W3CDTF">2018-02-22T17:21:00Z</dcterms:created>
  <dcterms:modified xsi:type="dcterms:W3CDTF">2018-02-22T17:21:00Z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2016-02-22T00:00:00Z</vt:filetime>
  </property>
  <property fmtid="{D5CDD505-2E9C-101B-9397-08002B2CF9AE}" pid="3" name="Creator">
    <vt:lpwstr>Adobe Acrobat 11.0.7</vt:lpwstr>
  </property>
  <property fmtid="{D5CDD505-2E9C-101B-9397-08002B2CF9AE}" pid="4" name="LastSaved">
    <vt:filetime>2018-02-22T00:00:00Z</vt:filetime>
  </property>
</Properties>
</file>