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88C" w:rsidRDefault="0021088C">
      <w:pPr>
        <w:tabs>
          <w:tab w:val="center" w:pos="4680"/>
        </w:tabs>
        <w:suppressAutoHyphens/>
        <w:spacing w:line="227" w:lineRule="auto"/>
        <w:outlineLvl w:val="0"/>
        <w:rPr>
          <w:b/>
          <w:sz w:val="22"/>
        </w:rPr>
      </w:pPr>
      <w:r>
        <w:rPr>
          <w:b/>
          <w:sz w:val="22"/>
        </w:rPr>
        <w:tab/>
        <w:t>AGENDA</w:t>
      </w:r>
    </w:p>
    <w:p w:rsidR="0021088C" w:rsidRDefault="0021088C">
      <w:pPr>
        <w:tabs>
          <w:tab w:val="left" w:pos="-720"/>
        </w:tabs>
        <w:suppressAutoHyphens/>
        <w:spacing w:line="227" w:lineRule="auto"/>
        <w:rPr>
          <w:b/>
          <w:sz w:val="22"/>
        </w:rPr>
      </w:pPr>
    </w:p>
    <w:p w:rsidR="006566FC" w:rsidRDefault="00B80385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Fourth</w:t>
      </w:r>
      <w:r w:rsidR="0021088C">
        <w:rPr>
          <w:b/>
          <w:sz w:val="22"/>
        </w:rPr>
        <w:t xml:space="preserve"> Meeting of the </w:t>
      </w:r>
    </w:p>
    <w:p w:rsidR="0021088C" w:rsidRDefault="006566FC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World Radiocommunication Conference</w:t>
      </w:r>
      <w:r w:rsidR="0021088C">
        <w:rPr>
          <w:b/>
          <w:sz w:val="22"/>
        </w:rPr>
        <w:t xml:space="preserve"> Advisory Committee</w:t>
      </w:r>
      <w:r>
        <w:rPr>
          <w:b/>
          <w:sz w:val="22"/>
        </w:rPr>
        <w:t xml:space="preserve"> (2019)</w:t>
      </w:r>
    </w:p>
    <w:p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r>
        <w:rPr>
          <w:b/>
          <w:sz w:val="22"/>
        </w:rPr>
        <w:t>Federal Communications Commission</w:t>
      </w:r>
    </w:p>
    <w:p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  <w:sz w:val="22"/>
            </w:rPr>
            <w:t>445 12th Street, S.W.</w:t>
          </w:r>
        </w:smartTag>
      </w:smartTag>
    </w:p>
    <w:p w:rsidR="0021088C" w:rsidRDefault="0021088C">
      <w:pPr>
        <w:tabs>
          <w:tab w:val="left" w:pos="-720"/>
        </w:tabs>
        <w:suppressAutoHyphens/>
        <w:spacing w:line="227" w:lineRule="auto"/>
        <w:jc w:val="center"/>
        <w:rPr>
          <w:b/>
          <w:sz w:val="22"/>
        </w:rPr>
      </w:pPr>
      <w:r>
        <w:rPr>
          <w:b/>
          <w:sz w:val="22"/>
        </w:rPr>
        <w:t>Commission Meeting Room (TW-C305)</w:t>
      </w:r>
    </w:p>
    <w:p w:rsidR="0021088C" w:rsidRDefault="0021088C">
      <w:pPr>
        <w:pStyle w:val="Heading2"/>
      </w:pP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>
          <w:t xml:space="preserve">, </w:t>
        </w:r>
        <w:smartTag w:uri="urn:schemas-microsoft-com:office:smarttags" w:element="State">
          <w:r>
            <w:t>D.C.</w:t>
          </w:r>
        </w:smartTag>
        <w:r>
          <w:t xml:space="preserve"> </w:t>
        </w:r>
        <w:smartTag w:uri="urn:schemas-microsoft-com:office:smarttags" w:element="PostalCode">
          <w:r>
            <w:t>20554</w:t>
          </w:r>
        </w:smartTag>
      </w:smartTag>
    </w:p>
    <w:p w:rsidR="0021088C" w:rsidRDefault="00B80385">
      <w:pPr>
        <w:tabs>
          <w:tab w:val="left" w:pos="-720"/>
        </w:tabs>
        <w:suppressAutoHyphens/>
        <w:spacing w:line="227" w:lineRule="auto"/>
        <w:jc w:val="center"/>
        <w:outlineLvl w:val="0"/>
        <w:rPr>
          <w:b/>
          <w:sz w:val="22"/>
        </w:rPr>
      </w:pPr>
      <w:r>
        <w:rPr>
          <w:b/>
          <w:sz w:val="22"/>
        </w:rPr>
        <w:t>October 30</w:t>
      </w:r>
      <w:r w:rsidR="006566FC">
        <w:rPr>
          <w:b/>
          <w:sz w:val="22"/>
        </w:rPr>
        <w:t>, 201</w:t>
      </w:r>
      <w:r w:rsidR="003C2F7E">
        <w:rPr>
          <w:b/>
          <w:sz w:val="22"/>
        </w:rPr>
        <w:t>7</w:t>
      </w:r>
    </w:p>
    <w:p w:rsidR="0021088C" w:rsidRDefault="006566FC">
      <w:pPr>
        <w:tabs>
          <w:tab w:val="left" w:pos="-720"/>
        </w:tabs>
        <w:suppressAutoHyphens/>
        <w:spacing w:line="227" w:lineRule="auto"/>
        <w:jc w:val="center"/>
        <w:outlineLvl w:val="0"/>
        <w:rPr>
          <w:sz w:val="22"/>
        </w:rPr>
      </w:pPr>
      <w:r>
        <w:rPr>
          <w:b/>
          <w:sz w:val="22"/>
        </w:rPr>
        <w:t>11</w:t>
      </w:r>
      <w:r w:rsidR="0021088C">
        <w:rPr>
          <w:b/>
          <w:sz w:val="22"/>
        </w:rPr>
        <w:t>:</w:t>
      </w:r>
      <w:r w:rsidR="007D6911">
        <w:rPr>
          <w:b/>
          <w:sz w:val="22"/>
        </w:rPr>
        <w:t>0</w:t>
      </w:r>
      <w:r w:rsidR="0021088C">
        <w:rPr>
          <w:b/>
          <w:sz w:val="22"/>
        </w:rPr>
        <w:t xml:space="preserve">0 </w:t>
      </w:r>
      <w:r w:rsidR="00353262">
        <w:rPr>
          <w:b/>
          <w:sz w:val="22"/>
        </w:rPr>
        <w:t>AM</w:t>
      </w:r>
      <w:r w:rsidR="0021088C">
        <w:rPr>
          <w:b/>
          <w:sz w:val="22"/>
        </w:rPr>
        <w:t xml:space="preserve"> </w:t>
      </w:r>
    </w:p>
    <w:p w:rsidR="007D6911" w:rsidRPr="000331F7" w:rsidRDefault="007D6911" w:rsidP="007D691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Cs w:val="24"/>
        </w:rPr>
      </w:pPr>
    </w:p>
    <w:p w:rsidR="0021088C" w:rsidRPr="000331F7" w:rsidRDefault="0021088C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  <w:r w:rsidRPr="000331F7">
        <w:rPr>
          <w:szCs w:val="24"/>
        </w:rPr>
        <w:t>1.</w:t>
      </w:r>
      <w:r w:rsidRPr="000331F7">
        <w:rPr>
          <w:szCs w:val="24"/>
        </w:rPr>
        <w:tab/>
        <w:t>Opening Remarks</w:t>
      </w:r>
      <w:r w:rsidR="00710ED9" w:rsidRPr="000331F7">
        <w:rPr>
          <w:szCs w:val="24"/>
        </w:rPr>
        <w:t xml:space="preserve"> </w:t>
      </w:r>
    </w:p>
    <w:p w:rsidR="0021088C" w:rsidRPr="000331F7" w:rsidRDefault="0021088C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</w:p>
    <w:p w:rsidR="0048066D" w:rsidRPr="000331F7" w:rsidRDefault="0021088C" w:rsidP="0048066D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ind w:hanging="720"/>
        <w:rPr>
          <w:szCs w:val="24"/>
        </w:rPr>
      </w:pPr>
      <w:r w:rsidRPr="000331F7">
        <w:rPr>
          <w:szCs w:val="24"/>
        </w:rPr>
        <w:t xml:space="preserve">Approval of Agenda – Document </w:t>
      </w:r>
      <w:r w:rsidRPr="000331F7">
        <w:rPr>
          <w:b/>
          <w:szCs w:val="24"/>
        </w:rPr>
        <w:t>WAC/</w:t>
      </w:r>
      <w:r w:rsidR="007D6911" w:rsidRPr="000331F7">
        <w:rPr>
          <w:b/>
          <w:szCs w:val="24"/>
        </w:rPr>
        <w:t>0</w:t>
      </w:r>
      <w:r w:rsidR="00B80385" w:rsidRPr="000331F7">
        <w:rPr>
          <w:b/>
          <w:szCs w:val="24"/>
        </w:rPr>
        <w:t>3</w:t>
      </w:r>
      <w:r w:rsidR="003C2F7E" w:rsidRPr="000331F7">
        <w:rPr>
          <w:b/>
          <w:szCs w:val="24"/>
        </w:rPr>
        <w:t>7</w:t>
      </w:r>
      <w:r w:rsidR="000331F7">
        <w:rPr>
          <w:b/>
          <w:szCs w:val="24"/>
        </w:rPr>
        <w:t xml:space="preserve"> </w:t>
      </w:r>
      <w:r w:rsidRPr="000331F7">
        <w:rPr>
          <w:b/>
          <w:szCs w:val="24"/>
        </w:rPr>
        <w:t>(</w:t>
      </w:r>
      <w:r w:rsidR="00B80385" w:rsidRPr="000331F7">
        <w:rPr>
          <w:b/>
          <w:szCs w:val="24"/>
        </w:rPr>
        <w:t>30.10</w:t>
      </w:r>
      <w:r w:rsidR="003C2F7E" w:rsidRPr="000331F7">
        <w:rPr>
          <w:b/>
          <w:szCs w:val="24"/>
        </w:rPr>
        <w:t>.17</w:t>
      </w:r>
      <w:r w:rsidRPr="000331F7">
        <w:rPr>
          <w:b/>
          <w:szCs w:val="24"/>
        </w:rPr>
        <w:t>)</w:t>
      </w:r>
    </w:p>
    <w:p w:rsidR="00353262" w:rsidRPr="000331F7" w:rsidRDefault="00353262" w:rsidP="00353262">
      <w:p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rPr>
          <w:szCs w:val="24"/>
        </w:rPr>
      </w:pPr>
    </w:p>
    <w:p w:rsidR="00587488" w:rsidRPr="000331F7" w:rsidRDefault="00587488" w:rsidP="00587488">
      <w:pPr>
        <w:numPr>
          <w:ilvl w:val="0"/>
          <w:numId w:val="41"/>
        </w:numPr>
        <w:tabs>
          <w:tab w:val="left" w:pos="-1440"/>
          <w:tab w:val="left" w:pos="-720"/>
          <w:tab w:val="left" w:pos="0"/>
          <w:tab w:val="left" w:pos="360"/>
          <w:tab w:val="left" w:pos="1440"/>
        </w:tabs>
        <w:suppressAutoHyphens/>
        <w:spacing w:line="227" w:lineRule="auto"/>
        <w:ind w:hanging="720"/>
        <w:rPr>
          <w:szCs w:val="24"/>
        </w:rPr>
      </w:pPr>
      <w:r w:rsidRPr="000331F7">
        <w:rPr>
          <w:szCs w:val="24"/>
        </w:rPr>
        <w:t xml:space="preserve">Approval of Minutes of the </w:t>
      </w:r>
      <w:r w:rsidR="00D55628">
        <w:rPr>
          <w:szCs w:val="24"/>
        </w:rPr>
        <w:t xml:space="preserve">Third </w:t>
      </w:r>
      <w:bookmarkStart w:id="0" w:name="_GoBack"/>
      <w:bookmarkEnd w:id="0"/>
      <w:r w:rsidRPr="000331F7">
        <w:rPr>
          <w:szCs w:val="24"/>
        </w:rPr>
        <w:t xml:space="preserve">Meeting – Document </w:t>
      </w:r>
      <w:r w:rsidRPr="000331F7">
        <w:rPr>
          <w:b/>
          <w:szCs w:val="24"/>
        </w:rPr>
        <w:t>WAC/0</w:t>
      </w:r>
      <w:r w:rsidR="00B80385" w:rsidRPr="000331F7">
        <w:rPr>
          <w:b/>
          <w:szCs w:val="24"/>
        </w:rPr>
        <w:t>36</w:t>
      </w:r>
      <w:r w:rsidR="000331F7" w:rsidRPr="000331F7">
        <w:rPr>
          <w:b/>
          <w:szCs w:val="24"/>
        </w:rPr>
        <w:t xml:space="preserve"> </w:t>
      </w:r>
      <w:r w:rsidR="003C2F7E" w:rsidRPr="000331F7">
        <w:rPr>
          <w:b/>
          <w:szCs w:val="24"/>
        </w:rPr>
        <w:t>(</w:t>
      </w:r>
      <w:r w:rsidR="00B80385" w:rsidRPr="000331F7">
        <w:rPr>
          <w:b/>
          <w:szCs w:val="24"/>
        </w:rPr>
        <w:t>30.10</w:t>
      </w:r>
      <w:r w:rsidR="003C2F7E" w:rsidRPr="000331F7">
        <w:rPr>
          <w:b/>
          <w:szCs w:val="24"/>
        </w:rPr>
        <w:t>.17)</w:t>
      </w:r>
    </w:p>
    <w:p w:rsidR="00587488" w:rsidRPr="008D5CDF" w:rsidRDefault="00587488" w:rsidP="00587488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7" w:lineRule="auto"/>
        <w:rPr>
          <w:b/>
          <w:szCs w:val="24"/>
        </w:rPr>
      </w:pPr>
    </w:p>
    <w:p w:rsidR="00587488" w:rsidRPr="00A00D27" w:rsidRDefault="009F72C7" w:rsidP="009F72C7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ind w:left="360"/>
        <w:rPr>
          <w:szCs w:val="24"/>
        </w:rPr>
      </w:pPr>
      <w:r>
        <w:t>NTIA Draft Preliminary Views and Proposals</w:t>
      </w:r>
    </w:p>
    <w:p w:rsidR="00A00D27" w:rsidRPr="008D5CDF" w:rsidRDefault="00A00D27" w:rsidP="00A00D27">
      <w:pPr>
        <w:tabs>
          <w:tab w:val="left" w:pos="-1440"/>
          <w:tab w:val="left" w:pos="-720"/>
          <w:tab w:val="left" w:pos="0"/>
          <w:tab w:val="left" w:pos="1440"/>
        </w:tabs>
        <w:suppressAutoHyphens/>
        <w:rPr>
          <w:szCs w:val="24"/>
        </w:rPr>
      </w:pPr>
    </w:p>
    <w:p w:rsidR="00A00D27" w:rsidRPr="001F73DD" w:rsidRDefault="001F73DD" w:rsidP="00A00D27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225" w:lineRule="auto"/>
        <w:rPr>
          <w:szCs w:val="24"/>
        </w:rPr>
      </w:pPr>
      <w:r w:rsidRPr="001F73DD">
        <w:rPr>
          <w:szCs w:val="24"/>
        </w:rPr>
        <w:t xml:space="preserve">Letter, 29 September 2017, </w:t>
      </w:r>
      <w:r w:rsidR="00A00D27" w:rsidRPr="001F73DD">
        <w:rPr>
          <w:szCs w:val="24"/>
        </w:rPr>
        <w:t xml:space="preserve">Draft </w:t>
      </w:r>
      <w:r w:rsidRPr="001F73DD">
        <w:rPr>
          <w:szCs w:val="24"/>
        </w:rPr>
        <w:t xml:space="preserve">Preliminary View for WRC-19 Agenda Item 1.7 (space operations service for non-GSO satellites with short duration missions below 1 GHz), Document </w:t>
      </w:r>
      <w:r w:rsidRPr="001F73DD">
        <w:rPr>
          <w:b/>
          <w:bCs/>
          <w:szCs w:val="24"/>
        </w:rPr>
        <w:t>WAC/038</w:t>
      </w:r>
      <w:r>
        <w:rPr>
          <w:b/>
          <w:bCs/>
          <w:szCs w:val="24"/>
        </w:rPr>
        <w:t xml:space="preserve"> </w:t>
      </w:r>
      <w:r w:rsidRPr="001F73DD">
        <w:rPr>
          <w:b/>
          <w:szCs w:val="24"/>
        </w:rPr>
        <w:t>(02.10</w:t>
      </w:r>
      <w:r w:rsidR="00A00D27" w:rsidRPr="001F73DD">
        <w:rPr>
          <w:b/>
          <w:szCs w:val="24"/>
        </w:rPr>
        <w:t>.17)</w:t>
      </w:r>
    </w:p>
    <w:p w:rsidR="00A00D27" w:rsidRDefault="00A00D27" w:rsidP="00A00D27">
      <w:pPr>
        <w:suppressAutoHyphens/>
        <w:autoSpaceDE w:val="0"/>
        <w:autoSpaceDN w:val="0"/>
        <w:adjustRightInd w:val="0"/>
        <w:spacing w:line="225" w:lineRule="auto"/>
        <w:ind w:left="1080"/>
        <w:rPr>
          <w:szCs w:val="24"/>
        </w:rPr>
      </w:pPr>
    </w:p>
    <w:p w:rsidR="00587488" w:rsidRPr="008D5CDF" w:rsidRDefault="00587488" w:rsidP="00587488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line="227" w:lineRule="auto"/>
        <w:ind w:left="720"/>
        <w:rPr>
          <w:szCs w:val="24"/>
        </w:rPr>
      </w:pPr>
    </w:p>
    <w:p w:rsidR="00587488" w:rsidRPr="008D5CDF" w:rsidRDefault="00587488" w:rsidP="00587488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after="120" w:line="228" w:lineRule="auto"/>
        <w:ind w:left="360"/>
        <w:rPr>
          <w:szCs w:val="24"/>
        </w:rPr>
      </w:pPr>
      <w:r w:rsidRPr="008D5CDF">
        <w:rPr>
          <w:szCs w:val="24"/>
        </w:rPr>
        <w:t>IWG Status Reports and Consideration of Preliminary Views</w:t>
      </w:r>
      <w:r w:rsidR="00C1381B">
        <w:rPr>
          <w:szCs w:val="24"/>
        </w:rPr>
        <w:t xml:space="preserve"> and Draft Proposals</w:t>
      </w:r>
    </w:p>
    <w:p w:rsidR="00587488" w:rsidRPr="008D5CDF" w:rsidRDefault="00587488" w:rsidP="00587488">
      <w:pPr>
        <w:autoSpaceDE w:val="0"/>
        <w:autoSpaceDN w:val="0"/>
        <w:adjustRightInd w:val="0"/>
        <w:rPr>
          <w:b/>
          <w:bCs/>
          <w:szCs w:val="24"/>
        </w:rPr>
      </w:pPr>
    </w:p>
    <w:p w:rsidR="00587488" w:rsidRPr="00EB547A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</w:rPr>
      </w:pPr>
      <w:r w:rsidRPr="00EB547A">
        <w:rPr>
          <w:b/>
          <w:bCs/>
          <w:szCs w:val="24"/>
        </w:rPr>
        <w:t>IWG-1: Maritime, Aeronautical and Radar Services</w:t>
      </w:r>
    </w:p>
    <w:p w:rsidR="00587488" w:rsidRPr="00EB547A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</w:rPr>
      </w:pPr>
    </w:p>
    <w:p w:rsidR="00587488" w:rsidRPr="00EB547A" w:rsidRDefault="00587488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EB547A">
        <w:rPr>
          <w:szCs w:val="24"/>
        </w:rPr>
        <w:t>Status Report:</w:t>
      </w:r>
    </w:p>
    <w:p w:rsidR="008E38D0" w:rsidRPr="00EB547A" w:rsidRDefault="008E38D0" w:rsidP="00420E32">
      <w:pPr>
        <w:autoSpaceDE w:val="0"/>
        <w:autoSpaceDN w:val="0"/>
        <w:adjustRightInd w:val="0"/>
        <w:ind w:left="360"/>
        <w:rPr>
          <w:szCs w:val="24"/>
        </w:rPr>
      </w:pPr>
    </w:p>
    <w:p w:rsidR="00CE6DC7" w:rsidRDefault="00CE6DC7" w:rsidP="00F721EC">
      <w:pPr>
        <w:widowControl w:val="0"/>
        <w:overflowPunct w:val="0"/>
        <w:autoSpaceDE w:val="0"/>
        <w:autoSpaceDN w:val="0"/>
        <w:adjustRightInd w:val="0"/>
        <w:ind w:left="720" w:right="440"/>
      </w:pPr>
      <w:r w:rsidRPr="00CE6DC7">
        <w:rPr>
          <w:u w:val="single"/>
        </w:rPr>
        <w:t>Agenda Item 1.8</w:t>
      </w:r>
      <w:r>
        <w:t xml:space="preserve">: to consider possible regulatory actions to support Global Maritime Distress Safety Systems (GMDSS) modernization and to support the introduction of additional satellite systems into the GMDSS, in accordance with Resolution </w:t>
      </w:r>
      <w:r w:rsidRPr="00CE6DC7">
        <w:rPr>
          <w:b/>
        </w:rPr>
        <w:t>359 (Rev.WRC-15)</w:t>
      </w:r>
      <w:r>
        <w:t xml:space="preserve"> – Draft Proposal (View A/View B), Document </w:t>
      </w:r>
      <w:r w:rsidRPr="00CE6DC7">
        <w:rPr>
          <w:b/>
        </w:rPr>
        <w:t>WAC/039 (30.10.17)</w:t>
      </w:r>
    </w:p>
    <w:p w:rsidR="00061A3B" w:rsidRDefault="00061A3B" w:rsidP="00061A3B">
      <w:pPr>
        <w:autoSpaceDE w:val="0"/>
        <w:autoSpaceDN w:val="0"/>
        <w:adjustRightInd w:val="0"/>
        <w:rPr>
          <w:szCs w:val="24"/>
        </w:rPr>
      </w:pPr>
    </w:p>
    <w:p w:rsidR="00587488" w:rsidRPr="00514037" w:rsidRDefault="00587488" w:rsidP="00587488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514037">
        <w:rPr>
          <w:b/>
          <w:bCs/>
          <w:szCs w:val="24"/>
        </w:rPr>
        <w:t>IWG-2: Terrestrial Services</w:t>
      </w:r>
    </w:p>
    <w:p w:rsidR="00587488" w:rsidRPr="00E23732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  <w:highlight w:val="yellow"/>
        </w:rPr>
      </w:pPr>
    </w:p>
    <w:p w:rsidR="00587488" w:rsidRPr="00784B09" w:rsidRDefault="00587488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784B09">
        <w:rPr>
          <w:szCs w:val="24"/>
        </w:rPr>
        <w:t>Status Report:</w:t>
      </w:r>
    </w:p>
    <w:p w:rsidR="00A81B72" w:rsidRPr="00784B09" w:rsidRDefault="00A81B72" w:rsidP="00A81B72">
      <w:pPr>
        <w:autoSpaceDE w:val="0"/>
        <w:autoSpaceDN w:val="0"/>
        <w:adjustRightInd w:val="0"/>
        <w:ind w:left="1080"/>
        <w:rPr>
          <w:szCs w:val="24"/>
        </w:rPr>
      </w:pPr>
    </w:p>
    <w:p w:rsidR="00CE6DC7" w:rsidRDefault="00CE6DC7" w:rsidP="00A81B72">
      <w:pPr>
        <w:autoSpaceDE w:val="0"/>
        <w:autoSpaceDN w:val="0"/>
        <w:adjustRightInd w:val="0"/>
        <w:ind w:left="720"/>
        <w:rPr>
          <w:b/>
        </w:rPr>
      </w:pPr>
      <w:r w:rsidRPr="00CE6DC7">
        <w:rPr>
          <w:u w:val="single"/>
        </w:rPr>
        <w:t>Agenda Item 9.1, Issue 9.1.1</w:t>
      </w:r>
      <w:r>
        <w:t xml:space="preserve">: Resolution </w:t>
      </w:r>
      <w:r w:rsidRPr="00CE6DC7">
        <w:rPr>
          <w:b/>
        </w:rPr>
        <w:t>212 (Rev.WRC-15)</w:t>
      </w:r>
      <w:r>
        <w:t xml:space="preserve"> Implementation of International Mobile Telecommunications in the frequency bands 1 885-2 025 MHz and 2 110 2 200 MHz – Draft Preliminary View, Document </w:t>
      </w:r>
      <w:r>
        <w:rPr>
          <w:b/>
        </w:rPr>
        <w:t>WAC/040</w:t>
      </w:r>
      <w:r w:rsidRPr="00CE6DC7">
        <w:rPr>
          <w:b/>
        </w:rPr>
        <w:t xml:space="preserve"> (30.10.17)</w:t>
      </w:r>
    </w:p>
    <w:p w:rsidR="00CE6DC7" w:rsidRDefault="00CE6DC7" w:rsidP="00A81B72">
      <w:pPr>
        <w:autoSpaceDE w:val="0"/>
        <w:autoSpaceDN w:val="0"/>
        <w:adjustRightInd w:val="0"/>
        <w:ind w:left="720"/>
      </w:pPr>
    </w:p>
    <w:p w:rsidR="00CE6DC7" w:rsidRDefault="00CE6DC7" w:rsidP="00A81B72">
      <w:pPr>
        <w:autoSpaceDE w:val="0"/>
        <w:autoSpaceDN w:val="0"/>
        <w:adjustRightInd w:val="0"/>
        <w:ind w:left="720"/>
      </w:pPr>
      <w:r w:rsidRPr="00CE6DC7">
        <w:rPr>
          <w:u w:val="single"/>
        </w:rPr>
        <w:t>Agenda Item 9.1, Issue 9.1.2</w:t>
      </w:r>
      <w:r>
        <w:t xml:space="preserve">: Resolution </w:t>
      </w:r>
      <w:r w:rsidRPr="00CE6DC7">
        <w:rPr>
          <w:b/>
        </w:rPr>
        <w:t>761 (WRC-15)</w:t>
      </w:r>
      <w:r>
        <w:t xml:space="preserve"> Compatibility of International Mobile Telecommunications and broadcasting-satellite service (sound) in the frequency band 1 452-1 492 MHz in Regions 1 and 3– Draft Proposal, Document </w:t>
      </w:r>
      <w:r>
        <w:rPr>
          <w:b/>
        </w:rPr>
        <w:t>WAC/041</w:t>
      </w:r>
      <w:r w:rsidRPr="00CE6DC7">
        <w:rPr>
          <w:b/>
        </w:rPr>
        <w:t xml:space="preserve"> (30.10.17)</w:t>
      </w:r>
    </w:p>
    <w:p w:rsidR="00DE281F" w:rsidRPr="00B80385" w:rsidRDefault="00DE281F" w:rsidP="00A81B72">
      <w:pPr>
        <w:autoSpaceDE w:val="0"/>
        <w:autoSpaceDN w:val="0"/>
        <w:adjustRightInd w:val="0"/>
        <w:ind w:left="720"/>
        <w:rPr>
          <w:highlight w:val="yellow"/>
          <w:lang w:val="en-GB"/>
        </w:rPr>
      </w:pPr>
    </w:p>
    <w:p w:rsidR="00061A3B" w:rsidRPr="000331F7" w:rsidRDefault="00A81B72" w:rsidP="000331F7">
      <w:pPr>
        <w:autoSpaceDE w:val="0"/>
        <w:autoSpaceDN w:val="0"/>
        <w:adjustRightInd w:val="0"/>
        <w:ind w:left="720"/>
        <w:rPr>
          <w:b/>
          <w:szCs w:val="24"/>
        </w:rPr>
      </w:pPr>
      <w:r w:rsidRPr="00CE6DC7">
        <w:rPr>
          <w:bCs/>
          <w:u w:val="single"/>
        </w:rPr>
        <w:lastRenderedPageBreak/>
        <w:t>Agenda Item 9.1</w:t>
      </w:r>
      <w:r w:rsidR="0067181D" w:rsidRPr="00CE6DC7">
        <w:rPr>
          <w:bCs/>
          <w:u w:val="single"/>
        </w:rPr>
        <w:t xml:space="preserve">, </w:t>
      </w:r>
      <w:r w:rsidRPr="00CE6DC7">
        <w:rPr>
          <w:bCs/>
          <w:u w:val="single"/>
        </w:rPr>
        <w:t>Issue 9.1.5</w:t>
      </w:r>
      <w:r w:rsidRPr="00CE6DC7">
        <w:t xml:space="preserve">:  </w:t>
      </w:r>
      <w:r w:rsidR="00F32B9D" w:rsidRPr="00CE6DC7">
        <w:t>Consideration of the technical and regulatory impacts of referencing Recommendations ITU R M.1638-1 and ITU R M.1849-1 in Nos. 5.447F and 5.450A of the Radio Regulations</w:t>
      </w:r>
      <w:r w:rsidR="00BB429D" w:rsidRPr="00CE6DC7">
        <w:t xml:space="preserve"> </w:t>
      </w:r>
      <w:r w:rsidR="00BB429D" w:rsidRPr="00CE6DC7">
        <w:rPr>
          <w:szCs w:val="24"/>
        </w:rPr>
        <w:t>— Draft Pr</w:t>
      </w:r>
      <w:r w:rsidR="00E35F32" w:rsidRPr="00CE6DC7">
        <w:rPr>
          <w:szCs w:val="24"/>
        </w:rPr>
        <w:t>oposal</w:t>
      </w:r>
      <w:r w:rsidR="00CE6DC7" w:rsidRPr="00CE6DC7">
        <w:rPr>
          <w:szCs w:val="24"/>
        </w:rPr>
        <w:t xml:space="preserve"> (View A/View B)</w:t>
      </w:r>
      <w:r w:rsidR="00BB429D" w:rsidRPr="00CE6DC7">
        <w:rPr>
          <w:szCs w:val="24"/>
        </w:rPr>
        <w:t>, Document</w:t>
      </w:r>
      <w:r w:rsidR="00BB429D" w:rsidRPr="00CE6DC7">
        <w:rPr>
          <w:b/>
          <w:szCs w:val="24"/>
        </w:rPr>
        <w:t xml:space="preserve"> WAC/</w:t>
      </w:r>
      <w:r w:rsidR="00203D89" w:rsidRPr="00CE6DC7">
        <w:rPr>
          <w:b/>
          <w:szCs w:val="24"/>
        </w:rPr>
        <w:t>0</w:t>
      </w:r>
      <w:r w:rsidR="00CE6DC7" w:rsidRPr="00CE6DC7">
        <w:rPr>
          <w:b/>
          <w:szCs w:val="24"/>
        </w:rPr>
        <w:t xml:space="preserve">42 </w:t>
      </w:r>
      <w:r w:rsidR="00BB429D" w:rsidRPr="00CE6DC7">
        <w:rPr>
          <w:b/>
          <w:szCs w:val="24"/>
        </w:rPr>
        <w:t>(</w:t>
      </w:r>
      <w:r w:rsidR="00CE6DC7" w:rsidRPr="00CE6DC7">
        <w:rPr>
          <w:b/>
          <w:szCs w:val="24"/>
        </w:rPr>
        <w:t>30.10</w:t>
      </w:r>
      <w:r w:rsidR="00784B09" w:rsidRPr="00CE6DC7">
        <w:rPr>
          <w:b/>
          <w:szCs w:val="24"/>
        </w:rPr>
        <w:t>.17</w:t>
      </w:r>
      <w:r w:rsidR="00BB429D" w:rsidRPr="00CE6DC7">
        <w:rPr>
          <w:b/>
          <w:szCs w:val="24"/>
        </w:rPr>
        <w:t>)</w:t>
      </w:r>
    </w:p>
    <w:p w:rsidR="00277B39" w:rsidRPr="00E23732" w:rsidRDefault="00277B39" w:rsidP="00587488">
      <w:pPr>
        <w:autoSpaceDE w:val="0"/>
        <w:autoSpaceDN w:val="0"/>
        <w:adjustRightInd w:val="0"/>
        <w:ind w:left="720"/>
        <w:rPr>
          <w:b/>
          <w:bCs/>
          <w:szCs w:val="24"/>
          <w:highlight w:val="yellow"/>
        </w:rPr>
      </w:pPr>
    </w:p>
    <w:p w:rsidR="00587488" w:rsidRPr="00061A3B" w:rsidRDefault="00587488" w:rsidP="00587488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061A3B">
        <w:rPr>
          <w:b/>
          <w:bCs/>
          <w:szCs w:val="24"/>
        </w:rPr>
        <w:t>IWG-3: Space Services</w:t>
      </w:r>
    </w:p>
    <w:p w:rsidR="00587488" w:rsidRPr="00061A3B" w:rsidRDefault="00587488" w:rsidP="00587488">
      <w:pPr>
        <w:autoSpaceDE w:val="0"/>
        <w:autoSpaceDN w:val="0"/>
        <w:adjustRightInd w:val="0"/>
        <w:ind w:left="360" w:firstLine="360"/>
        <w:rPr>
          <w:b/>
          <w:bCs/>
          <w:szCs w:val="24"/>
        </w:rPr>
      </w:pPr>
    </w:p>
    <w:p w:rsidR="00587488" w:rsidRPr="00061A3B" w:rsidRDefault="00587488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061A3B">
        <w:rPr>
          <w:szCs w:val="24"/>
        </w:rPr>
        <w:t>Status Report:</w:t>
      </w:r>
    </w:p>
    <w:p w:rsidR="005D7F23" w:rsidRPr="00061A3B" w:rsidRDefault="005D7F23" w:rsidP="005D7F23">
      <w:pPr>
        <w:autoSpaceDE w:val="0"/>
        <w:autoSpaceDN w:val="0"/>
        <w:adjustRightInd w:val="0"/>
        <w:ind w:left="1080"/>
        <w:rPr>
          <w:szCs w:val="24"/>
        </w:rPr>
      </w:pPr>
    </w:p>
    <w:p w:rsidR="00CE6DC7" w:rsidRDefault="00CE6DC7" w:rsidP="00696113">
      <w:pPr>
        <w:widowControl w:val="0"/>
        <w:overflowPunct w:val="0"/>
        <w:autoSpaceDE w:val="0"/>
        <w:autoSpaceDN w:val="0"/>
        <w:adjustRightInd w:val="0"/>
        <w:ind w:left="720" w:right="440"/>
      </w:pPr>
      <w:r w:rsidRPr="00CE6DC7">
        <w:rPr>
          <w:u w:val="single"/>
        </w:rPr>
        <w:t>Agenda Item 1.3</w:t>
      </w:r>
      <w:r>
        <w:t xml:space="preserve">: to consider possible upgrading of the secondary allocation to the meteorological- satellite service (space-to-Earth) to primary status and a possible primary allocation to the Earth exploration-satellite service (space-to-Earth) in the frequency band 460- 470 MHz, in accordance with Resolution </w:t>
      </w:r>
      <w:r w:rsidRPr="00CE6DC7">
        <w:rPr>
          <w:b/>
        </w:rPr>
        <w:t>766 (WRC-15)</w:t>
      </w:r>
      <w:r w:rsidRPr="00CE6DC7">
        <w:rPr>
          <w:szCs w:val="24"/>
        </w:rPr>
        <w:t xml:space="preserve"> </w:t>
      </w:r>
      <w:r>
        <w:rPr>
          <w:szCs w:val="24"/>
        </w:rPr>
        <w:t>— Draft Preliminary View</w:t>
      </w:r>
      <w:r w:rsidRPr="00CE6DC7">
        <w:rPr>
          <w:szCs w:val="24"/>
        </w:rPr>
        <w:t>, Document</w:t>
      </w:r>
      <w:r w:rsidRPr="00CE6DC7">
        <w:rPr>
          <w:b/>
          <w:szCs w:val="24"/>
        </w:rPr>
        <w:t xml:space="preserve"> WAC/0</w:t>
      </w:r>
      <w:r>
        <w:rPr>
          <w:b/>
          <w:szCs w:val="24"/>
        </w:rPr>
        <w:t>43</w:t>
      </w:r>
      <w:r w:rsidRPr="00CE6DC7">
        <w:rPr>
          <w:b/>
          <w:szCs w:val="24"/>
        </w:rPr>
        <w:t xml:space="preserve"> (30.10.17)</w:t>
      </w:r>
    </w:p>
    <w:p w:rsidR="00CE6DC7" w:rsidRDefault="00CE6DC7" w:rsidP="00696113">
      <w:pPr>
        <w:widowControl w:val="0"/>
        <w:overflowPunct w:val="0"/>
        <w:autoSpaceDE w:val="0"/>
        <w:autoSpaceDN w:val="0"/>
        <w:adjustRightInd w:val="0"/>
        <w:ind w:left="720" w:right="440"/>
      </w:pPr>
    </w:p>
    <w:p w:rsidR="00CE6DC7" w:rsidRDefault="00CE6DC7" w:rsidP="00696113">
      <w:pPr>
        <w:widowControl w:val="0"/>
        <w:overflowPunct w:val="0"/>
        <w:autoSpaceDE w:val="0"/>
        <w:autoSpaceDN w:val="0"/>
        <w:adjustRightInd w:val="0"/>
        <w:ind w:left="720" w:right="440"/>
        <w:rPr>
          <w:b/>
          <w:szCs w:val="24"/>
        </w:rPr>
      </w:pPr>
      <w:r w:rsidRPr="00CE6DC7">
        <w:rPr>
          <w:u w:val="single"/>
        </w:rPr>
        <w:t>Agenda Item 1.7</w:t>
      </w:r>
      <w:r>
        <w:t>: to study the spectrum needs for telemetry, tracking and command in the space operation service for non-GSO satellites with short duration missions, to assess the suitability of existing allocations to the space operation service and, if necessary, to consider new allocations, in accordan</w:t>
      </w:r>
      <w:r w:rsidR="000331F7">
        <w:t xml:space="preserve">ce with Resolution </w:t>
      </w:r>
      <w:r w:rsidR="000331F7" w:rsidRPr="000331F7">
        <w:rPr>
          <w:b/>
        </w:rPr>
        <w:t>659 (WRC-15)</w:t>
      </w:r>
      <w:r w:rsidR="000331F7">
        <w:t xml:space="preserve"> </w:t>
      </w:r>
      <w:r w:rsidR="000331F7">
        <w:rPr>
          <w:szCs w:val="24"/>
        </w:rPr>
        <w:t>— Draft Preliminary View</w:t>
      </w:r>
      <w:r w:rsidR="000331F7" w:rsidRPr="00CE6DC7">
        <w:rPr>
          <w:szCs w:val="24"/>
        </w:rPr>
        <w:t>, Document</w:t>
      </w:r>
      <w:r w:rsidR="000331F7" w:rsidRPr="00CE6DC7">
        <w:rPr>
          <w:b/>
          <w:szCs w:val="24"/>
        </w:rPr>
        <w:t xml:space="preserve"> WAC/0</w:t>
      </w:r>
      <w:r w:rsidR="000331F7">
        <w:rPr>
          <w:b/>
          <w:szCs w:val="24"/>
        </w:rPr>
        <w:t>44</w:t>
      </w:r>
      <w:r w:rsidR="000331F7" w:rsidRPr="00CE6DC7">
        <w:rPr>
          <w:b/>
          <w:szCs w:val="24"/>
        </w:rPr>
        <w:t xml:space="preserve"> (30.10.17)</w:t>
      </w:r>
    </w:p>
    <w:p w:rsidR="000331F7" w:rsidRDefault="000331F7" w:rsidP="00696113">
      <w:pPr>
        <w:widowControl w:val="0"/>
        <w:overflowPunct w:val="0"/>
        <w:autoSpaceDE w:val="0"/>
        <w:autoSpaceDN w:val="0"/>
        <w:adjustRightInd w:val="0"/>
        <w:ind w:left="720" w:right="440"/>
      </w:pPr>
    </w:p>
    <w:p w:rsidR="00696113" w:rsidRPr="00061A3B" w:rsidRDefault="003A711D" w:rsidP="00696113">
      <w:pPr>
        <w:widowControl w:val="0"/>
        <w:overflowPunct w:val="0"/>
        <w:autoSpaceDE w:val="0"/>
        <w:autoSpaceDN w:val="0"/>
        <w:adjustRightInd w:val="0"/>
        <w:ind w:left="720" w:right="440"/>
      </w:pPr>
      <w:r w:rsidRPr="000331F7">
        <w:rPr>
          <w:u w:val="single"/>
        </w:rPr>
        <w:t xml:space="preserve">Agenda Item 9.1, </w:t>
      </w:r>
      <w:r w:rsidR="000331F7" w:rsidRPr="000331F7">
        <w:rPr>
          <w:bCs/>
          <w:u w:val="single"/>
        </w:rPr>
        <w:t>Issue</w:t>
      </w:r>
      <w:r w:rsidR="00696113" w:rsidRPr="000331F7">
        <w:rPr>
          <w:bCs/>
          <w:u w:val="single"/>
        </w:rPr>
        <w:t xml:space="preserve"> </w:t>
      </w:r>
      <w:r w:rsidR="000331F7" w:rsidRPr="000331F7">
        <w:rPr>
          <w:u w:val="single"/>
        </w:rPr>
        <w:t>9.1.3</w:t>
      </w:r>
      <w:r w:rsidR="000331F7">
        <w:t xml:space="preserve">: Resolution </w:t>
      </w:r>
      <w:r w:rsidR="000331F7" w:rsidRPr="000331F7">
        <w:rPr>
          <w:b/>
        </w:rPr>
        <w:t>157 (WRC-15)</w:t>
      </w:r>
      <w:r w:rsidR="000331F7">
        <w:t xml:space="preserve"> Study of technical and operational issues and regulatory provisions for new non-geostationary-satellite orbit systems in the 3 700-4 200 MHz, 4 500-4 800 MHz, 5 925-6 425 MHz and 6 725-7 025 MHz frequency bands allocated to the fixed-sate</w:t>
      </w:r>
      <w:r w:rsidR="000331F7" w:rsidRPr="000331F7">
        <w:t>llite</w:t>
      </w:r>
      <w:r w:rsidR="00696113" w:rsidRPr="000331F7">
        <w:t xml:space="preserve"> </w:t>
      </w:r>
      <w:r w:rsidR="00696113" w:rsidRPr="000331F7">
        <w:rPr>
          <w:szCs w:val="24"/>
        </w:rPr>
        <w:t xml:space="preserve">— Draft </w:t>
      </w:r>
      <w:r w:rsidR="00061A3B" w:rsidRPr="000331F7">
        <w:rPr>
          <w:szCs w:val="24"/>
        </w:rPr>
        <w:t>Proposal</w:t>
      </w:r>
      <w:r w:rsidR="00696113" w:rsidRPr="000331F7">
        <w:rPr>
          <w:szCs w:val="24"/>
        </w:rPr>
        <w:t>, Document</w:t>
      </w:r>
      <w:r w:rsidR="00696113" w:rsidRPr="000331F7">
        <w:rPr>
          <w:b/>
          <w:szCs w:val="24"/>
        </w:rPr>
        <w:t xml:space="preserve"> WAC/0</w:t>
      </w:r>
      <w:r w:rsidR="000331F7" w:rsidRPr="000331F7">
        <w:rPr>
          <w:b/>
          <w:szCs w:val="24"/>
        </w:rPr>
        <w:t>45 (30.10</w:t>
      </w:r>
      <w:r w:rsidR="00696113" w:rsidRPr="000331F7">
        <w:rPr>
          <w:b/>
          <w:szCs w:val="24"/>
        </w:rPr>
        <w:t>.17)</w:t>
      </w:r>
    </w:p>
    <w:p w:rsidR="00061A3B" w:rsidRDefault="00061A3B" w:rsidP="00061A3B">
      <w:pPr>
        <w:autoSpaceDE w:val="0"/>
        <w:autoSpaceDN w:val="0"/>
        <w:adjustRightInd w:val="0"/>
        <w:rPr>
          <w:szCs w:val="24"/>
        </w:rPr>
      </w:pPr>
    </w:p>
    <w:p w:rsidR="00061A3B" w:rsidRPr="00061A3B" w:rsidRDefault="00061A3B" w:rsidP="00061A3B">
      <w:pPr>
        <w:autoSpaceDE w:val="0"/>
        <w:autoSpaceDN w:val="0"/>
        <w:adjustRightInd w:val="0"/>
        <w:rPr>
          <w:szCs w:val="24"/>
        </w:rPr>
      </w:pPr>
    </w:p>
    <w:p w:rsidR="00587488" w:rsidRPr="00F661F1" w:rsidRDefault="00587488" w:rsidP="00587488">
      <w:pPr>
        <w:autoSpaceDE w:val="0"/>
        <w:autoSpaceDN w:val="0"/>
        <w:adjustRightInd w:val="0"/>
        <w:ind w:left="720"/>
        <w:rPr>
          <w:b/>
          <w:bCs/>
          <w:szCs w:val="24"/>
        </w:rPr>
      </w:pPr>
      <w:r w:rsidRPr="00F661F1">
        <w:rPr>
          <w:b/>
          <w:bCs/>
          <w:szCs w:val="24"/>
        </w:rPr>
        <w:t>IWG-4: Regulatory Issues</w:t>
      </w:r>
    </w:p>
    <w:p w:rsidR="00587488" w:rsidRPr="00BD7ADF" w:rsidRDefault="00587488" w:rsidP="00587488">
      <w:pPr>
        <w:autoSpaceDE w:val="0"/>
        <w:autoSpaceDN w:val="0"/>
        <w:adjustRightInd w:val="0"/>
        <w:ind w:left="360" w:firstLine="360"/>
        <w:rPr>
          <w:bCs/>
          <w:szCs w:val="24"/>
        </w:rPr>
      </w:pPr>
    </w:p>
    <w:p w:rsidR="00587488" w:rsidRDefault="000331F7" w:rsidP="000331F7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Status Report: </w:t>
      </w:r>
    </w:p>
    <w:p w:rsidR="000331F7" w:rsidRDefault="000331F7" w:rsidP="000331F7">
      <w:pPr>
        <w:autoSpaceDE w:val="0"/>
        <w:autoSpaceDN w:val="0"/>
        <w:adjustRightInd w:val="0"/>
        <w:ind w:left="720"/>
      </w:pPr>
    </w:p>
    <w:p w:rsidR="000331F7" w:rsidRDefault="000331F7" w:rsidP="000331F7">
      <w:pPr>
        <w:autoSpaceDE w:val="0"/>
        <w:autoSpaceDN w:val="0"/>
        <w:adjustRightInd w:val="0"/>
        <w:ind w:left="720"/>
        <w:rPr>
          <w:szCs w:val="24"/>
        </w:rPr>
      </w:pPr>
      <w:r w:rsidRPr="000331F7">
        <w:rPr>
          <w:u w:val="single"/>
        </w:rPr>
        <w:t>Agenda Item 7</w:t>
      </w:r>
      <w:r>
        <w:rPr>
          <w:u w:val="single"/>
        </w:rPr>
        <w:t>, Issue E</w:t>
      </w:r>
      <w:r>
        <w:t xml:space="preserve">: </w:t>
      </w:r>
      <w:r w:rsidRPr="000331F7">
        <w:t xml:space="preserve">Harmonization of RR Appendix </w:t>
      </w:r>
      <w:r w:rsidRPr="000331F7">
        <w:rPr>
          <w:b/>
        </w:rPr>
        <w:t>30B</w:t>
      </w:r>
      <w:r w:rsidRPr="000331F7">
        <w:t xml:space="preserve"> with RR Appendices </w:t>
      </w:r>
      <w:r w:rsidRPr="000331F7">
        <w:rPr>
          <w:b/>
        </w:rPr>
        <w:t>30</w:t>
      </w:r>
      <w:r w:rsidRPr="000331F7">
        <w:t xml:space="preserve"> and </w:t>
      </w:r>
      <w:r w:rsidRPr="000331F7">
        <w:rPr>
          <w:b/>
        </w:rPr>
        <w:t>30A</w:t>
      </w:r>
      <w:r>
        <w:rPr>
          <w:color w:val="000000"/>
        </w:rPr>
        <w:t xml:space="preserve"> </w:t>
      </w:r>
      <w:r w:rsidRPr="000331F7">
        <w:rPr>
          <w:szCs w:val="24"/>
        </w:rPr>
        <w:t>— Draft Proposal, Document</w:t>
      </w:r>
      <w:r w:rsidRPr="000331F7">
        <w:rPr>
          <w:b/>
          <w:szCs w:val="24"/>
        </w:rPr>
        <w:t xml:space="preserve"> WAC/0</w:t>
      </w:r>
      <w:r>
        <w:rPr>
          <w:b/>
          <w:szCs w:val="24"/>
        </w:rPr>
        <w:t>46</w:t>
      </w:r>
      <w:r w:rsidRPr="000331F7">
        <w:rPr>
          <w:b/>
          <w:szCs w:val="24"/>
        </w:rPr>
        <w:t xml:space="preserve"> (30.10.17)</w:t>
      </w:r>
      <w:r w:rsidRPr="000331F7">
        <w:rPr>
          <w:szCs w:val="24"/>
        </w:rPr>
        <w:t xml:space="preserve"> </w:t>
      </w:r>
    </w:p>
    <w:p w:rsidR="000331F7" w:rsidRDefault="000331F7" w:rsidP="000331F7">
      <w:pPr>
        <w:autoSpaceDE w:val="0"/>
        <w:autoSpaceDN w:val="0"/>
        <w:adjustRightInd w:val="0"/>
        <w:ind w:left="720"/>
        <w:rPr>
          <w:szCs w:val="24"/>
        </w:rPr>
      </w:pPr>
    </w:p>
    <w:p w:rsidR="000331F7" w:rsidRDefault="000331F7" w:rsidP="000331F7">
      <w:pPr>
        <w:autoSpaceDE w:val="0"/>
        <w:autoSpaceDN w:val="0"/>
        <w:adjustRightInd w:val="0"/>
        <w:ind w:left="720"/>
        <w:rPr>
          <w:b/>
          <w:szCs w:val="24"/>
        </w:rPr>
      </w:pPr>
      <w:r w:rsidRPr="000331F7">
        <w:rPr>
          <w:u w:val="single"/>
        </w:rPr>
        <w:t>Agenda Item 7</w:t>
      </w:r>
      <w:r>
        <w:rPr>
          <w:u w:val="single"/>
        </w:rPr>
        <w:t xml:space="preserve">, Issue </w:t>
      </w:r>
      <w:r w:rsidR="001D1659">
        <w:rPr>
          <w:u w:val="single"/>
        </w:rPr>
        <w:t>G</w:t>
      </w:r>
      <w:r>
        <w:t xml:space="preserve">: </w:t>
      </w:r>
      <w:r w:rsidRPr="000331F7">
        <w:t xml:space="preserve">Updating the reference situation for networks under RR Appendices </w:t>
      </w:r>
      <w:r w:rsidRPr="000331F7">
        <w:rPr>
          <w:b/>
        </w:rPr>
        <w:t>30</w:t>
      </w:r>
      <w:r w:rsidRPr="000331F7">
        <w:t xml:space="preserve"> and 30A when provisional recording is used</w:t>
      </w:r>
      <w:r>
        <w:rPr>
          <w:i/>
          <w:color w:val="000000"/>
        </w:rPr>
        <w:t>.</w:t>
      </w:r>
      <w:r>
        <w:rPr>
          <w:color w:val="000000"/>
        </w:rPr>
        <w:t xml:space="preserve"> </w:t>
      </w:r>
      <w:r w:rsidRPr="000331F7">
        <w:rPr>
          <w:szCs w:val="24"/>
        </w:rPr>
        <w:t>— Draft Proposal, Document</w:t>
      </w:r>
      <w:r w:rsidRPr="000331F7">
        <w:rPr>
          <w:b/>
          <w:szCs w:val="24"/>
        </w:rPr>
        <w:t xml:space="preserve"> WAC/0</w:t>
      </w:r>
      <w:r>
        <w:rPr>
          <w:b/>
          <w:szCs w:val="24"/>
        </w:rPr>
        <w:t>47</w:t>
      </w:r>
      <w:r w:rsidRPr="000331F7">
        <w:rPr>
          <w:b/>
          <w:szCs w:val="24"/>
        </w:rPr>
        <w:t xml:space="preserve"> (30.10.17)</w:t>
      </w:r>
    </w:p>
    <w:p w:rsidR="000331F7" w:rsidRPr="000331F7" w:rsidRDefault="000331F7" w:rsidP="000331F7">
      <w:pPr>
        <w:autoSpaceDE w:val="0"/>
        <w:autoSpaceDN w:val="0"/>
        <w:adjustRightInd w:val="0"/>
        <w:ind w:left="720"/>
        <w:rPr>
          <w:szCs w:val="24"/>
        </w:rPr>
      </w:pPr>
    </w:p>
    <w:p w:rsidR="00587488" w:rsidRPr="008D5CDF" w:rsidRDefault="00587488" w:rsidP="003B2F00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line="228" w:lineRule="auto"/>
        <w:ind w:left="360"/>
        <w:rPr>
          <w:szCs w:val="24"/>
        </w:rPr>
      </w:pPr>
      <w:r w:rsidRPr="008D5CDF">
        <w:rPr>
          <w:szCs w:val="24"/>
        </w:rPr>
        <w:t>Future Meetings</w:t>
      </w:r>
    </w:p>
    <w:p w:rsidR="00587488" w:rsidRPr="008D5CDF" w:rsidRDefault="00587488" w:rsidP="00587488">
      <w:pPr>
        <w:numPr>
          <w:ilvl w:val="0"/>
          <w:numId w:val="42"/>
        </w:numPr>
        <w:tabs>
          <w:tab w:val="num" w:pos="720"/>
        </w:tabs>
        <w:autoSpaceDE w:val="0"/>
        <w:autoSpaceDN w:val="0"/>
        <w:adjustRightInd w:val="0"/>
        <w:rPr>
          <w:szCs w:val="24"/>
        </w:rPr>
      </w:pPr>
      <w:r w:rsidRPr="008D5CDF">
        <w:rPr>
          <w:szCs w:val="24"/>
        </w:rPr>
        <w:t>WRC-1</w:t>
      </w:r>
      <w:r w:rsidR="00B80385">
        <w:rPr>
          <w:szCs w:val="24"/>
        </w:rPr>
        <w:t>9</w:t>
      </w:r>
      <w:r w:rsidRPr="008D5CDF">
        <w:rPr>
          <w:szCs w:val="24"/>
        </w:rPr>
        <w:t xml:space="preserve"> Preparatory Timeline, Document </w:t>
      </w:r>
      <w:r w:rsidRPr="008F07CC">
        <w:rPr>
          <w:b/>
          <w:szCs w:val="24"/>
        </w:rPr>
        <w:t>WAC/004</w:t>
      </w:r>
      <w:r w:rsidR="00DD12F1">
        <w:rPr>
          <w:b/>
          <w:szCs w:val="24"/>
        </w:rPr>
        <w:t xml:space="preserve"> </w:t>
      </w:r>
      <w:r w:rsidRPr="008F07CC">
        <w:rPr>
          <w:b/>
          <w:szCs w:val="24"/>
        </w:rPr>
        <w:t>(rev.</w:t>
      </w:r>
      <w:r w:rsidR="00B80385">
        <w:rPr>
          <w:b/>
          <w:szCs w:val="24"/>
        </w:rPr>
        <w:t>30.10</w:t>
      </w:r>
      <w:r w:rsidR="00E23732">
        <w:rPr>
          <w:b/>
          <w:szCs w:val="24"/>
        </w:rPr>
        <w:t>.17</w:t>
      </w:r>
      <w:r w:rsidRPr="008F07CC">
        <w:rPr>
          <w:b/>
          <w:szCs w:val="24"/>
        </w:rPr>
        <w:t>)</w:t>
      </w:r>
    </w:p>
    <w:p w:rsidR="00587488" w:rsidRPr="00DD12F1" w:rsidRDefault="00B80385" w:rsidP="00587488">
      <w:pPr>
        <w:numPr>
          <w:ilvl w:val="0"/>
          <w:numId w:val="42"/>
        </w:numPr>
        <w:autoSpaceDE w:val="0"/>
        <w:autoSpaceDN w:val="0"/>
        <w:adjustRightInd w:val="0"/>
        <w:rPr>
          <w:szCs w:val="24"/>
        </w:rPr>
      </w:pPr>
      <w:r w:rsidRPr="00DD12F1">
        <w:rPr>
          <w:szCs w:val="24"/>
        </w:rPr>
        <w:t>Fifth</w:t>
      </w:r>
      <w:r w:rsidR="00587488" w:rsidRPr="00DD12F1">
        <w:rPr>
          <w:szCs w:val="24"/>
        </w:rPr>
        <w:t xml:space="preserve"> Meeting of the WRC-19 Advisory Committee:  </w:t>
      </w:r>
      <w:r w:rsidR="00630949" w:rsidRPr="00DD12F1">
        <w:rPr>
          <w:szCs w:val="24"/>
        </w:rPr>
        <w:t xml:space="preserve">Monday, </w:t>
      </w:r>
      <w:r w:rsidR="00DD12F1" w:rsidRPr="00DD12F1">
        <w:rPr>
          <w:szCs w:val="24"/>
        </w:rPr>
        <w:t>April 23</w:t>
      </w:r>
      <w:r w:rsidR="00277B39" w:rsidRPr="00DD12F1">
        <w:rPr>
          <w:szCs w:val="24"/>
        </w:rPr>
        <w:t xml:space="preserve">, </w:t>
      </w:r>
      <w:r w:rsidR="00587488" w:rsidRPr="00DD12F1">
        <w:rPr>
          <w:szCs w:val="24"/>
        </w:rPr>
        <w:t>2017 at 1</w:t>
      </w:r>
      <w:r w:rsidR="00E23732" w:rsidRPr="00DD12F1">
        <w:rPr>
          <w:szCs w:val="24"/>
        </w:rPr>
        <w:t>1</w:t>
      </w:r>
      <w:r w:rsidR="00587488" w:rsidRPr="00DD12F1">
        <w:rPr>
          <w:szCs w:val="24"/>
        </w:rPr>
        <w:t xml:space="preserve"> A.M.</w:t>
      </w:r>
    </w:p>
    <w:p w:rsidR="00587488" w:rsidRPr="008D5CDF" w:rsidRDefault="00587488" w:rsidP="00587488">
      <w:pPr>
        <w:tabs>
          <w:tab w:val="left" w:pos="-1440"/>
          <w:tab w:val="left" w:pos="-720"/>
          <w:tab w:val="left" w:pos="0"/>
        </w:tabs>
        <w:suppressAutoHyphens/>
        <w:spacing w:line="227" w:lineRule="auto"/>
        <w:ind w:left="180"/>
        <w:rPr>
          <w:szCs w:val="24"/>
        </w:rPr>
      </w:pPr>
    </w:p>
    <w:p w:rsidR="0021088C" w:rsidRPr="00BD7ADF" w:rsidRDefault="00587488" w:rsidP="00BD7ADF">
      <w:pPr>
        <w:numPr>
          <w:ilvl w:val="0"/>
          <w:numId w:val="41"/>
        </w:numPr>
        <w:tabs>
          <w:tab w:val="clear" w:pos="720"/>
          <w:tab w:val="left" w:pos="-1440"/>
          <w:tab w:val="left" w:pos="-720"/>
          <w:tab w:val="left" w:pos="0"/>
          <w:tab w:val="num" w:pos="360"/>
          <w:tab w:val="left" w:pos="1440"/>
        </w:tabs>
        <w:suppressAutoHyphens/>
        <w:spacing w:line="228" w:lineRule="auto"/>
        <w:ind w:left="360"/>
        <w:rPr>
          <w:szCs w:val="24"/>
        </w:rPr>
      </w:pPr>
      <w:r w:rsidRPr="00410AEC">
        <w:rPr>
          <w:szCs w:val="24"/>
        </w:rPr>
        <w:t>Other Business</w:t>
      </w:r>
    </w:p>
    <w:sectPr w:rsidR="0021088C" w:rsidRPr="00BD7ADF" w:rsidSect="00410AEC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1440" w:right="1440" w:bottom="72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094" w:rsidRDefault="00483094">
      <w:r>
        <w:separator/>
      </w:r>
    </w:p>
  </w:endnote>
  <w:endnote w:type="continuationSeparator" w:id="0">
    <w:p w:rsidR="00483094" w:rsidRDefault="0048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8C" w:rsidRDefault="0021088C" w:rsidP="00276B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088C" w:rsidRDefault="002108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8C" w:rsidRDefault="0021088C" w:rsidP="00276B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5628">
      <w:rPr>
        <w:rStyle w:val="PageNumber"/>
        <w:noProof/>
      </w:rPr>
      <w:t>2</w:t>
    </w:r>
    <w:r>
      <w:rPr>
        <w:rStyle w:val="PageNumber"/>
      </w:rPr>
      <w:fldChar w:fldCharType="end"/>
    </w:r>
  </w:p>
  <w:p w:rsidR="0021088C" w:rsidRDefault="002108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094" w:rsidRDefault="00483094">
      <w:r>
        <w:separator/>
      </w:r>
    </w:p>
  </w:footnote>
  <w:footnote w:type="continuationSeparator" w:id="0">
    <w:p w:rsidR="00483094" w:rsidRDefault="00483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8C" w:rsidRDefault="0021088C">
    <w:pPr>
      <w:pStyle w:val="Header"/>
      <w:jc w:val="right"/>
    </w:pPr>
    <w:r>
      <w:t xml:space="preserve">                                    </w:t>
    </w:r>
    <w:r w:rsidR="00E23732">
      <w:t>WAC/027(18.04.17)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68F" w:rsidRDefault="00500802" w:rsidP="0059668F">
    <w:pPr>
      <w:pStyle w:val="Header"/>
      <w:jc w:val="right"/>
    </w:pPr>
    <w:r>
      <w:t>WAC/0</w:t>
    </w:r>
    <w:r w:rsidR="00B80385">
      <w:t>3</w:t>
    </w:r>
    <w:r w:rsidR="003C2F7E">
      <w:t>7</w:t>
    </w:r>
    <w:r w:rsidR="00587488">
      <w:t>(</w:t>
    </w:r>
    <w:r w:rsidR="00B80385">
      <w:t>30.10</w:t>
    </w:r>
    <w:r w:rsidR="003C2F7E">
      <w:t>.17</w:t>
    </w:r>
    <w:r w:rsidR="0059668F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4F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5611C7"/>
    <w:multiLevelType w:val="hybridMultilevel"/>
    <w:tmpl w:val="4D284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035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4C2F4E"/>
    <w:multiLevelType w:val="hybridMultilevel"/>
    <w:tmpl w:val="17904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B3FBD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7A112D"/>
    <w:multiLevelType w:val="hybridMultilevel"/>
    <w:tmpl w:val="1DA6E610"/>
    <w:lvl w:ilvl="0" w:tplc="63FAFE5E">
      <w:start w:val="1"/>
      <w:numFmt w:val="bullet"/>
      <w:lvlText w:val=""/>
      <w:lvlJc w:val="left"/>
      <w:pPr>
        <w:tabs>
          <w:tab w:val="num" w:pos="947"/>
        </w:tabs>
        <w:ind w:left="100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A521CB"/>
    <w:multiLevelType w:val="singleLevel"/>
    <w:tmpl w:val="33885DC0"/>
    <w:lvl w:ilvl="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</w:abstractNum>
  <w:abstractNum w:abstractNumId="7" w15:restartNumberingAfterBreak="0">
    <w:nsid w:val="1A172182"/>
    <w:multiLevelType w:val="multilevel"/>
    <w:tmpl w:val="836083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A39219D"/>
    <w:multiLevelType w:val="hybridMultilevel"/>
    <w:tmpl w:val="79A29F24"/>
    <w:lvl w:ilvl="0" w:tplc="DC985E8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C400D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4404FA"/>
    <w:multiLevelType w:val="singleLevel"/>
    <w:tmpl w:val="2320EFC6"/>
    <w:lvl w:ilvl="0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11" w15:restartNumberingAfterBreak="0">
    <w:nsid w:val="1D8D70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A160FD"/>
    <w:multiLevelType w:val="singleLevel"/>
    <w:tmpl w:val="51F821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490B28"/>
    <w:multiLevelType w:val="hybridMultilevel"/>
    <w:tmpl w:val="1F58BE8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B6BF6"/>
    <w:multiLevelType w:val="hybridMultilevel"/>
    <w:tmpl w:val="36ACD42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04451"/>
    <w:multiLevelType w:val="singleLevel"/>
    <w:tmpl w:val="28AEF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2DF42EBE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3205297B"/>
    <w:multiLevelType w:val="hybridMultilevel"/>
    <w:tmpl w:val="889677F6"/>
    <w:lvl w:ilvl="0" w:tplc="AD1A55E0">
      <w:start w:val="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D6E6C17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56D6D95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AD8363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9C2BCB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9BA8E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B0E70B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28813F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DF8C821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E919B0"/>
    <w:multiLevelType w:val="multilevel"/>
    <w:tmpl w:val="1DA6E610"/>
    <w:lvl w:ilvl="0">
      <w:start w:val="1"/>
      <w:numFmt w:val="bullet"/>
      <w:lvlText w:val=""/>
      <w:lvlJc w:val="left"/>
      <w:pPr>
        <w:tabs>
          <w:tab w:val="num" w:pos="947"/>
        </w:tabs>
        <w:ind w:left="100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5357CEF"/>
    <w:multiLevelType w:val="singleLevel"/>
    <w:tmpl w:val="8724E158"/>
    <w:lvl w:ilvl="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</w:abstractNum>
  <w:abstractNum w:abstractNumId="20" w15:restartNumberingAfterBreak="0">
    <w:nsid w:val="35E71029"/>
    <w:multiLevelType w:val="hybridMultilevel"/>
    <w:tmpl w:val="6AFCA5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C55B16"/>
    <w:multiLevelType w:val="singleLevel"/>
    <w:tmpl w:val="955E9AB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7AF7692"/>
    <w:multiLevelType w:val="hybridMultilevel"/>
    <w:tmpl w:val="09BE12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6D70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FFE30F9"/>
    <w:multiLevelType w:val="hybridMultilevel"/>
    <w:tmpl w:val="EADA2F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BE69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42C0053D"/>
    <w:multiLevelType w:val="hybridMultilevel"/>
    <w:tmpl w:val="501A749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561317"/>
    <w:multiLevelType w:val="multilevel"/>
    <w:tmpl w:val="291A36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4D614B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28870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28C0553"/>
    <w:multiLevelType w:val="singleLevel"/>
    <w:tmpl w:val="8724E158"/>
    <w:lvl w:ilvl="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</w:abstractNum>
  <w:abstractNum w:abstractNumId="31" w15:restartNumberingAfterBreak="0">
    <w:nsid w:val="56F944FB"/>
    <w:multiLevelType w:val="hybridMultilevel"/>
    <w:tmpl w:val="7DF24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2D3A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AA52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C6A1AD3"/>
    <w:multiLevelType w:val="hybridMultilevel"/>
    <w:tmpl w:val="9904D850"/>
    <w:lvl w:ilvl="0" w:tplc="A41676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050BB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BC66F5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4B61F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4E896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D3C34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C40D9F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3DC963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146E3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2C782A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31E42E9"/>
    <w:multiLevelType w:val="hybridMultilevel"/>
    <w:tmpl w:val="6B8442B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4C761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95D55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977A20"/>
    <w:multiLevelType w:val="multilevel"/>
    <w:tmpl w:val="F0F48A4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40" w15:restartNumberingAfterBreak="0">
    <w:nsid w:val="6EE054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01B1A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9754E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C8721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6"/>
  </w:num>
  <w:num w:numId="5">
    <w:abstractNumId w:val="39"/>
  </w:num>
  <w:num w:numId="6">
    <w:abstractNumId w:val="16"/>
  </w:num>
  <w:num w:numId="7">
    <w:abstractNumId w:val="38"/>
  </w:num>
  <w:num w:numId="8">
    <w:abstractNumId w:val="37"/>
  </w:num>
  <w:num w:numId="9">
    <w:abstractNumId w:val="29"/>
  </w:num>
  <w:num w:numId="10">
    <w:abstractNumId w:val="43"/>
  </w:num>
  <w:num w:numId="11">
    <w:abstractNumId w:val="32"/>
  </w:num>
  <w:num w:numId="12">
    <w:abstractNumId w:val="2"/>
  </w:num>
  <w:num w:numId="13">
    <w:abstractNumId w:val="33"/>
  </w:num>
  <w:num w:numId="14">
    <w:abstractNumId w:val="40"/>
  </w:num>
  <w:num w:numId="15">
    <w:abstractNumId w:val="9"/>
  </w:num>
  <w:num w:numId="16">
    <w:abstractNumId w:val="11"/>
  </w:num>
  <w:num w:numId="17">
    <w:abstractNumId w:val="27"/>
  </w:num>
  <w:num w:numId="18">
    <w:abstractNumId w:val="35"/>
  </w:num>
  <w:num w:numId="19">
    <w:abstractNumId w:val="10"/>
  </w:num>
  <w:num w:numId="20">
    <w:abstractNumId w:val="41"/>
  </w:num>
  <w:num w:numId="21">
    <w:abstractNumId w:val="19"/>
  </w:num>
  <w:num w:numId="22">
    <w:abstractNumId w:val="30"/>
  </w:num>
  <w:num w:numId="23">
    <w:abstractNumId w:val="23"/>
  </w:num>
  <w:num w:numId="24">
    <w:abstractNumId w:val="28"/>
  </w:num>
  <w:num w:numId="25">
    <w:abstractNumId w:val="0"/>
  </w:num>
  <w:num w:numId="26">
    <w:abstractNumId w:val="42"/>
  </w:num>
  <w:num w:numId="27">
    <w:abstractNumId w:val="21"/>
  </w:num>
  <w:num w:numId="28">
    <w:abstractNumId w:val="12"/>
  </w:num>
  <w:num w:numId="29">
    <w:abstractNumId w:val="25"/>
  </w:num>
  <w:num w:numId="30">
    <w:abstractNumId w:val="17"/>
  </w:num>
  <w:num w:numId="31">
    <w:abstractNumId w:val="34"/>
  </w:num>
  <w:num w:numId="32">
    <w:abstractNumId w:val="22"/>
  </w:num>
  <w:num w:numId="33">
    <w:abstractNumId w:val="1"/>
  </w:num>
  <w:num w:numId="34">
    <w:abstractNumId w:val="14"/>
  </w:num>
  <w:num w:numId="35">
    <w:abstractNumId w:val="26"/>
  </w:num>
  <w:num w:numId="36">
    <w:abstractNumId w:val="36"/>
  </w:num>
  <w:num w:numId="37">
    <w:abstractNumId w:val="8"/>
  </w:num>
  <w:num w:numId="38">
    <w:abstractNumId w:val="5"/>
  </w:num>
  <w:num w:numId="39">
    <w:abstractNumId w:val="18"/>
  </w:num>
  <w:num w:numId="40">
    <w:abstractNumId w:val="20"/>
  </w:num>
  <w:num w:numId="41">
    <w:abstractNumId w:val="13"/>
  </w:num>
  <w:num w:numId="42">
    <w:abstractNumId w:val="31"/>
  </w:num>
  <w:num w:numId="43">
    <w:abstractNumId w:val="24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ED"/>
    <w:rsid w:val="00011C37"/>
    <w:rsid w:val="000331F7"/>
    <w:rsid w:val="00061A3B"/>
    <w:rsid w:val="00080885"/>
    <w:rsid w:val="00083C3A"/>
    <w:rsid w:val="0009756D"/>
    <w:rsid w:val="000F0642"/>
    <w:rsid w:val="001130C6"/>
    <w:rsid w:val="00142FDA"/>
    <w:rsid w:val="00175518"/>
    <w:rsid w:val="001D1659"/>
    <w:rsid w:val="001F73DD"/>
    <w:rsid w:val="00203D89"/>
    <w:rsid w:val="0021088C"/>
    <w:rsid w:val="00276BEB"/>
    <w:rsid w:val="00277B39"/>
    <w:rsid w:val="002C627A"/>
    <w:rsid w:val="002D4E8E"/>
    <w:rsid w:val="003177CE"/>
    <w:rsid w:val="0032458D"/>
    <w:rsid w:val="00334435"/>
    <w:rsid w:val="00343B68"/>
    <w:rsid w:val="00353262"/>
    <w:rsid w:val="0039418D"/>
    <w:rsid w:val="003A711D"/>
    <w:rsid w:val="003B2F00"/>
    <w:rsid w:val="003C2F7E"/>
    <w:rsid w:val="003F23E8"/>
    <w:rsid w:val="00410AEC"/>
    <w:rsid w:val="00420E32"/>
    <w:rsid w:val="00423ACD"/>
    <w:rsid w:val="004250E9"/>
    <w:rsid w:val="004315A4"/>
    <w:rsid w:val="00432901"/>
    <w:rsid w:val="00437F3C"/>
    <w:rsid w:val="0046092D"/>
    <w:rsid w:val="0046175E"/>
    <w:rsid w:val="0048066D"/>
    <w:rsid w:val="00481A88"/>
    <w:rsid w:val="00483094"/>
    <w:rsid w:val="004A1003"/>
    <w:rsid w:val="004A5E22"/>
    <w:rsid w:val="004D400A"/>
    <w:rsid w:val="00500802"/>
    <w:rsid w:val="00510F3B"/>
    <w:rsid w:val="00514037"/>
    <w:rsid w:val="00527250"/>
    <w:rsid w:val="0058260A"/>
    <w:rsid w:val="00586CA4"/>
    <w:rsid w:val="00587488"/>
    <w:rsid w:val="00590068"/>
    <w:rsid w:val="0059177B"/>
    <w:rsid w:val="0059668F"/>
    <w:rsid w:val="005C10D7"/>
    <w:rsid w:val="005D7F23"/>
    <w:rsid w:val="00617B69"/>
    <w:rsid w:val="00630949"/>
    <w:rsid w:val="006566FC"/>
    <w:rsid w:val="0067181D"/>
    <w:rsid w:val="006833BA"/>
    <w:rsid w:val="00696113"/>
    <w:rsid w:val="006C14E9"/>
    <w:rsid w:val="006C5CC2"/>
    <w:rsid w:val="00700DB1"/>
    <w:rsid w:val="00701626"/>
    <w:rsid w:val="00710ED9"/>
    <w:rsid w:val="00715A41"/>
    <w:rsid w:val="0072412F"/>
    <w:rsid w:val="00730415"/>
    <w:rsid w:val="00765284"/>
    <w:rsid w:val="00767709"/>
    <w:rsid w:val="00784B09"/>
    <w:rsid w:val="007A4CD1"/>
    <w:rsid w:val="007C56D4"/>
    <w:rsid w:val="007C7686"/>
    <w:rsid w:val="007D6911"/>
    <w:rsid w:val="007F1F9E"/>
    <w:rsid w:val="0080078D"/>
    <w:rsid w:val="00814E7A"/>
    <w:rsid w:val="00846D57"/>
    <w:rsid w:val="008513EA"/>
    <w:rsid w:val="008702BE"/>
    <w:rsid w:val="008D61E0"/>
    <w:rsid w:val="008E38D0"/>
    <w:rsid w:val="009240BF"/>
    <w:rsid w:val="009309A3"/>
    <w:rsid w:val="009816EA"/>
    <w:rsid w:val="009820E9"/>
    <w:rsid w:val="009B0460"/>
    <w:rsid w:val="009B2AB8"/>
    <w:rsid w:val="009D2AED"/>
    <w:rsid w:val="009F6A8C"/>
    <w:rsid w:val="009F72C7"/>
    <w:rsid w:val="00A00D27"/>
    <w:rsid w:val="00A018DD"/>
    <w:rsid w:val="00A242D8"/>
    <w:rsid w:val="00A37443"/>
    <w:rsid w:val="00A474F8"/>
    <w:rsid w:val="00A76EE7"/>
    <w:rsid w:val="00A81B72"/>
    <w:rsid w:val="00A9211F"/>
    <w:rsid w:val="00A926FA"/>
    <w:rsid w:val="00AC7343"/>
    <w:rsid w:val="00AD5E1C"/>
    <w:rsid w:val="00B2313C"/>
    <w:rsid w:val="00B57E65"/>
    <w:rsid w:val="00B74A31"/>
    <w:rsid w:val="00B80385"/>
    <w:rsid w:val="00BA733F"/>
    <w:rsid w:val="00BB429D"/>
    <w:rsid w:val="00BC1C1D"/>
    <w:rsid w:val="00BD7ADF"/>
    <w:rsid w:val="00C0501D"/>
    <w:rsid w:val="00C1381B"/>
    <w:rsid w:val="00C468BF"/>
    <w:rsid w:val="00C833D6"/>
    <w:rsid w:val="00C964A8"/>
    <w:rsid w:val="00CD1286"/>
    <w:rsid w:val="00CE6DC7"/>
    <w:rsid w:val="00D01B1E"/>
    <w:rsid w:val="00D30099"/>
    <w:rsid w:val="00D475D3"/>
    <w:rsid w:val="00D55628"/>
    <w:rsid w:val="00DB33AB"/>
    <w:rsid w:val="00DD12F1"/>
    <w:rsid w:val="00DE281F"/>
    <w:rsid w:val="00DF06BC"/>
    <w:rsid w:val="00E23732"/>
    <w:rsid w:val="00E270EF"/>
    <w:rsid w:val="00E35F32"/>
    <w:rsid w:val="00E438AD"/>
    <w:rsid w:val="00E759DB"/>
    <w:rsid w:val="00EB547A"/>
    <w:rsid w:val="00EF7277"/>
    <w:rsid w:val="00F05527"/>
    <w:rsid w:val="00F32B9D"/>
    <w:rsid w:val="00F661F1"/>
    <w:rsid w:val="00F721EC"/>
    <w:rsid w:val="00F86676"/>
    <w:rsid w:val="00FA5557"/>
    <w:rsid w:val="00FB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B64B1-FFB2-4869-824B-8B045525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spacing w:line="227" w:lineRule="auto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70"/>
        <w:tab w:val="left" w:pos="720"/>
      </w:tabs>
      <w:suppressAutoHyphens/>
      <w:spacing w:line="227" w:lineRule="auto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pPr>
      <w:widowControl w:val="0"/>
      <w:tabs>
        <w:tab w:val="right" w:pos="9360"/>
      </w:tabs>
      <w:suppressAutoHyphens/>
      <w:jc w:val="both"/>
    </w:pPr>
    <w:rPr>
      <w:snapToGrid w:val="0"/>
      <w:kern w:val="28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Arial" w:hAnsi="Arial"/>
      <w:u w:val="single"/>
    </w:rPr>
  </w:style>
  <w:style w:type="character" w:customStyle="1" w:styleId="Resref">
    <w:name w:val="Res#_ref"/>
    <w:basedOn w:val="DefaultParagraphFont"/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4617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7488"/>
    <w:pPr>
      <w:ind w:left="720"/>
    </w:pPr>
  </w:style>
  <w:style w:type="paragraph" w:styleId="NoSpacing">
    <w:name w:val="No Spacing"/>
    <w:uiPriority w:val="1"/>
    <w:qFormat/>
    <w:rsid w:val="00B74A3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503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FCC</Company>
  <LinksUpToDate>false</LinksUpToDate>
  <CharactersWithSpaces>3570</CharactersWithSpaces>
  <SharedDoc>false</SharedDoc>
  <HLinks>
    <vt:vector size="6" baseType="variant"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http://www.fcc.gov/wrc-15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DWEILAND</dc:creator>
  <cp:keywords/>
  <dc:description/>
  <cp:lastModifiedBy>Michael Mullinix</cp:lastModifiedBy>
  <cp:revision>8</cp:revision>
  <cp:lastPrinted>2017-04-14T16:27:00Z</cp:lastPrinted>
  <dcterms:created xsi:type="dcterms:W3CDTF">2017-07-27T15:11:00Z</dcterms:created>
  <dcterms:modified xsi:type="dcterms:W3CDTF">2017-10-23T19:36:00Z</dcterms:modified>
</cp:coreProperties>
</file>