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BBD" w:rsidRDefault="00C512CA">
      <w:r>
        <w:t>I am a concerned citizen.  To make a short but simple case, it is my o</w:t>
      </w:r>
      <w:r w:rsidR="00B62F1F">
        <w:t>pinion that corporate interests</w:t>
      </w:r>
      <w:r>
        <w:t>, even with competition, such as it is, in play, that the content providers must be protected from abuses by service providers.</w:t>
      </w:r>
      <w:r w:rsidR="00B62F1F">
        <w:t xml:space="preserve">  It is my opinion that support for net neutral principals is essential for this purpose.</w:t>
      </w:r>
      <w:bookmarkStart w:id="0" w:name="_GoBack"/>
      <w:bookmarkEnd w:id="0"/>
    </w:p>
    <w:sectPr w:rsidR="00224B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2CA"/>
    <w:rsid w:val="00224BBD"/>
    <w:rsid w:val="00B62F1F"/>
    <w:rsid w:val="00BE5AD8"/>
    <w:rsid w:val="00C5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C50B23-DEF6-4BD6-811F-CFF42395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A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seco Brand">
  <a:themeElements>
    <a:clrScheme name="Oseco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A8AD32"/>
      </a:accent1>
      <a:accent2>
        <a:srgbClr val="E87722"/>
      </a:accent2>
      <a:accent3>
        <a:srgbClr val="D8DFAA"/>
      </a:accent3>
      <a:accent4>
        <a:srgbClr val="F1AE7B"/>
      </a:accent4>
      <a:accent5>
        <a:srgbClr val="595959"/>
      </a:accent5>
      <a:accent6>
        <a:srgbClr val="D8D8D8"/>
      </a:accent6>
      <a:hlink>
        <a:srgbClr val="A8AD32"/>
      </a:hlink>
      <a:folHlink>
        <a:srgbClr val="E87722"/>
      </a:folHlink>
    </a:clrScheme>
    <a:fontScheme name="Oseco -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Goodyear</dc:creator>
  <cp:keywords/>
  <dc:description/>
  <cp:lastModifiedBy>Eric Goodyear</cp:lastModifiedBy>
  <cp:revision>2</cp:revision>
  <dcterms:created xsi:type="dcterms:W3CDTF">2017-10-24T17:57:00Z</dcterms:created>
  <dcterms:modified xsi:type="dcterms:W3CDTF">2017-10-24T17:59:00Z</dcterms:modified>
</cp:coreProperties>
</file>