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DF5DB9" w14:textId="77777777" w:rsidR="00002D95" w:rsidRPr="00002D95" w:rsidRDefault="00002D95" w:rsidP="00002D95">
      <w:pPr>
        <w:pStyle w:val="NoSpacing"/>
        <w:jc w:val="both"/>
        <w:rPr>
          <w:rFonts w:ascii="Times New Roman" w:hAnsi="Times New Roman" w:cs="Times New Roman"/>
          <w:b/>
          <w:sz w:val="24"/>
        </w:rPr>
      </w:pPr>
      <w:r w:rsidRPr="00002D95">
        <w:rPr>
          <w:rFonts w:ascii="Times New Roman" w:hAnsi="Times New Roman" w:cs="Times New Roman"/>
          <w:b/>
          <w:sz w:val="24"/>
        </w:rPr>
        <w:t>In the Matter of:</w:t>
      </w:r>
    </w:p>
    <w:p w14:paraId="321B5335" w14:textId="77777777"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 xml:space="preserve">                                                                    </w:t>
      </w:r>
      <w:r w:rsidRPr="00002D95">
        <w:rPr>
          <w:rFonts w:ascii="Times New Roman" w:hAnsi="Times New Roman" w:cs="Times New Roman"/>
          <w:sz w:val="24"/>
        </w:rPr>
        <w:tab/>
      </w:r>
    </w:p>
    <w:p w14:paraId="5D53D94A" w14:textId="77777777"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Wireline Competition Bureau</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 xml:space="preserve">) </w:t>
      </w:r>
      <w:r>
        <w:rPr>
          <w:rFonts w:ascii="Times New Roman" w:hAnsi="Times New Roman" w:cs="Times New Roman"/>
          <w:sz w:val="24"/>
        </w:rPr>
        <w:tab/>
      </w:r>
      <w:r w:rsidRPr="00002D95">
        <w:rPr>
          <w:rFonts w:ascii="Times New Roman" w:hAnsi="Times New Roman" w:cs="Times New Roman"/>
          <w:sz w:val="24"/>
        </w:rPr>
        <w:t>WC Docket No. 13-184</w:t>
      </w:r>
    </w:p>
    <w:p w14:paraId="74C3DF32" w14:textId="77777777"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Seeking Comments on E-rate Category Two</w:t>
      </w:r>
      <w:r w:rsidRPr="00002D95">
        <w:rPr>
          <w:rFonts w:ascii="Times New Roman" w:hAnsi="Times New Roman" w:cs="Times New Roman"/>
          <w:sz w:val="24"/>
        </w:rPr>
        <w:tab/>
      </w:r>
      <w:r w:rsidRPr="00002D95">
        <w:rPr>
          <w:rFonts w:ascii="Times New Roman" w:hAnsi="Times New Roman" w:cs="Times New Roman"/>
          <w:sz w:val="24"/>
        </w:rPr>
        <w:tab/>
      </w:r>
      <w:r w:rsidRPr="00002D95">
        <w:rPr>
          <w:rFonts w:ascii="Times New Roman" w:hAnsi="Times New Roman" w:cs="Times New Roman"/>
          <w:sz w:val="24"/>
        </w:rPr>
        <w:tab/>
        <w:t>)</w:t>
      </w:r>
    </w:p>
    <w:p w14:paraId="19566FE9" w14:textId="77777777" w:rsidR="00002D95" w:rsidRPr="00002D95" w:rsidRDefault="00002D95" w:rsidP="00002D95">
      <w:pPr>
        <w:pStyle w:val="NoSpacing"/>
        <w:jc w:val="both"/>
        <w:rPr>
          <w:rFonts w:ascii="Times New Roman" w:hAnsi="Times New Roman" w:cs="Times New Roman"/>
          <w:sz w:val="24"/>
        </w:rPr>
      </w:pPr>
    </w:p>
    <w:p w14:paraId="2410031B" w14:textId="77777777" w:rsidR="00002D95" w:rsidRPr="00002D95" w:rsidRDefault="00AC6466" w:rsidP="00002D95">
      <w:pPr>
        <w:pStyle w:val="NoSpacing"/>
        <w:jc w:val="both"/>
        <w:rPr>
          <w:rFonts w:ascii="Times New Roman" w:hAnsi="Times New Roman" w:cs="Times New Roman"/>
          <w:sz w:val="24"/>
        </w:rPr>
      </w:pPr>
      <w:r>
        <w:rPr>
          <w:rFonts w:ascii="Times New Roman" w:hAnsi="Times New Roman" w:cs="Times New Roman"/>
          <w:sz w:val="24"/>
        </w:rPr>
        <w:t>I</w:t>
      </w:r>
      <w:r w:rsidR="00002D95" w:rsidRPr="00002D95">
        <w:rPr>
          <w:rFonts w:ascii="Times New Roman" w:hAnsi="Times New Roman" w:cs="Times New Roman"/>
          <w:sz w:val="24"/>
        </w:rPr>
        <w:t xml:space="preserve"> echo the</w:t>
      </w:r>
      <w:r>
        <w:rPr>
          <w:rFonts w:ascii="Times New Roman" w:hAnsi="Times New Roman" w:cs="Times New Roman"/>
          <w:sz w:val="24"/>
        </w:rPr>
        <w:t xml:space="preserve"> American Library Association’s</w:t>
      </w:r>
      <w:r w:rsidR="00002D95" w:rsidRPr="00002D95">
        <w:rPr>
          <w:rFonts w:ascii="Times New Roman" w:hAnsi="Times New Roman" w:cs="Times New Roman"/>
          <w:sz w:val="24"/>
        </w:rPr>
        <w:t xml:space="preserve"> call to the FCC to ensure a fully funded and stable E-rate program, including maintaining the category two (C2) budget system for libraries</w:t>
      </w:r>
      <w:r w:rsidR="00114F7A">
        <w:rPr>
          <w:rFonts w:ascii="Times New Roman" w:hAnsi="Times New Roman" w:cs="Times New Roman"/>
          <w:sz w:val="24"/>
        </w:rPr>
        <w:t>. Small</w:t>
      </w:r>
      <w:r w:rsidR="00002D95" w:rsidRPr="00002D95">
        <w:rPr>
          <w:rFonts w:ascii="Times New Roman" w:hAnsi="Times New Roman" w:cs="Times New Roman"/>
          <w:sz w:val="24"/>
        </w:rPr>
        <w:t xml:space="preserve"> rural libraries, suburban libraries, and large urban libraries depend on the E-rate program to provide internet access as a core community service. </w:t>
      </w:r>
    </w:p>
    <w:p w14:paraId="1553E4E6" w14:textId="77777777" w:rsidR="00002D95" w:rsidRPr="00002D95" w:rsidRDefault="00002D95" w:rsidP="00002D95">
      <w:pPr>
        <w:pStyle w:val="NoSpacing"/>
        <w:jc w:val="both"/>
        <w:rPr>
          <w:rFonts w:ascii="Times New Roman" w:hAnsi="Times New Roman" w:cs="Times New Roman"/>
          <w:sz w:val="24"/>
        </w:rPr>
      </w:pPr>
    </w:p>
    <w:p w14:paraId="4E8106F9" w14:textId="77777777"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Before the E-rate Modernization in 2014, virtually no libraries received funds for then, Priority 2 services. Comments filed in response to this Public Notice indicate libraries are taking advantage of the C2 funding made available through the Modernization. We support the points made by the American Library Association (ALA) that underscore that it is premature for the FCC to make changes to the budget system given that we are midstream in the five-year C2 system. We also support the recommendations made by ALA to make it easier and more streamlined for libraries to apply for C2 funding.</w:t>
      </w:r>
    </w:p>
    <w:p w14:paraId="46F559DF" w14:textId="77777777" w:rsidR="00002D95" w:rsidRPr="00002D95" w:rsidRDefault="00002D95" w:rsidP="00002D95">
      <w:pPr>
        <w:pStyle w:val="NoSpacing"/>
        <w:jc w:val="both"/>
        <w:rPr>
          <w:rFonts w:ascii="Times New Roman" w:hAnsi="Times New Roman" w:cs="Times New Roman"/>
          <w:sz w:val="24"/>
        </w:rPr>
      </w:pPr>
    </w:p>
    <w:p w14:paraId="4D858A91" w14:textId="77777777"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In communities across the country, people turn to the library to use our WiFi on their tablets, laptops, and other devices. Library users are downloading job applications, applying for financial aid, seeking health information, and communicating with family - all dependent on a strong WiFi signal. Increasingly, libraries also provide services that depend on WiFi, like coding clubs for K12 youth. Libraries everywhere know WiFi throughout the library is not a “nice to have” - it’s a core community service.</w:t>
      </w:r>
    </w:p>
    <w:p w14:paraId="1721AC41" w14:textId="77777777" w:rsidR="00002D95" w:rsidRPr="00002D95" w:rsidRDefault="00002D95" w:rsidP="00002D95">
      <w:pPr>
        <w:pStyle w:val="NoSpacing"/>
        <w:jc w:val="both"/>
        <w:rPr>
          <w:rFonts w:ascii="Times New Roman" w:hAnsi="Times New Roman" w:cs="Times New Roman"/>
          <w:sz w:val="24"/>
        </w:rPr>
      </w:pPr>
    </w:p>
    <w:p w14:paraId="01D9E959" w14:textId="77777777" w:rsidR="00002D95" w:rsidRPr="00002D95"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With the commitment of the FCC to ensure a library budget of $2.30 ($5.00 for a selected category of larger urban and suburban libraries) per square foot, libraries can finally upgrade outdated equipment or plan for new construction. They have confidence that desperately needed support will be there.</w:t>
      </w:r>
    </w:p>
    <w:p w14:paraId="1FD9A37F" w14:textId="77777777" w:rsidR="00002D95" w:rsidRPr="00002D95" w:rsidRDefault="00002D95" w:rsidP="00002D95">
      <w:pPr>
        <w:pStyle w:val="NoSpacing"/>
        <w:jc w:val="both"/>
        <w:rPr>
          <w:rFonts w:ascii="Times New Roman" w:hAnsi="Times New Roman" w:cs="Times New Roman"/>
          <w:sz w:val="24"/>
        </w:rPr>
      </w:pPr>
    </w:p>
    <w:p w14:paraId="7B620066" w14:textId="77777777" w:rsidR="004D5E4B" w:rsidRDefault="00002D95" w:rsidP="00002D95">
      <w:pPr>
        <w:pStyle w:val="NoSpacing"/>
        <w:jc w:val="both"/>
        <w:rPr>
          <w:rFonts w:ascii="Times New Roman" w:hAnsi="Times New Roman" w:cs="Times New Roman"/>
          <w:sz w:val="24"/>
        </w:rPr>
      </w:pPr>
      <w:r w:rsidRPr="00002D95">
        <w:rPr>
          <w:rFonts w:ascii="Times New Roman" w:hAnsi="Times New Roman" w:cs="Times New Roman"/>
          <w:sz w:val="24"/>
        </w:rPr>
        <w:t>It is clear for library comments filed, that the FCC should maintain secure funding through the full five-year budget period as adopted during the 2014 Modernization. Our communities depend on that funding.</w:t>
      </w:r>
    </w:p>
    <w:p w14:paraId="79B641E9" w14:textId="77777777" w:rsidR="00114F7A" w:rsidRDefault="00114F7A" w:rsidP="00002D95">
      <w:pPr>
        <w:pStyle w:val="NoSpacing"/>
        <w:jc w:val="both"/>
        <w:rPr>
          <w:rFonts w:ascii="Times New Roman" w:hAnsi="Times New Roman" w:cs="Times New Roman"/>
          <w:sz w:val="24"/>
        </w:rPr>
      </w:pPr>
    </w:p>
    <w:p w14:paraId="600B8765" w14:textId="77777777" w:rsidR="00114F7A" w:rsidRDefault="00114F7A" w:rsidP="00002D95">
      <w:pPr>
        <w:pStyle w:val="NoSpacing"/>
        <w:jc w:val="both"/>
        <w:rPr>
          <w:rFonts w:ascii="Times New Roman" w:hAnsi="Times New Roman" w:cs="Times New Roman"/>
          <w:sz w:val="24"/>
        </w:rPr>
      </w:pPr>
      <w:r>
        <w:rPr>
          <w:rFonts w:ascii="Times New Roman" w:hAnsi="Times New Roman" w:cs="Times New Roman"/>
          <w:sz w:val="24"/>
        </w:rPr>
        <w:t>Sincerely,</w:t>
      </w:r>
    </w:p>
    <w:p w14:paraId="3556225B" w14:textId="77777777" w:rsidR="00114F7A" w:rsidRDefault="00114F7A" w:rsidP="00002D95">
      <w:pPr>
        <w:pStyle w:val="NoSpacing"/>
        <w:jc w:val="both"/>
        <w:rPr>
          <w:rFonts w:ascii="Times New Roman" w:hAnsi="Times New Roman" w:cs="Times New Roman"/>
          <w:sz w:val="24"/>
        </w:rPr>
      </w:pPr>
    </w:p>
    <w:p w14:paraId="4470CFC8" w14:textId="77777777" w:rsidR="00114F7A" w:rsidRDefault="00114F7A" w:rsidP="00002D95">
      <w:pPr>
        <w:pStyle w:val="NoSpacing"/>
        <w:jc w:val="both"/>
        <w:rPr>
          <w:rFonts w:ascii="Times New Roman" w:hAnsi="Times New Roman" w:cs="Times New Roman"/>
          <w:sz w:val="24"/>
        </w:rPr>
      </w:pPr>
      <w:r>
        <w:rPr>
          <w:rFonts w:ascii="Times New Roman" w:hAnsi="Times New Roman" w:cs="Times New Roman"/>
          <w:sz w:val="24"/>
        </w:rPr>
        <w:t>Jessica M. Cresseveur, Ph.D.</w:t>
      </w:r>
    </w:p>
    <w:p w14:paraId="36DFF383" w14:textId="77777777" w:rsidR="00114F7A" w:rsidRPr="00002D95" w:rsidRDefault="00114F7A" w:rsidP="00002D95">
      <w:pPr>
        <w:pStyle w:val="NoSpacing"/>
        <w:jc w:val="both"/>
        <w:rPr>
          <w:rFonts w:ascii="Times New Roman" w:hAnsi="Times New Roman" w:cs="Times New Roman"/>
          <w:sz w:val="24"/>
        </w:rPr>
      </w:pPr>
      <w:r>
        <w:rPr>
          <w:rFonts w:ascii="Times New Roman" w:hAnsi="Times New Roman" w:cs="Times New Roman"/>
          <w:sz w:val="24"/>
        </w:rPr>
        <w:t>New Albany, IN</w:t>
      </w:r>
      <w:bookmarkStart w:id="0" w:name="_GoBack"/>
      <w:bookmarkEnd w:id="0"/>
    </w:p>
    <w:sectPr w:rsidR="00114F7A" w:rsidRPr="00002D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D95"/>
    <w:rsid w:val="00002D95"/>
    <w:rsid w:val="00114F7A"/>
    <w:rsid w:val="00133515"/>
    <w:rsid w:val="004A2FBD"/>
    <w:rsid w:val="004D5E4B"/>
    <w:rsid w:val="00AC64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4FBD3"/>
  <w15:chartTrackingRefBased/>
  <w15:docId w15:val="{82B14815-C2CE-4F45-8845-F144D8C85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2D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665140">
      <w:bodyDiv w:val="1"/>
      <w:marLeft w:val="0"/>
      <w:marRight w:val="0"/>
      <w:marTop w:val="0"/>
      <w:marBottom w:val="0"/>
      <w:divBdr>
        <w:top w:val="none" w:sz="0" w:space="0" w:color="auto"/>
        <w:left w:val="none" w:sz="0" w:space="0" w:color="auto"/>
        <w:bottom w:val="none" w:sz="0" w:space="0" w:color="auto"/>
        <w:right w:val="none" w:sz="0" w:space="0" w:color="auto"/>
      </w:divBdr>
      <w:divsChild>
        <w:div w:id="1801799855">
          <w:marLeft w:val="0"/>
          <w:marRight w:val="0"/>
          <w:marTop w:val="0"/>
          <w:marBottom w:val="0"/>
          <w:divBdr>
            <w:top w:val="none" w:sz="0" w:space="0" w:color="auto"/>
            <w:left w:val="none" w:sz="0" w:space="0" w:color="auto"/>
            <w:bottom w:val="none" w:sz="0" w:space="0" w:color="auto"/>
            <w:right w:val="none" w:sz="0" w:space="0" w:color="auto"/>
          </w:divBdr>
        </w:div>
      </w:divsChild>
    </w:div>
    <w:div w:id="862480738">
      <w:bodyDiv w:val="1"/>
      <w:marLeft w:val="0"/>
      <w:marRight w:val="0"/>
      <w:marTop w:val="0"/>
      <w:marBottom w:val="0"/>
      <w:divBdr>
        <w:top w:val="none" w:sz="0" w:space="0" w:color="auto"/>
        <w:left w:val="none" w:sz="0" w:space="0" w:color="auto"/>
        <w:bottom w:val="none" w:sz="0" w:space="0" w:color="auto"/>
        <w:right w:val="none" w:sz="0" w:space="0" w:color="auto"/>
      </w:divBdr>
      <w:divsChild>
        <w:div w:id="740564652">
          <w:marLeft w:val="0"/>
          <w:marRight w:val="0"/>
          <w:marTop w:val="0"/>
          <w:marBottom w:val="0"/>
          <w:divBdr>
            <w:top w:val="none" w:sz="0" w:space="0" w:color="auto"/>
            <w:left w:val="none" w:sz="0" w:space="0" w:color="auto"/>
            <w:bottom w:val="none" w:sz="0" w:space="0" w:color="auto"/>
            <w:right w:val="none" w:sz="0" w:space="0" w:color="auto"/>
          </w:divBdr>
        </w:div>
      </w:divsChild>
    </w:div>
    <w:div w:id="1321276280">
      <w:bodyDiv w:val="1"/>
      <w:marLeft w:val="0"/>
      <w:marRight w:val="0"/>
      <w:marTop w:val="0"/>
      <w:marBottom w:val="0"/>
      <w:divBdr>
        <w:top w:val="none" w:sz="0" w:space="0" w:color="auto"/>
        <w:left w:val="none" w:sz="0" w:space="0" w:color="auto"/>
        <w:bottom w:val="none" w:sz="0" w:space="0" w:color="auto"/>
        <w:right w:val="none" w:sz="0" w:space="0" w:color="auto"/>
      </w:divBdr>
      <w:divsChild>
        <w:div w:id="1322194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328</Words>
  <Characters>1875</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Wagner</dc:creator>
  <cp:keywords/>
  <dc:description/>
  <cp:lastModifiedBy>Cresseveur, Jessica</cp:lastModifiedBy>
  <cp:revision>2</cp:revision>
  <dcterms:created xsi:type="dcterms:W3CDTF">2017-10-24T21:09:00Z</dcterms:created>
  <dcterms:modified xsi:type="dcterms:W3CDTF">2017-10-25T19:20:00Z</dcterms:modified>
</cp:coreProperties>
</file>