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7EF" w:rsidRDefault="00B56305" w:rsidP="00297A2A">
      <w:pPr>
        <w:pStyle w:val="Header"/>
      </w:pPr>
      <w:bookmarkStart w:id="0" w:name="_GoBack"/>
      <w:bookmarkEnd w:id="0"/>
      <w:r>
        <w:rPr>
          <w:noProof/>
        </w:rPr>
        <mc:AlternateContent>
          <mc:Choice Requires="wps">
            <w:drawing>
              <wp:anchor distT="0" distB="0" distL="114300" distR="114300" simplePos="0" relativeHeight="251658240" behindDoc="0" locked="0" layoutInCell="0" allowOverlap="1">
                <wp:simplePos x="0" y="0"/>
                <wp:positionH relativeFrom="margin">
                  <wp:posOffset>-57150</wp:posOffset>
                </wp:positionH>
                <wp:positionV relativeFrom="paragraph">
                  <wp:posOffset>741045</wp:posOffset>
                </wp:positionV>
                <wp:extent cx="3108960" cy="640080"/>
                <wp:effectExtent l="0" t="635"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37EF" w:rsidRDefault="00B56305">
                            <w:pPr>
                              <w:rPr>
                                <w:rFonts w:ascii="Arial" w:hAnsi="Arial"/>
                                <w:b/>
                              </w:rPr>
                            </w:pPr>
                            <w:r>
                              <w:rPr>
                                <w:rFonts w:ascii="Arial" w:hAnsi="Arial"/>
                                <w:b/>
                              </w:rPr>
                              <w:t>Federal Communications Commission</w:t>
                            </w:r>
                          </w:p>
                          <w:p w:rsidR="00D537EF" w:rsidRDefault="00B56305">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D537EF" w:rsidRDefault="00B56305">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5pt;margin-top:58.35pt;width:244.8pt;height:50.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" o:allowincell="f" stroked="f">
                <v:textbox>
                  <w:txbxContent>
                    <w:p w:rsidR="00D537EF" w:rsidRDefault="00B56305">
                      <w:pPr>
                        <w:rPr>
                          <w:rFonts w:ascii="Arial" w:hAnsi="Arial"/>
                          <w:b/>
                        </w:rPr>
                      </w:pPr>
                      <w:r>
                        <w:rPr>
                          <w:rFonts w:ascii="Arial" w:hAnsi="Arial"/>
                          <w:b/>
                        </w:rPr>
                        <w:t>Federal Communications Commission</w:t>
                      </w:r>
                    </w:p>
                    <w:p w:rsidR="00D537EF" w:rsidRDefault="00B56305">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D537EF" w:rsidRDefault="00B56305">
                      <w:pPr>
                        <w:rPr>
                          <w:rFonts w:ascii="Arial" w:hAnsi="Arial"/>
                          <w:sz w:val="24"/>
                        </w:rPr>
                      </w:pPr>
                      <w:r>
                        <w:rPr>
                          <w:rFonts w:ascii="Arial" w:hAnsi="Arial"/>
                          <w:b/>
                        </w:rPr>
                        <w:t>Washington, D.C. 20554</w:t>
                      </w:r>
                    </w:p>
                  </w:txbxContent>
                </v:textbox>
                <w10:wrap anchorx="margin"/>
              </v:shape>
            </w:pict>
          </mc:Fallback>
        </mc:AlternateContent>
      </w:r>
      <w:r>
        <w:rPr>
          <w:noProof/>
        </w:rPr>
        <w:drawing>
          <wp:anchor distT="0" distB="0" distL="114300" distR="114300" simplePos="0" relativeHeight="251661312" behindDoc="0" locked="0" layoutInCell="0" allowOverlap="1">
            <wp:simplePos x="0" y="0"/>
            <wp:positionH relativeFrom="column">
              <wp:posOffset>-650875</wp:posOffset>
            </wp:positionH>
            <wp:positionV relativeFrom="paragraph">
              <wp:posOffset>136525</wp:posOffset>
            </wp:positionV>
            <wp:extent cx="530225" cy="530225"/>
            <wp:effectExtent l="0" t="0" r="3175" b="3175"/>
            <wp:wrapTopAndBottom/>
            <wp:docPr id="3"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pic:spPr>
                </pic:pic>
              </a:graphicData>
            </a:graphic>
            <wp14:sizeRelH relativeFrom="page">
              <wp14:pctWidth>0</wp14:pctWidth>
            </wp14:sizeRelH>
            <wp14:sizeRelV relativeFrom="page">
              <wp14:pctHeight>0</wp14:pctHeight>
            </wp14:sizeRelV>
          </wp:anchor>
        </w:drawing>
      </w:r>
      <w:r>
        <w:t>PUBLIC NOTICE</w:t>
      </w:r>
    </w:p>
    <w:p w:rsidR="00D537EF" w:rsidRDefault="00B56305" w:rsidP="00297A2A">
      <w:pPr>
        <w:pStyle w:val="Header"/>
      </w:pPr>
      <w:r>
        <w:rPr>
          <w:noProof/>
        </w:rPr>
        <mc:AlternateContent>
          <mc:Choice Requires="wps">
            <w:drawing>
              <wp:anchor distT="0" distB="0" distL="114300" distR="114300" simplePos="0" relativeHeight="251659264" behindDoc="0" locked="0" layoutInCell="0" allowOverlap="1">
                <wp:simplePos x="0" y="0"/>
                <wp:positionH relativeFrom="margin">
                  <wp:align>right</wp:align>
                </wp:positionH>
                <wp:positionV relativeFrom="paragraph">
                  <wp:posOffset>720090</wp:posOffset>
                </wp:positionV>
                <wp:extent cx="5943600" cy="0"/>
                <wp:effectExtent l="11430" t="6985" r="7620" b="12065"/>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5AD52C" id="Line 4" o:spid="_x0000_s1026" style="position:absolute;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6.8pt,56.7pt" to="884.8pt,5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GGb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M8dKY3roCASu1sqI2e1YvZavrdIaWrlqgDjwxfLwbSspCRvEkJG2cAf99/1gxiyNHr2KZz&#10;Y7sACQ1A56jG5a4GP3tE4XC6yJ9m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" o:allowincell="f">
                <w10:wrap anchorx="margin"/>
              </v:lin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column">
                  <wp:posOffset>3343275</wp:posOffset>
                </wp:positionH>
                <wp:positionV relativeFrom="paragraph">
                  <wp:posOffset>178435</wp:posOffset>
                </wp:positionV>
                <wp:extent cx="2640965" cy="447675"/>
                <wp:effectExtent l="0" t="254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37EF" w:rsidRDefault="00B56305">
                            <w:pPr>
                              <w:spacing w:before="40"/>
                              <w:jc w:val="right"/>
                              <w:rPr>
                                <w:rFonts w:ascii="Arial" w:hAnsi="Arial"/>
                                <w:b/>
                                <w:sz w:val="16"/>
                              </w:rPr>
                            </w:pPr>
                            <w:r>
                              <w:rPr>
                                <w:rFonts w:ascii="Arial" w:hAnsi="Arial"/>
                                <w:b/>
                                <w:sz w:val="16"/>
                              </w:rPr>
                              <w:t>News Media Information 202 / 418-0500</w:t>
                            </w:r>
                          </w:p>
                          <w:p w:rsidR="00D537EF" w:rsidRDefault="00B56305">
                            <w:pPr>
                              <w:jc w:val="right"/>
                              <w:rPr>
                                <w:rFonts w:ascii="Arial" w:hAnsi="Arial"/>
                                <w:b/>
                                <w:sz w:val="16"/>
                              </w:rPr>
                            </w:pPr>
                            <w:r>
                              <w:rPr>
                                <w:rFonts w:ascii="Arial" w:hAnsi="Arial"/>
                                <w:b/>
                                <w:sz w:val="16"/>
                              </w:rPr>
                              <w:t xml:space="preserve">Internet: </w:t>
                            </w:r>
                            <w:bookmarkStart w:id="1" w:name="_Hlt233824"/>
                            <w:r>
                              <w:rPr>
                                <w:rFonts w:ascii="Arial" w:hAnsi="Arial"/>
                                <w:b/>
                                <w:sz w:val="16"/>
                              </w:rPr>
                              <w:fldChar w:fldCharType="begin"/>
                            </w:r>
                            <w:r w:rsidR="005D77F1">
                              <w:rPr>
                                <w:rFonts w:ascii="Arial" w:hAnsi="Arial"/>
                                <w:b/>
                                <w:sz w:val="16"/>
                              </w:rPr>
                              <w:instrText>HYPERLINK "https://www.fcc.gov/"</w:instrText>
                            </w:r>
                            <w:r>
                              <w:rPr>
                                <w:rFonts w:ascii="Arial" w:hAnsi="Arial"/>
                                <w:b/>
                                <w:sz w:val="16"/>
                              </w:rPr>
                              <w:fldChar w:fldCharType="separate"/>
                            </w:r>
                            <w:r>
                              <w:rPr>
                                <w:rStyle w:val="Hyperlink"/>
                                <w:rFonts w:ascii="Arial" w:hAnsi="Arial"/>
                                <w:b/>
                                <w:sz w:val="16"/>
                              </w:rPr>
                              <w:t>h</w:t>
                            </w:r>
                            <w:bookmarkEnd w:id="1"/>
                            <w:r>
                              <w:rPr>
                                <w:rStyle w:val="Hyperlink"/>
                                <w:rFonts w:ascii="Arial" w:hAnsi="Arial"/>
                                <w:b/>
                                <w:sz w:val="16"/>
                              </w:rPr>
                              <w:t>ttps://www.fcc.gov</w:t>
                            </w:r>
                            <w:r>
                              <w:rPr>
                                <w:rFonts w:ascii="Arial" w:hAnsi="Arial"/>
                                <w:b/>
                                <w:sz w:val="16"/>
                              </w:rPr>
                              <w:fldChar w:fldCharType="end"/>
                            </w:r>
                          </w:p>
                          <w:p w:rsidR="00D537EF" w:rsidRDefault="00B56305">
                            <w:pPr>
                              <w:jc w:val="right"/>
                            </w:pPr>
                            <w:r>
                              <w:rPr>
                                <w:rFonts w:ascii="Arial" w:hAnsi="Arial"/>
                                <w:b/>
                                <w:sz w:val="16"/>
                              </w:rPr>
                              <w:t>TTY: 1-888-835-5322</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263.25pt;margin-top:14.05pt;width:207.9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" o:allowincell="f" stroked="f">
                <v:textbox inset=",0,,0">
                  <w:txbxContent>
                    <w:p w:rsidR="00D537EF" w:rsidRDefault="00B56305">
                      <w:pPr>
                        <w:spacing w:before="40"/>
                        <w:jc w:val="right"/>
                        <w:rPr>
                          <w:rFonts w:ascii="Arial" w:hAnsi="Arial"/>
                          <w:b/>
                          <w:sz w:val="16"/>
                        </w:rPr>
                      </w:pPr>
                      <w:r>
                        <w:rPr>
                          <w:rFonts w:ascii="Arial" w:hAnsi="Arial"/>
                          <w:b/>
                          <w:sz w:val="16"/>
                        </w:rPr>
                        <w:t>News Media Information 202 / 418-0500</w:t>
                      </w:r>
                    </w:p>
                    <w:p w:rsidR="00D537EF" w:rsidRDefault="00B56305">
                      <w:pPr>
                        <w:jc w:val="right"/>
                        <w:rPr>
                          <w:rFonts w:ascii="Arial" w:hAnsi="Arial"/>
                          <w:b/>
                          <w:sz w:val="16"/>
                        </w:rPr>
                      </w:pPr>
                      <w:r>
                        <w:rPr>
                          <w:rFonts w:ascii="Arial" w:hAnsi="Arial"/>
                          <w:b/>
                          <w:sz w:val="16"/>
                        </w:rPr>
                        <w:t xml:space="preserve">Internet: </w:t>
                      </w:r>
                      <w:bookmarkStart w:id="2" w:name="_Hlt233824"/>
                      <w:r>
                        <w:rPr>
                          <w:rFonts w:ascii="Arial" w:hAnsi="Arial"/>
                          <w:b/>
                          <w:sz w:val="16"/>
                        </w:rPr>
                        <w:fldChar w:fldCharType="begin"/>
                      </w:r>
                      <w:r w:rsidR="005D77F1">
                        <w:rPr>
                          <w:rFonts w:ascii="Arial" w:hAnsi="Arial"/>
                          <w:b/>
                          <w:sz w:val="16"/>
                        </w:rPr>
                        <w:instrText>HYPERLINK "https://www.fcc.gov/"</w:instrText>
                      </w:r>
                      <w:r>
                        <w:rPr>
                          <w:rFonts w:ascii="Arial" w:hAnsi="Arial"/>
                          <w:b/>
                          <w:sz w:val="16"/>
                        </w:rPr>
                        <w:fldChar w:fldCharType="separate"/>
                      </w:r>
                      <w:r>
                        <w:rPr>
                          <w:rStyle w:val="Hyperlink"/>
                          <w:rFonts w:ascii="Arial" w:hAnsi="Arial"/>
                          <w:b/>
                          <w:sz w:val="16"/>
                        </w:rPr>
                        <w:t>h</w:t>
                      </w:r>
                      <w:bookmarkEnd w:id="2"/>
                      <w:r>
                        <w:rPr>
                          <w:rStyle w:val="Hyperlink"/>
                          <w:rFonts w:ascii="Arial" w:hAnsi="Arial"/>
                          <w:b/>
                          <w:sz w:val="16"/>
                        </w:rPr>
                        <w:t>ttps://www.fcc.gov</w:t>
                      </w:r>
                      <w:r>
                        <w:rPr>
                          <w:rFonts w:ascii="Arial" w:hAnsi="Arial"/>
                          <w:b/>
                          <w:sz w:val="16"/>
                        </w:rPr>
                        <w:fldChar w:fldCharType="end"/>
                      </w:r>
                    </w:p>
                    <w:p w:rsidR="00D537EF" w:rsidRDefault="00B56305">
                      <w:pPr>
                        <w:jc w:val="right"/>
                      </w:pPr>
                      <w:r>
                        <w:rPr>
                          <w:rFonts w:ascii="Arial" w:hAnsi="Arial"/>
                          <w:b/>
                          <w:sz w:val="16"/>
                        </w:rPr>
                        <w:t>TTY: 1-888-835-5322</w:t>
                      </w:r>
                    </w:p>
                  </w:txbxContent>
                </v:textbox>
              </v:shape>
            </w:pict>
          </mc:Fallback>
        </mc:AlternateContent>
      </w:r>
    </w:p>
    <w:p w:rsidR="00D537EF" w:rsidRDefault="00B56305">
      <w:pPr>
        <w:jc w:val="right"/>
        <w:rPr>
          <w:b/>
          <w:sz w:val="24"/>
        </w:rPr>
      </w:pPr>
      <w:r>
        <w:rPr>
          <w:b/>
          <w:sz w:val="24"/>
        </w:rPr>
        <w:t>DA 1</w:t>
      </w:r>
      <w:r w:rsidR="00BF3BF2">
        <w:rPr>
          <w:b/>
          <w:sz w:val="24"/>
        </w:rPr>
        <w:t>8</w:t>
      </w:r>
      <w:r>
        <w:rPr>
          <w:b/>
          <w:sz w:val="24"/>
        </w:rPr>
        <w:t>-</w:t>
      </w:r>
      <w:r w:rsidR="00FC10A8">
        <w:rPr>
          <w:b/>
          <w:sz w:val="24"/>
        </w:rPr>
        <w:t>180</w:t>
      </w:r>
    </w:p>
    <w:p w:rsidR="00D537EF" w:rsidRDefault="00B56305">
      <w:pPr>
        <w:spacing w:before="60"/>
        <w:jc w:val="right"/>
        <w:rPr>
          <w:b/>
          <w:sz w:val="24"/>
        </w:rPr>
      </w:pPr>
      <w:r>
        <w:rPr>
          <w:b/>
          <w:sz w:val="24"/>
        </w:rPr>
        <w:t xml:space="preserve">Released:  </w:t>
      </w:r>
      <w:r w:rsidR="00D046BD">
        <w:rPr>
          <w:b/>
          <w:sz w:val="24"/>
        </w:rPr>
        <w:t>February 23</w:t>
      </w:r>
      <w:r w:rsidR="00F66028">
        <w:rPr>
          <w:b/>
          <w:sz w:val="24"/>
        </w:rPr>
        <w:t>, 201</w:t>
      </w:r>
      <w:r w:rsidR="00BF3BF2">
        <w:rPr>
          <w:b/>
          <w:sz w:val="24"/>
        </w:rPr>
        <w:t>8</w:t>
      </w:r>
    </w:p>
    <w:p w:rsidR="00D537EF" w:rsidRDefault="00D537EF">
      <w:pPr>
        <w:jc w:val="right"/>
        <w:rPr>
          <w:sz w:val="24"/>
        </w:rPr>
      </w:pPr>
    </w:p>
    <w:p w:rsidR="00D537EF" w:rsidRDefault="00B56305">
      <w:pPr>
        <w:spacing w:after="240"/>
        <w:jc w:val="center"/>
        <w:rPr>
          <w:rFonts w:ascii="Times New Roman Bold" w:hAnsi="Times New Roman Bold"/>
          <w:b/>
          <w:caps/>
          <w:sz w:val="24"/>
        </w:rPr>
      </w:pPr>
      <w:r>
        <w:rPr>
          <w:rFonts w:ascii="Times New Roman Bold" w:hAnsi="Times New Roman Bold"/>
          <w:b/>
          <w:caps/>
          <w:sz w:val="24"/>
        </w:rPr>
        <w:t xml:space="preserve">CONSUMER AND GOVERNMENTAL AFFAIRS BUREAU SEEKS COMMENT ON </w:t>
      </w:r>
      <w:r w:rsidR="00657E51" w:rsidRPr="00657E51">
        <w:rPr>
          <w:rFonts w:ascii="Times New Roman Bold" w:hAnsi="Times New Roman Bold"/>
          <w:b/>
          <w:caps/>
          <w:sz w:val="24"/>
        </w:rPr>
        <w:t>Inovalon, Inc.</w:t>
      </w:r>
      <w:r w:rsidR="00BF3BF2">
        <w:rPr>
          <w:rFonts w:ascii="Times New Roman Bold" w:hAnsi="Times New Roman Bold"/>
          <w:b/>
          <w:caps/>
          <w:sz w:val="24"/>
        </w:rPr>
        <w:t xml:space="preserve"> </w:t>
      </w:r>
      <w:r w:rsidR="003F4D3D">
        <w:rPr>
          <w:rFonts w:ascii="Times New Roman Bold" w:hAnsi="Times New Roman Bold"/>
          <w:b/>
          <w:caps/>
          <w:sz w:val="24"/>
        </w:rPr>
        <w:t xml:space="preserve">pETITION </w:t>
      </w:r>
      <w:r w:rsidR="00E3723E">
        <w:rPr>
          <w:rFonts w:ascii="Times New Roman Bold" w:hAnsi="Times New Roman Bold"/>
          <w:b/>
          <w:caps/>
          <w:sz w:val="24"/>
        </w:rPr>
        <w:t xml:space="preserve">for </w:t>
      </w:r>
      <w:r w:rsidR="00251D45">
        <w:rPr>
          <w:rFonts w:ascii="Times New Roman Bold" w:hAnsi="Times New Roman Bold"/>
          <w:b/>
          <w:caps/>
          <w:sz w:val="24"/>
        </w:rPr>
        <w:t xml:space="preserve">declaratory ruling </w:t>
      </w:r>
      <w:r>
        <w:rPr>
          <w:rFonts w:ascii="Times New Roman Bold" w:hAnsi="Times New Roman Bold"/>
          <w:b/>
          <w:caps/>
          <w:sz w:val="24"/>
        </w:rPr>
        <w:t xml:space="preserve">under the telephone consumer protection act </w:t>
      </w:r>
      <w:r w:rsidR="00BF3BF2">
        <w:rPr>
          <w:rFonts w:eastAsia="Calibri"/>
          <w:b/>
          <w:bCs/>
          <w:snapToGrid/>
          <w:kern w:val="0"/>
          <w:sz w:val="24"/>
          <w:szCs w:val="24"/>
        </w:rPr>
        <w:t>AND JUNK FAX PREVENTION ACT</w:t>
      </w:r>
    </w:p>
    <w:p w:rsidR="00D537EF" w:rsidRDefault="00B56305">
      <w:pPr>
        <w:jc w:val="center"/>
        <w:rPr>
          <w:b/>
          <w:sz w:val="24"/>
        </w:rPr>
      </w:pPr>
      <w:r>
        <w:rPr>
          <w:b/>
          <w:sz w:val="24"/>
        </w:rPr>
        <w:t>CG Dock</w:t>
      </w:r>
      <w:r w:rsidR="00BF3BF2">
        <w:rPr>
          <w:b/>
          <w:sz w:val="24"/>
        </w:rPr>
        <w:t>et No. 02-278</w:t>
      </w:r>
    </w:p>
    <w:p w:rsidR="00D537EF" w:rsidRDefault="00D537EF">
      <w:pPr>
        <w:jc w:val="center"/>
        <w:rPr>
          <w:sz w:val="24"/>
        </w:rPr>
      </w:pPr>
    </w:p>
    <w:p w:rsidR="00D537EF" w:rsidRDefault="00B56305">
      <w:pPr>
        <w:rPr>
          <w:b/>
        </w:rPr>
      </w:pPr>
      <w:r>
        <w:rPr>
          <w:b/>
        </w:rPr>
        <w:t xml:space="preserve">Comment Date:  </w:t>
      </w:r>
      <w:r w:rsidR="00D046BD">
        <w:rPr>
          <w:b/>
        </w:rPr>
        <w:t>March 26, 2018</w:t>
      </w:r>
    </w:p>
    <w:p w:rsidR="00D537EF" w:rsidRDefault="00B56305">
      <w:pPr>
        <w:rPr>
          <w:b/>
        </w:rPr>
      </w:pPr>
      <w:r>
        <w:rPr>
          <w:b/>
        </w:rPr>
        <w:t xml:space="preserve">Reply Comment Date:  </w:t>
      </w:r>
      <w:r w:rsidR="00D046BD">
        <w:rPr>
          <w:b/>
        </w:rPr>
        <w:t>April 10, 2018</w:t>
      </w:r>
    </w:p>
    <w:p w:rsidR="00D537EF" w:rsidRDefault="00D537EF"/>
    <w:p w:rsidR="005F6A16" w:rsidRDefault="00B56305" w:rsidP="00D75C6E">
      <w:pPr>
        <w:ind w:firstLine="720"/>
      </w:pPr>
      <w:r>
        <w:t xml:space="preserve">With this Public Notice, we seek comment on </w:t>
      </w:r>
      <w:r w:rsidR="00AC3E5A">
        <w:t xml:space="preserve">a </w:t>
      </w:r>
      <w:r w:rsidR="00BD2113">
        <w:t xml:space="preserve">petition </w:t>
      </w:r>
      <w:r w:rsidR="00AC3E5A">
        <w:t xml:space="preserve">for declaratory ruling filed by </w:t>
      </w:r>
      <w:r w:rsidR="00C1170F">
        <w:t>Inovalon, Inc.</w:t>
      </w:r>
      <w:r w:rsidR="002E41AA">
        <w:t xml:space="preserve"> (</w:t>
      </w:r>
      <w:r w:rsidR="00C1170F">
        <w:t>Inovalon</w:t>
      </w:r>
      <w:r w:rsidR="002E41AA">
        <w:t>)</w:t>
      </w:r>
      <w:r w:rsidR="00AC3E5A">
        <w:t>.</w:t>
      </w:r>
      <w:r>
        <w:rPr>
          <w:rStyle w:val="FootnoteReference"/>
        </w:rPr>
        <w:footnoteReference w:id="1"/>
      </w:r>
      <w:r>
        <w:t xml:space="preserve">  </w:t>
      </w:r>
      <w:r w:rsidR="00DE1475">
        <w:t>Inovalon</w:t>
      </w:r>
      <w:r>
        <w:t xml:space="preserve"> </w:t>
      </w:r>
      <w:r w:rsidR="00AC3E5A">
        <w:t>states that “</w:t>
      </w:r>
      <w:r w:rsidR="00A63014">
        <w:t>a declaratory ruling from the Commission is necessary to eliminate judicial confusion over what constitutes an actionable ‘unsolicited advertisement’</w:t>
      </w:r>
      <w:r w:rsidR="005603AB">
        <w:t>”</w:t>
      </w:r>
      <w:r w:rsidR="00A63014">
        <w:t xml:space="preserve"> under the Telephone Consumer Protection Act</w:t>
      </w:r>
      <w:r w:rsidR="00D75C6E">
        <w:t xml:space="preserve"> (TCPA) as amended by the Junk Fax Prevention Act of 2005</w:t>
      </w:r>
      <w:r w:rsidR="009D58C6">
        <w:t>.</w:t>
      </w:r>
      <w:r>
        <w:rPr>
          <w:rStyle w:val="FootnoteReference"/>
        </w:rPr>
        <w:footnoteReference w:id="2"/>
      </w:r>
    </w:p>
    <w:p w:rsidR="005F6A16" w:rsidRDefault="005F6A16" w:rsidP="00D75C6E">
      <w:pPr>
        <w:ind w:firstLine="720"/>
      </w:pPr>
    </w:p>
    <w:p w:rsidR="00977ADE" w:rsidRDefault="00B56305" w:rsidP="00D75C6E">
      <w:pPr>
        <w:ind w:firstLine="720"/>
      </w:pPr>
      <w:r>
        <w:t>Inovalon</w:t>
      </w:r>
      <w:r w:rsidR="009C0A0F">
        <w:t xml:space="preserve"> </w:t>
      </w:r>
      <w:r w:rsidR="001374D8">
        <w:t xml:space="preserve">asks </w:t>
      </w:r>
      <w:r w:rsidR="00D537EF">
        <w:t>the Commission</w:t>
      </w:r>
      <w:r w:rsidR="0048680E">
        <w:t xml:space="preserve"> </w:t>
      </w:r>
      <w:r w:rsidR="00DD32CB">
        <w:t xml:space="preserve">to </w:t>
      </w:r>
      <w:r>
        <w:t>declare</w:t>
      </w:r>
      <w:r w:rsidR="009378EC">
        <w:t>, first,</w:t>
      </w:r>
      <w:r w:rsidR="0048680E">
        <w:t xml:space="preserve"> that </w:t>
      </w:r>
      <w:r w:rsidR="009378EC">
        <w:t>“[w]here an established business relationship exists between a health insurance plan and a medical provider and the provider has given its facsimile number to the health plan, faxes sent by the health plan’s designee to the provider seeking to collect patient health records are not ‘advertisements’ under the TCPA.”</w:t>
      </w:r>
      <w:r>
        <w:rPr>
          <w:rStyle w:val="FootnoteReference"/>
        </w:rPr>
        <w:footnoteReference w:id="3"/>
      </w:r>
      <w:r w:rsidR="000F2C4B">
        <w:t xml:space="preserve"> </w:t>
      </w:r>
      <w:r w:rsidR="00161CAF">
        <w:t xml:space="preserve"> Second, Inovalon asks the Commission to declare that “[</w:t>
      </w:r>
      <w:r w:rsidR="00D75C6E">
        <w:t>f</w:t>
      </w:r>
      <w:r w:rsidR="00161CAF">
        <w:t>]</w:t>
      </w:r>
      <w:r w:rsidR="000F2C4B">
        <w:t xml:space="preserve">axes that offer free or </w:t>
      </w:r>
      <w:r w:rsidR="00D75C6E">
        <w:t>‘</w:t>
      </w:r>
      <w:r w:rsidR="000F2C4B">
        <w:t>no cost</w:t>
      </w:r>
      <w:r w:rsidR="00D75C6E">
        <w:t>’</w:t>
      </w:r>
      <w:r w:rsidR="000F2C4B">
        <w:t xml:space="preserve"> electronic health record collection, and which do not</w:t>
      </w:r>
      <w:r w:rsidR="00D75C6E">
        <w:t xml:space="preserve"> offer any c</w:t>
      </w:r>
      <w:r w:rsidR="000F2C4B">
        <w:t>ommercially available product or service to the recipients</w:t>
      </w:r>
      <w:r w:rsidR="00D81C29">
        <w:t>,</w:t>
      </w:r>
      <w:r w:rsidR="000F2C4B">
        <w:t xml:space="preserve"> are not</w:t>
      </w:r>
      <w:r w:rsidR="00D75C6E">
        <w:t xml:space="preserve"> </w:t>
      </w:r>
      <w:r w:rsidR="00D81C29">
        <w:t>‘</w:t>
      </w:r>
      <w:r w:rsidR="000F2C4B">
        <w:t>advertisements</w:t>
      </w:r>
      <w:r w:rsidR="00D81C29">
        <w:t>’</w:t>
      </w:r>
      <w:r w:rsidR="000F2C4B">
        <w:t xml:space="preserve"> under the TCPA.</w:t>
      </w:r>
      <w:r w:rsidR="00D81C29">
        <w:t>”</w:t>
      </w:r>
      <w:r w:rsidR="00D81C29" w:rsidRPr="00D81C29">
        <w:rPr>
          <w:rStyle w:val="FootnoteReference"/>
        </w:rPr>
        <w:t xml:space="preserve"> </w:t>
      </w:r>
      <w:r>
        <w:rPr>
          <w:rStyle w:val="FootnoteReference"/>
        </w:rPr>
        <w:footnoteReference w:id="4"/>
      </w:r>
    </w:p>
    <w:p w:rsidR="00D75C6E" w:rsidRDefault="00D75C6E" w:rsidP="00D75C6E"/>
    <w:p w:rsidR="00D537EF" w:rsidRDefault="00B56305">
      <w:pPr>
        <w:ind w:firstLine="720"/>
      </w:pPr>
      <w:r>
        <w:rPr>
          <w:szCs w:val="22"/>
        </w:rPr>
        <w:t xml:space="preserve">We seek comment on </w:t>
      </w:r>
      <w:r w:rsidR="00317ADE">
        <w:rPr>
          <w:szCs w:val="22"/>
        </w:rPr>
        <w:t xml:space="preserve">these </w:t>
      </w:r>
      <w:r>
        <w:rPr>
          <w:szCs w:val="22"/>
        </w:rPr>
        <w:t xml:space="preserve">and any other issues raised by the </w:t>
      </w:r>
      <w:r>
        <w:rPr>
          <w:i/>
          <w:szCs w:val="22"/>
        </w:rPr>
        <w:t>Petition</w:t>
      </w:r>
      <w:r>
        <w:rPr>
          <w:szCs w:val="22"/>
        </w:rPr>
        <w:t>.</w:t>
      </w:r>
    </w:p>
    <w:p w:rsidR="00D537EF" w:rsidRDefault="00D537EF" w:rsidP="00BF3BF2">
      <w:pPr>
        <w:autoSpaceDE w:val="0"/>
        <w:autoSpaceDN w:val="0"/>
        <w:adjustRightInd w:val="0"/>
        <w:rPr>
          <w:szCs w:val="22"/>
        </w:rPr>
      </w:pPr>
    </w:p>
    <w:p w:rsidR="00D537EF" w:rsidRDefault="00B56305">
      <w:pPr>
        <w:ind w:firstLine="720"/>
        <w:rPr>
          <w:szCs w:val="22"/>
        </w:rPr>
      </w:pPr>
      <w:r>
        <w:rPr>
          <w:szCs w:val="22"/>
        </w:rPr>
        <w:lastRenderedPageBreak/>
        <w:t>Pursuant to section 1.2 of the Commission’s rules,</w:t>
      </w:r>
      <w:r>
        <w:rPr>
          <w:rStyle w:val="FootnoteReference"/>
          <w:szCs w:val="22"/>
        </w:rPr>
        <w:footnoteReference w:id="5"/>
      </w:r>
      <w:r>
        <w:rPr>
          <w:szCs w:val="22"/>
        </w:rPr>
        <w:t xml:space="preserve"> interested parties may file comments and </w:t>
      </w:r>
      <w:r>
        <w:rPr>
          <w:szCs w:val="22"/>
        </w:rPr>
        <w:t xml:space="preserve">reply comments on or before the dates indicated on the first page of this document.  Comments may be filed using the Commission’s Electronic Comment Filing System (ECFS).  </w:t>
      </w:r>
      <w:r>
        <w:rPr>
          <w:i/>
          <w:szCs w:val="22"/>
        </w:rPr>
        <w:t>See Electronic Filing of Documents in Rulemaking Proceedings</w:t>
      </w:r>
      <w:r>
        <w:rPr>
          <w:szCs w:val="22"/>
        </w:rPr>
        <w:t>, 63 FR 24121 (1998).</w:t>
      </w:r>
    </w:p>
    <w:p w:rsidR="00D537EF" w:rsidRDefault="00D537EF">
      <w:pPr>
        <w:rPr>
          <w:szCs w:val="22"/>
        </w:rPr>
      </w:pPr>
    </w:p>
    <w:p w:rsidR="00D537EF" w:rsidRDefault="00B56305">
      <w:pPr>
        <w:widowControl/>
        <w:numPr>
          <w:ilvl w:val="0"/>
          <w:numId w:val="1"/>
        </w:numPr>
        <w:spacing w:after="120"/>
        <w:rPr>
          <w:szCs w:val="22"/>
        </w:rPr>
      </w:pPr>
      <w:r>
        <w:rPr>
          <w:szCs w:val="22"/>
        </w:rPr>
        <w:t>E</w:t>
      </w:r>
      <w:r>
        <w:rPr>
          <w:szCs w:val="22"/>
        </w:rPr>
        <w:t xml:space="preserve">lectronic Filers:  Comments may be filed electronically using the Internet by accessing the ECFS:  </w:t>
      </w:r>
      <w:hyperlink r:id="rId9" w:history="1">
        <w:r>
          <w:rPr>
            <w:rStyle w:val="Hyperlink"/>
            <w:szCs w:val="22"/>
          </w:rPr>
          <w:t>http://www.fcc.gov/ecfs/</w:t>
        </w:r>
      </w:hyperlink>
      <w:r>
        <w:rPr>
          <w:szCs w:val="22"/>
        </w:rPr>
        <w:t xml:space="preserve">.  </w:t>
      </w:r>
    </w:p>
    <w:p w:rsidR="00D537EF" w:rsidRDefault="00B56305">
      <w:pPr>
        <w:widowControl/>
        <w:numPr>
          <w:ilvl w:val="0"/>
          <w:numId w:val="2"/>
        </w:numPr>
        <w:spacing w:after="120"/>
        <w:rPr>
          <w:szCs w:val="22"/>
        </w:rPr>
      </w:pPr>
      <w:r>
        <w:rPr>
          <w:szCs w:val="22"/>
        </w:rPr>
        <w:t>Paper Filers:  Parties who choose to file by paper must file an original and one copy of</w:t>
      </w:r>
      <w:r>
        <w:rPr>
          <w:szCs w:val="22"/>
        </w:rPr>
        <w:t xml:space="preserve"> each filing.  If more than one docket or rulemaking number appears in the caption of this proceeding, filers must submit two additional copies for each additional docket or rulemaking number.</w:t>
      </w:r>
    </w:p>
    <w:p w:rsidR="00D537EF" w:rsidRDefault="00D537EF">
      <w:pPr>
        <w:rPr>
          <w:szCs w:val="22"/>
        </w:rPr>
      </w:pPr>
    </w:p>
    <w:p w:rsidR="00D537EF" w:rsidRDefault="00B56305">
      <w:pPr>
        <w:ind w:left="720"/>
        <w:rPr>
          <w:szCs w:val="22"/>
        </w:rPr>
      </w:pPr>
      <w:r>
        <w:rPr>
          <w:szCs w:val="22"/>
        </w:rPr>
        <w:t>Filings can be sent by hand or messenger delivery, by commerci</w:t>
      </w:r>
      <w:r>
        <w:rPr>
          <w:szCs w:val="22"/>
        </w:rPr>
        <w:t>al overnight courier, or by first-class or overnight U.S. Postal Service mail.  All filings must be addressed to the Commission’s Secretary, Office of the Secretary, Federal Communications Commission.</w:t>
      </w:r>
    </w:p>
    <w:p w:rsidR="00D537EF" w:rsidRDefault="00D537EF">
      <w:pPr>
        <w:rPr>
          <w:szCs w:val="22"/>
        </w:rPr>
      </w:pPr>
    </w:p>
    <w:p w:rsidR="00D537EF" w:rsidRDefault="00B56305">
      <w:pPr>
        <w:widowControl/>
        <w:numPr>
          <w:ilvl w:val="0"/>
          <w:numId w:val="3"/>
        </w:numPr>
        <w:rPr>
          <w:szCs w:val="22"/>
        </w:rPr>
      </w:pPr>
      <w:r>
        <w:rPr>
          <w:szCs w:val="22"/>
        </w:rPr>
        <w:t>All hand-delivered or messenger-delivered paper filing</w:t>
      </w:r>
      <w:r>
        <w:rPr>
          <w:szCs w:val="22"/>
        </w:rPr>
        <w:t>s for the Commission’s Secretary must be delivered to FCC Headquarters at 445 12</w:t>
      </w:r>
      <w:r>
        <w:rPr>
          <w:szCs w:val="22"/>
          <w:vertAlign w:val="superscript"/>
        </w:rPr>
        <w:t>th</w:t>
      </w:r>
      <w:r>
        <w:rPr>
          <w:szCs w:val="22"/>
        </w:rPr>
        <w:t xml:space="preserve"> St., SW, Room TW-A325, Washington, DC 20554.  The filing hours are 8:00 a.m. to 7:00 p.m.  All hand deliveries must be held together with rubber bands or fasteners.  Any env</w:t>
      </w:r>
      <w:r>
        <w:rPr>
          <w:szCs w:val="22"/>
        </w:rPr>
        <w:t xml:space="preserve">elopes and boxes must be disposed of </w:t>
      </w:r>
      <w:r>
        <w:rPr>
          <w:szCs w:val="22"/>
          <w:u w:val="single"/>
        </w:rPr>
        <w:t>before</w:t>
      </w:r>
      <w:r>
        <w:rPr>
          <w:szCs w:val="22"/>
        </w:rPr>
        <w:t xml:space="preserve"> entering the building.  </w:t>
      </w:r>
    </w:p>
    <w:p w:rsidR="00D537EF" w:rsidRDefault="00D537EF" w:rsidP="00BF3BF2">
      <w:pPr>
        <w:rPr>
          <w:szCs w:val="22"/>
        </w:rPr>
      </w:pPr>
    </w:p>
    <w:p w:rsidR="00D537EF" w:rsidRDefault="00B56305">
      <w:pPr>
        <w:widowControl/>
        <w:numPr>
          <w:ilvl w:val="0"/>
          <w:numId w:val="3"/>
        </w:numPr>
        <w:rPr>
          <w:szCs w:val="22"/>
        </w:rPr>
      </w:pPr>
      <w:r>
        <w:rPr>
          <w:szCs w:val="22"/>
        </w:rPr>
        <w:t>Commercial overnight mail (other than U.S. Postal Service Express Mail and Priority Mail) must be sent to 9050 Junction Drive, Annapolis Junction, MD 20701.</w:t>
      </w:r>
    </w:p>
    <w:p w:rsidR="00D537EF" w:rsidRDefault="00D537EF">
      <w:pPr>
        <w:rPr>
          <w:szCs w:val="22"/>
        </w:rPr>
      </w:pPr>
    </w:p>
    <w:p w:rsidR="00D537EF" w:rsidRDefault="00B56305">
      <w:pPr>
        <w:widowControl/>
        <w:numPr>
          <w:ilvl w:val="0"/>
          <w:numId w:val="3"/>
        </w:numPr>
        <w:rPr>
          <w:szCs w:val="22"/>
        </w:rPr>
      </w:pPr>
      <w:r>
        <w:rPr>
          <w:szCs w:val="22"/>
        </w:rPr>
        <w:t>U.S. Postal Service first-cl</w:t>
      </w:r>
      <w:r>
        <w:rPr>
          <w:szCs w:val="22"/>
        </w:rPr>
        <w:t>ass, Express, and Priority mail must be addressed to 445 12</w:t>
      </w:r>
      <w:r>
        <w:rPr>
          <w:szCs w:val="22"/>
          <w:vertAlign w:val="superscript"/>
        </w:rPr>
        <w:t>th</w:t>
      </w:r>
      <w:r>
        <w:rPr>
          <w:szCs w:val="22"/>
        </w:rPr>
        <w:t xml:space="preserve"> Street, SW, Washington, DC 20554.</w:t>
      </w:r>
    </w:p>
    <w:p w:rsidR="00D537EF" w:rsidRDefault="00D537EF">
      <w:pPr>
        <w:rPr>
          <w:szCs w:val="22"/>
        </w:rPr>
      </w:pPr>
    </w:p>
    <w:p w:rsidR="00D537EF" w:rsidRDefault="00B56305">
      <w:pPr>
        <w:rPr>
          <w:szCs w:val="22"/>
        </w:rPr>
      </w:pPr>
      <w:r>
        <w:rPr>
          <w:szCs w:val="22"/>
        </w:rPr>
        <w:t>People with Disabilities:  To request materials in accessible formats for people with disabilities (braille, large print, electronic files, audio format), send</w:t>
      </w:r>
      <w:r>
        <w:rPr>
          <w:szCs w:val="22"/>
        </w:rPr>
        <w:t xml:space="preserve"> an e-mail to </w:t>
      </w:r>
      <w:hyperlink r:id="rId10" w:history="1">
        <w:r>
          <w:rPr>
            <w:color w:val="0000FF"/>
            <w:szCs w:val="22"/>
            <w:u w:val="single"/>
          </w:rPr>
          <w:t>fcc504@fcc.gov</w:t>
        </w:r>
      </w:hyperlink>
      <w:r>
        <w:rPr>
          <w:szCs w:val="22"/>
        </w:rPr>
        <w:t xml:space="preserve"> or call the Consumer &amp; Governmental Affairs Bureau at 202-418-0530 (voice), 202-418-0432 (tty).</w:t>
      </w:r>
    </w:p>
    <w:p w:rsidR="00D537EF" w:rsidRDefault="00D537EF" w:rsidP="00BF3BF2">
      <w:pPr>
        <w:widowControl/>
        <w:autoSpaceDE w:val="0"/>
        <w:autoSpaceDN w:val="0"/>
        <w:adjustRightInd w:val="0"/>
        <w:rPr>
          <w:snapToGrid/>
          <w:kern w:val="0"/>
          <w:szCs w:val="22"/>
        </w:rPr>
      </w:pPr>
    </w:p>
    <w:p w:rsidR="00D537EF" w:rsidRDefault="00B56305">
      <w:pPr>
        <w:widowControl/>
        <w:autoSpaceDE w:val="0"/>
        <w:autoSpaceDN w:val="0"/>
        <w:adjustRightInd w:val="0"/>
        <w:ind w:firstLine="720"/>
        <w:rPr>
          <w:snapToGrid/>
          <w:kern w:val="0"/>
          <w:szCs w:val="22"/>
        </w:rPr>
      </w:pPr>
      <w:r>
        <w:rPr>
          <w:i/>
          <w:iCs/>
          <w:snapToGrid/>
          <w:kern w:val="0"/>
          <w:szCs w:val="22"/>
        </w:rPr>
        <w:t>Ex Parte Rules</w:t>
      </w:r>
      <w:r>
        <w:rPr>
          <w:snapToGrid/>
          <w:kern w:val="0"/>
          <w:szCs w:val="22"/>
        </w:rPr>
        <w:t>.  This proceeding shall be treated as a “permit-but-disclose” proceeding in a</w:t>
      </w:r>
      <w:r>
        <w:rPr>
          <w:snapToGrid/>
          <w:kern w:val="0"/>
          <w:szCs w:val="22"/>
        </w:rPr>
        <w:t xml:space="preserve">ccordance with the Commission’s </w:t>
      </w:r>
      <w:r>
        <w:rPr>
          <w:i/>
          <w:iCs/>
          <w:snapToGrid/>
          <w:kern w:val="0"/>
          <w:szCs w:val="22"/>
        </w:rPr>
        <w:t xml:space="preserve">ex parte </w:t>
      </w:r>
      <w:r>
        <w:rPr>
          <w:snapToGrid/>
          <w:kern w:val="0"/>
          <w:szCs w:val="22"/>
        </w:rPr>
        <w:t>rules.</w:t>
      </w:r>
      <w:r>
        <w:rPr>
          <w:snapToGrid/>
          <w:kern w:val="0"/>
          <w:szCs w:val="22"/>
          <w:vertAlign w:val="superscript"/>
        </w:rPr>
        <w:footnoteReference w:id="6"/>
      </w:r>
      <w:r>
        <w:rPr>
          <w:snapToGrid/>
          <w:kern w:val="0"/>
          <w:szCs w:val="22"/>
        </w:rPr>
        <w:t xml:space="preserve">  Persons making </w:t>
      </w:r>
      <w:r>
        <w:rPr>
          <w:i/>
          <w:iCs/>
          <w:snapToGrid/>
          <w:kern w:val="0"/>
          <w:szCs w:val="22"/>
        </w:rPr>
        <w:t xml:space="preserve">ex parte </w:t>
      </w:r>
      <w:r>
        <w:rPr>
          <w:snapToGrid/>
          <w:kern w:val="0"/>
          <w:szCs w:val="22"/>
        </w:rPr>
        <w:t>presentations must file a copy of any written presentation or a memorandum summarizing any oral presentation within two business days after the presentation (unless a different deadl</w:t>
      </w:r>
      <w:r>
        <w:rPr>
          <w:snapToGrid/>
          <w:kern w:val="0"/>
          <w:szCs w:val="22"/>
        </w:rPr>
        <w:t xml:space="preserve">ine applicable to the Sunshine period applies).  Persons making oral </w:t>
      </w:r>
      <w:r>
        <w:rPr>
          <w:i/>
          <w:iCs/>
          <w:snapToGrid/>
          <w:kern w:val="0"/>
          <w:szCs w:val="22"/>
        </w:rPr>
        <w:t xml:space="preserve">ex parte </w:t>
      </w:r>
      <w:r>
        <w:rPr>
          <w:snapToGrid/>
          <w:kern w:val="0"/>
          <w:szCs w:val="22"/>
        </w:rPr>
        <w:t xml:space="preserve">presentations are reminded that memoranda summarizing the presentation must: (1) list all persons attending or otherwise participating in the meeting at which the </w:t>
      </w:r>
      <w:r>
        <w:rPr>
          <w:i/>
          <w:iCs/>
          <w:snapToGrid/>
          <w:kern w:val="0"/>
          <w:szCs w:val="22"/>
        </w:rPr>
        <w:t xml:space="preserve">ex parte </w:t>
      </w:r>
      <w:r>
        <w:rPr>
          <w:snapToGrid/>
          <w:kern w:val="0"/>
          <w:szCs w:val="22"/>
        </w:rPr>
        <w:t>presen</w:t>
      </w:r>
      <w:r>
        <w:rPr>
          <w:snapToGrid/>
          <w:kern w:val="0"/>
          <w:szCs w:val="22"/>
        </w:rPr>
        <w:t xml:space="preserve">tation was made; and (2) summarize all data presented and arguments made during the presentation.  If the presentation consisted in whole or in part of the presentation of data or arguments already reflected in the presenter’s written comments, memoranda, </w:t>
      </w:r>
      <w:r>
        <w:rPr>
          <w:snapToGrid/>
          <w:kern w:val="0"/>
          <w:szCs w:val="22"/>
        </w:rPr>
        <w:t>or other filings in the proceeding, the presenter may provide citations to such data or arguments in his or her prior comments, memoranda, or other filings (specifying the relevant page and/or paragraph numbers where such data or arguments can be found) in</w:t>
      </w:r>
      <w:r>
        <w:rPr>
          <w:snapToGrid/>
          <w:kern w:val="0"/>
          <w:szCs w:val="22"/>
        </w:rPr>
        <w:t xml:space="preserve"> lieu of summarizing them in the memorandum.  Documents shown or given to Commission staff during </w:t>
      </w:r>
      <w:r>
        <w:rPr>
          <w:i/>
          <w:iCs/>
          <w:snapToGrid/>
          <w:kern w:val="0"/>
          <w:szCs w:val="22"/>
        </w:rPr>
        <w:t xml:space="preserve">ex parte </w:t>
      </w:r>
      <w:r>
        <w:rPr>
          <w:snapToGrid/>
          <w:kern w:val="0"/>
          <w:szCs w:val="22"/>
        </w:rPr>
        <w:t xml:space="preserve">meetings are deemed to be written </w:t>
      </w:r>
      <w:r>
        <w:rPr>
          <w:i/>
          <w:iCs/>
          <w:snapToGrid/>
          <w:kern w:val="0"/>
          <w:szCs w:val="22"/>
        </w:rPr>
        <w:t xml:space="preserve">ex parte </w:t>
      </w:r>
      <w:r>
        <w:rPr>
          <w:snapToGrid/>
          <w:kern w:val="0"/>
          <w:szCs w:val="22"/>
        </w:rPr>
        <w:t xml:space="preserve">presentations and must be filed </w:t>
      </w:r>
      <w:r>
        <w:rPr>
          <w:snapToGrid/>
          <w:kern w:val="0"/>
          <w:szCs w:val="22"/>
        </w:rPr>
        <w:lastRenderedPageBreak/>
        <w:t>consistent with section 1.1206(b) of the Commission’s rules.</w:t>
      </w:r>
      <w:r>
        <w:rPr>
          <w:snapToGrid/>
          <w:kern w:val="0"/>
          <w:szCs w:val="22"/>
          <w:vertAlign w:val="superscript"/>
        </w:rPr>
        <w:footnoteReference w:id="7"/>
      </w:r>
      <w:r>
        <w:rPr>
          <w:snapToGrid/>
          <w:kern w:val="0"/>
          <w:szCs w:val="22"/>
        </w:rPr>
        <w:t xml:space="preserve">  In proceedi</w:t>
      </w:r>
      <w:r>
        <w:rPr>
          <w:snapToGrid/>
          <w:kern w:val="0"/>
          <w:szCs w:val="22"/>
        </w:rPr>
        <w:t xml:space="preserve">ngs governed by section 1.49(f) of the rules or for which the Commission has made available a method of electronic filing, written </w:t>
      </w:r>
      <w:r>
        <w:rPr>
          <w:i/>
          <w:iCs/>
          <w:snapToGrid/>
          <w:kern w:val="0"/>
          <w:szCs w:val="22"/>
        </w:rPr>
        <w:t xml:space="preserve">ex parte </w:t>
      </w:r>
      <w:r>
        <w:rPr>
          <w:snapToGrid/>
          <w:kern w:val="0"/>
          <w:szCs w:val="22"/>
        </w:rPr>
        <w:t xml:space="preserve">presentations and memoranda summarizing oral </w:t>
      </w:r>
      <w:r>
        <w:rPr>
          <w:i/>
          <w:iCs/>
          <w:snapToGrid/>
          <w:kern w:val="0"/>
          <w:szCs w:val="22"/>
        </w:rPr>
        <w:t xml:space="preserve">ex parte </w:t>
      </w:r>
      <w:r>
        <w:rPr>
          <w:snapToGrid/>
          <w:kern w:val="0"/>
          <w:szCs w:val="22"/>
        </w:rPr>
        <w:t>presentations, and all attachments thereto, must be filed thro</w:t>
      </w:r>
      <w:r>
        <w:rPr>
          <w:snapToGrid/>
          <w:kern w:val="0"/>
          <w:szCs w:val="22"/>
        </w:rPr>
        <w:t>ugh the electronic comment filing system available for that proceeding, and must be filed in their native format (</w:t>
      </w:r>
      <w:r>
        <w:rPr>
          <w:i/>
          <w:iCs/>
          <w:snapToGrid/>
          <w:kern w:val="0"/>
          <w:szCs w:val="22"/>
        </w:rPr>
        <w:t>e.g.</w:t>
      </w:r>
      <w:r>
        <w:rPr>
          <w:snapToGrid/>
          <w:kern w:val="0"/>
          <w:szCs w:val="22"/>
        </w:rPr>
        <w:t>, .doc, .xml, .ppt, searchable .pdf).</w:t>
      </w:r>
      <w:r>
        <w:rPr>
          <w:snapToGrid/>
          <w:kern w:val="0"/>
          <w:szCs w:val="22"/>
          <w:vertAlign w:val="superscript"/>
        </w:rPr>
        <w:footnoteReference w:id="8"/>
      </w:r>
      <w:r>
        <w:rPr>
          <w:snapToGrid/>
          <w:kern w:val="0"/>
          <w:szCs w:val="22"/>
        </w:rPr>
        <w:t xml:space="preserve">  Participants in this proceeding should familiarize themselves with the Commission’s </w:t>
      </w:r>
      <w:r>
        <w:rPr>
          <w:i/>
          <w:iCs/>
          <w:snapToGrid/>
          <w:kern w:val="0"/>
          <w:szCs w:val="22"/>
        </w:rPr>
        <w:t xml:space="preserve">ex parte </w:t>
      </w:r>
      <w:r>
        <w:rPr>
          <w:snapToGrid/>
          <w:kern w:val="0"/>
          <w:szCs w:val="22"/>
        </w:rPr>
        <w:t>rules</w:t>
      </w:r>
      <w:r>
        <w:rPr>
          <w:snapToGrid/>
          <w:kern w:val="0"/>
          <w:szCs w:val="22"/>
        </w:rPr>
        <w:t>.</w:t>
      </w:r>
    </w:p>
    <w:p w:rsidR="00D537EF" w:rsidRDefault="00D537EF">
      <w:pPr>
        <w:autoSpaceDE w:val="0"/>
        <w:autoSpaceDN w:val="0"/>
        <w:adjustRightInd w:val="0"/>
        <w:rPr>
          <w:szCs w:val="22"/>
        </w:rPr>
      </w:pPr>
    </w:p>
    <w:p w:rsidR="00D537EF" w:rsidRDefault="00B56305" w:rsidP="00BF3BF2">
      <w:pPr>
        <w:widowControl/>
        <w:rPr>
          <w:szCs w:val="22"/>
        </w:rPr>
      </w:pPr>
      <w:r>
        <w:rPr>
          <w:i/>
          <w:szCs w:val="22"/>
        </w:rPr>
        <w:t>Additional Information.</w:t>
      </w:r>
      <w:r>
        <w:rPr>
          <w:szCs w:val="22"/>
        </w:rPr>
        <w:t xml:space="preserve">  For further information, contact </w:t>
      </w:r>
      <w:r w:rsidR="00BF3BF2">
        <w:rPr>
          <w:szCs w:val="22"/>
        </w:rPr>
        <w:t>Karen Schroeder</w:t>
      </w:r>
      <w:r>
        <w:rPr>
          <w:szCs w:val="22"/>
        </w:rPr>
        <w:t xml:space="preserve"> of the Consumer and Governmental Affairs Bureau at (202) 418-</w:t>
      </w:r>
      <w:r w:rsidR="00BF3BF2">
        <w:rPr>
          <w:szCs w:val="22"/>
        </w:rPr>
        <w:t>0654</w:t>
      </w:r>
      <w:r>
        <w:rPr>
          <w:szCs w:val="22"/>
        </w:rPr>
        <w:t xml:space="preserve"> or </w:t>
      </w:r>
      <w:r w:rsidR="00BF3BF2">
        <w:rPr>
          <w:szCs w:val="22"/>
        </w:rPr>
        <w:t>Karen.Schroeder</w:t>
      </w:r>
      <w:r>
        <w:rPr>
          <w:szCs w:val="22"/>
        </w:rPr>
        <w:t>@fcc.gov.</w:t>
      </w:r>
    </w:p>
    <w:p w:rsidR="00D537EF" w:rsidRDefault="00D537EF"/>
    <w:sectPr w:rsidR="00D537EF">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B56305">
      <w:r>
        <w:separator/>
      </w:r>
    </w:p>
  </w:endnote>
  <w:endnote w:type="continuationSeparator" w:id="0">
    <w:p w:rsidR="00000000" w:rsidRDefault="00B56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79A" w:rsidRDefault="00E307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79A" w:rsidRDefault="00E3079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79A" w:rsidRDefault="00E307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6B7C" w:rsidRDefault="00B56305">
      <w:r>
        <w:separator/>
      </w:r>
    </w:p>
  </w:footnote>
  <w:footnote w:type="continuationSeparator" w:id="0">
    <w:p w:rsidR="00676B7C" w:rsidRDefault="00B56305">
      <w:r>
        <w:continuationSeparator/>
      </w:r>
    </w:p>
  </w:footnote>
  <w:footnote w:id="1">
    <w:p w:rsidR="002E41AA" w:rsidRDefault="00B56305" w:rsidP="002E41AA">
      <w:pPr>
        <w:pStyle w:val="FootnoteText"/>
      </w:pPr>
      <w:r>
        <w:rPr>
          <w:rStyle w:val="FootnoteReference"/>
        </w:rPr>
        <w:footnoteRef/>
      </w:r>
      <w:r>
        <w:t xml:space="preserve"> </w:t>
      </w:r>
      <w:r w:rsidR="00C1170F">
        <w:t>Inovalon, Inc.</w:t>
      </w:r>
      <w:r>
        <w:t xml:space="preserve"> </w:t>
      </w:r>
      <w:r w:rsidR="00AC3E5A">
        <w:t>Petition</w:t>
      </w:r>
      <w:r>
        <w:t xml:space="preserve"> for Declaratory Ruling</w:t>
      </w:r>
      <w:r w:rsidR="00BD2113">
        <w:t xml:space="preserve"> Clarifying Unsolicited Advertisement Provision of Telephone Consumer Protection Act and Junk Fax Prevention Act</w:t>
      </w:r>
      <w:r>
        <w:t>, CG Docket No. 02-278 (</w:t>
      </w:r>
      <w:r w:rsidRPr="003606A7">
        <w:t xml:space="preserve">filed </w:t>
      </w:r>
      <w:r w:rsidR="00C1170F">
        <w:t>Feb</w:t>
      </w:r>
      <w:r w:rsidR="003606A7">
        <w:t xml:space="preserve">. </w:t>
      </w:r>
      <w:r w:rsidR="00C1170F">
        <w:t>20</w:t>
      </w:r>
      <w:r>
        <w:t>, 201</w:t>
      </w:r>
      <w:r w:rsidR="00C1170F">
        <w:t>8</w:t>
      </w:r>
      <w:r>
        <w:t>) (</w:t>
      </w:r>
      <w:r>
        <w:rPr>
          <w:i/>
        </w:rPr>
        <w:t>Petition</w:t>
      </w:r>
      <w:r>
        <w:t>).</w:t>
      </w:r>
    </w:p>
  </w:footnote>
  <w:footnote w:id="2">
    <w:p w:rsidR="00A63014" w:rsidRPr="00583AAA" w:rsidRDefault="00B56305" w:rsidP="00A63014">
      <w:pPr>
        <w:pStyle w:val="FootnoteText"/>
      </w:pPr>
      <w:r>
        <w:rPr>
          <w:rStyle w:val="FootnoteReference"/>
        </w:rPr>
        <w:footnoteRef/>
      </w:r>
      <w:r>
        <w:t xml:space="preserve"> </w:t>
      </w:r>
      <w:r w:rsidR="005603AB">
        <w:rPr>
          <w:i/>
        </w:rPr>
        <w:t>Petition</w:t>
      </w:r>
      <w:r w:rsidR="005603AB">
        <w:t xml:space="preserve"> at 1.  </w:t>
      </w:r>
      <w:r w:rsidR="00D75C6E">
        <w:t xml:space="preserve">The TCPA is codified at 47 U.S.C. § 227.  The Commission’s implementing rules are codified at 47 CFR </w:t>
      </w:r>
      <w:r w:rsidR="007E3D0E">
        <w:t xml:space="preserve">§ </w:t>
      </w:r>
      <w:r w:rsidR="00D75C6E">
        <w:t xml:space="preserve">64.1200.  Among other things, the TCPA and the related rules prohibit the use of a “telephone facsimile machine, computer, or other device” to send an unsolicited advertisement to a telephone facsimile machine.  47 U.S.C. </w:t>
      </w:r>
      <w:r w:rsidR="007E3D0E">
        <w:t xml:space="preserve">§ </w:t>
      </w:r>
      <w:r w:rsidR="00D75C6E">
        <w:t xml:space="preserve">227(b)(1)(C); </w:t>
      </w:r>
      <w:r w:rsidR="007E3D0E">
        <w:t xml:space="preserve">47 </w:t>
      </w:r>
      <w:r w:rsidR="00D75C6E">
        <w:t>CFR § 64.1200(a)(4)</w:t>
      </w:r>
      <w:r w:rsidR="005603AB">
        <w:t xml:space="preserve">; </w:t>
      </w:r>
      <w:r w:rsidR="005603AB">
        <w:rPr>
          <w:i/>
        </w:rPr>
        <w:t>see also</w:t>
      </w:r>
      <w:r w:rsidR="005603AB">
        <w:t xml:space="preserve"> </w:t>
      </w:r>
      <w:r w:rsidR="009D58C6">
        <w:t>Junk Fax Prevention Act of 2005, Pub. L. No. 109-21, 119 Stat. 359 (20</w:t>
      </w:r>
      <w:r w:rsidR="00B2422D">
        <w:t>05) (amend</w:t>
      </w:r>
      <w:r w:rsidR="009378EC">
        <w:t>ing</w:t>
      </w:r>
      <w:r w:rsidR="00B2422D">
        <w:t xml:space="preserve"> the TCPA)</w:t>
      </w:r>
      <w:r w:rsidR="007E3D0E">
        <w:t>; 47 CFR § 64.1200(f)(1)</w:t>
      </w:r>
      <w:r w:rsidR="00CE0296">
        <w:t>,</w:t>
      </w:r>
      <w:r w:rsidR="007E3D0E">
        <w:t xml:space="preserve"> </w:t>
      </w:r>
      <w:r w:rsidR="00CE0296">
        <w:t>(f)</w:t>
      </w:r>
      <w:r w:rsidR="007E3D0E">
        <w:t>(15) (definition</w:t>
      </w:r>
      <w:r w:rsidR="009378EC">
        <w:t>s</w:t>
      </w:r>
      <w:r w:rsidR="007E3D0E">
        <w:t xml:space="preserve"> of </w:t>
      </w:r>
      <w:r w:rsidR="009378EC">
        <w:t xml:space="preserve">“advertisement” and </w:t>
      </w:r>
      <w:r w:rsidR="007E3D0E">
        <w:t>“unsolicited advertisement”)</w:t>
      </w:r>
      <w:r w:rsidR="00D75C6E">
        <w:t>.</w:t>
      </w:r>
    </w:p>
  </w:footnote>
  <w:footnote w:id="3">
    <w:p w:rsidR="00B72902" w:rsidRDefault="00B56305">
      <w:pPr>
        <w:pStyle w:val="FootnoteText"/>
      </w:pPr>
      <w:r>
        <w:rPr>
          <w:rStyle w:val="FootnoteReference"/>
        </w:rPr>
        <w:footnoteRef/>
      </w:r>
      <w:r>
        <w:t xml:space="preserve"> </w:t>
      </w:r>
      <w:r w:rsidR="00CE0296">
        <w:rPr>
          <w:i/>
        </w:rPr>
        <w:t>Petition</w:t>
      </w:r>
      <w:r w:rsidRPr="00D75C6E">
        <w:t xml:space="preserve"> at 1.</w:t>
      </w:r>
    </w:p>
  </w:footnote>
  <w:footnote w:id="4">
    <w:p w:rsidR="00D81C29" w:rsidRDefault="00B56305" w:rsidP="00D81C29">
      <w:pPr>
        <w:pStyle w:val="FootnoteText"/>
      </w:pPr>
      <w:r>
        <w:rPr>
          <w:rStyle w:val="FootnoteReference"/>
        </w:rPr>
        <w:footnoteRef/>
      </w:r>
      <w:r>
        <w:t xml:space="preserve"> </w:t>
      </w:r>
      <w:r>
        <w:rPr>
          <w:i/>
        </w:rPr>
        <w:t>Id.</w:t>
      </w:r>
      <w:r w:rsidRPr="00D75C6E">
        <w:t xml:space="preserve"> at </w:t>
      </w:r>
      <w:r>
        <w:t>2</w:t>
      </w:r>
      <w:r w:rsidRPr="00D75C6E">
        <w:t>.</w:t>
      </w:r>
    </w:p>
  </w:footnote>
  <w:footnote w:id="5">
    <w:p w:rsidR="00D537EF" w:rsidRDefault="00B56305">
      <w:pPr>
        <w:pStyle w:val="FootnoteText"/>
      </w:pPr>
      <w:r>
        <w:rPr>
          <w:rStyle w:val="FootnoteReference"/>
        </w:rPr>
        <w:footnoteRef/>
      </w:r>
      <w:r>
        <w:t xml:space="preserve"> 47 CFR § 1.</w:t>
      </w:r>
      <w:r>
        <w:rPr>
          <w:szCs w:val="22"/>
        </w:rPr>
        <w:t>2</w:t>
      </w:r>
      <w:r>
        <w:rPr>
          <w:sz w:val="22"/>
          <w:szCs w:val="22"/>
        </w:rPr>
        <w:t>.</w:t>
      </w:r>
    </w:p>
  </w:footnote>
  <w:footnote w:id="6">
    <w:p w:rsidR="00D537EF" w:rsidRDefault="00B56305">
      <w:pPr>
        <w:pStyle w:val="FootnoteText"/>
        <w:rPr>
          <w:color w:val="242021"/>
        </w:rPr>
      </w:pPr>
      <w:r>
        <w:rPr>
          <w:rStyle w:val="FootnoteReference"/>
        </w:rPr>
        <w:footnoteRef/>
      </w:r>
      <w:r>
        <w:t xml:space="preserve"> </w:t>
      </w:r>
      <w:r>
        <w:rPr>
          <w:i/>
          <w:iCs/>
          <w:color w:val="242021"/>
          <w:spacing w:val="1"/>
        </w:rPr>
        <w:t>Se</w:t>
      </w:r>
      <w:r>
        <w:rPr>
          <w:i/>
          <w:iCs/>
          <w:color w:val="242021"/>
        </w:rPr>
        <w:t>e</w:t>
      </w:r>
      <w:r>
        <w:rPr>
          <w:i/>
          <w:iCs/>
          <w:color w:val="242021"/>
          <w:spacing w:val="-2"/>
        </w:rPr>
        <w:t xml:space="preserve"> id.</w:t>
      </w:r>
      <w:r>
        <w:rPr>
          <w:color w:val="242021"/>
          <w:spacing w:val="-5"/>
        </w:rPr>
        <w:t xml:space="preserve"> </w:t>
      </w:r>
      <w:r>
        <w:rPr>
          <w:color w:val="242021"/>
          <w:spacing w:val="1"/>
        </w:rPr>
        <w:t>§</w:t>
      </w:r>
      <w:r>
        <w:rPr>
          <w:color w:val="242021"/>
        </w:rPr>
        <w:t>§</w:t>
      </w:r>
      <w:r>
        <w:rPr>
          <w:color w:val="242021"/>
          <w:spacing w:val="-2"/>
        </w:rPr>
        <w:t xml:space="preserve"> </w:t>
      </w:r>
      <w:r>
        <w:rPr>
          <w:color w:val="242021"/>
          <w:spacing w:val="1"/>
        </w:rPr>
        <w:t>1.120</w:t>
      </w:r>
      <w:r>
        <w:rPr>
          <w:color w:val="242021"/>
        </w:rPr>
        <w:t>0</w:t>
      </w:r>
      <w:r>
        <w:rPr>
          <w:color w:val="242021"/>
          <w:spacing w:val="-4"/>
        </w:rPr>
        <w:t xml:space="preserve"> </w:t>
      </w:r>
      <w:r>
        <w:rPr>
          <w:i/>
          <w:iCs/>
          <w:color w:val="242021"/>
          <w:spacing w:val="-1"/>
        </w:rPr>
        <w:t>e</w:t>
      </w:r>
      <w:r>
        <w:rPr>
          <w:i/>
          <w:iCs/>
          <w:color w:val="242021"/>
        </w:rPr>
        <w:t>t</w:t>
      </w:r>
      <w:r>
        <w:rPr>
          <w:i/>
          <w:iCs/>
          <w:color w:val="242021"/>
          <w:spacing w:val="-1"/>
        </w:rPr>
        <w:t xml:space="preserve"> se</w:t>
      </w:r>
      <w:r>
        <w:rPr>
          <w:i/>
          <w:iCs/>
          <w:color w:val="242021"/>
          <w:spacing w:val="1"/>
        </w:rPr>
        <w:t>q</w:t>
      </w:r>
      <w:r>
        <w:rPr>
          <w:color w:val="242021"/>
        </w:rPr>
        <w:t>.</w:t>
      </w:r>
    </w:p>
  </w:footnote>
  <w:footnote w:id="7">
    <w:p w:rsidR="00D537EF" w:rsidRDefault="00B56305">
      <w:pPr>
        <w:pStyle w:val="FootnoteText"/>
      </w:pPr>
      <w:r>
        <w:rPr>
          <w:rStyle w:val="FootnoteReference"/>
        </w:rPr>
        <w:footnoteRef/>
      </w:r>
      <w:r>
        <w:t xml:space="preserve"> </w:t>
      </w:r>
      <w:r>
        <w:rPr>
          <w:i/>
        </w:rPr>
        <w:t xml:space="preserve">Id. </w:t>
      </w:r>
      <w:r>
        <w:t>§ 1.1206(b).</w:t>
      </w:r>
    </w:p>
  </w:footnote>
  <w:footnote w:id="8">
    <w:p w:rsidR="00D537EF" w:rsidRDefault="00B56305">
      <w:pPr>
        <w:pStyle w:val="FootnoteText"/>
      </w:pPr>
      <w:r>
        <w:rPr>
          <w:rStyle w:val="FootnoteReference"/>
        </w:rPr>
        <w:footnoteRef/>
      </w:r>
      <w:r>
        <w:t xml:space="preserve"> </w:t>
      </w:r>
      <w:r>
        <w:rPr>
          <w:i/>
        </w:rPr>
        <w:t>Id.</w:t>
      </w:r>
      <w:r>
        <w:t xml:space="preserve"> § 1.49(f).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79A" w:rsidRDefault="00E3079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79A" w:rsidRDefault="00E3079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79A" w:rsidRDefault="00E307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57658"/>
    <w:multiLevelType w:val="hybridMultilevel"/>
    <w:tmpl w:val="A59E262C"/>
    <w:lvl w:ilvl="0" w:tplc="477CCC6A">
      <w:start w:val="1"/>
      <w:numFmt w:val="bullet"/>
      <w:lvlText w:val=""/>
      <w:lvlJc w:val="left"/>
      <w:pPr>
        <w:tabs>
          <w:tab w:val="num" w:pos="720"/>
        </w:tabs>
        <w:ind w:left="720" w:hanging="360"/>
      </w:pPr>
      <w:rPr>
        <w:rFonts w:ascii="Wingdings" w:hAnsi="Wingdings" w:hint="default"/>
      </w:rPr>
    </w:lvl>
    <w:lvl w:ilvl="1" w:tplc="87148CA2">
      <w:start w:val="1"/>
      <w:numFmt w:val="decimal"/>
      <w:lvlText w:val="(%2)"/>
      <w:lvlJc w:val="left"/>
      <w:pPr>
        <w:tabs>
          <w:tab w:val="num" w:pos="1440"/>
        </w:tabs>
        <w:ind w:left="1440" w:hanging="360"/>
      </w:pPr>
      <w:rPr>
        <w:rFonts w:cs="Times New Roman" w:hint="default"/>
      </w:rPr>
    </w:lvl>
    <w:lvl w:ilvl="2" w:tplc="9F30A68C">
      <w:start w:val="1"/>
      <w:numFmt w:val="lowerRoman"/>
      <w:lvlText w:val="%3."/>
      <w:lvlJc w:val="right"/>
      <w:pPr>
        <w:tabs>
          <w:tab w:val="num" w:pos="2160"/>
        </w:tabs>
        <w:ind w:left="2160" w:hanging="180"/>
      </w:pPr>
      <w:rPr>
        <w:rFonts w:cs="Times New Roman"/>
      </w:rPr>
    </w:lvl>
    <w:lvl w:ilvl="3" w:tplc="F20C7690" w:tentative="1">
      <w:start w:val="1"/>
      <w:numFmt w:val="decimal"/>
      <w:lvlText w:val="%4."/>
      <w:lvlJc w:val="left"/>
      <w:pPr>
        <w:tabs>
          <w:tab w:val="num" w:pos="2880"/>
        </w:tabs>
        <w:ind w:left="2880" w:hanging="360"/>
      </w:pPr>
      <w:rPr>
        <w:rFonts w:cs="Times New Roman"/>
      </w:rPr>
    </w:lvl>
    <w:lvl w:ilvl="4" w:tplc="F4AC252E" w:tentative="1">
      <w:start w:val="1"/>
      <w:numFmt w:val="lowerLetter"/>
      <w:lvlText w:val="%5."/>
      <w:lvlJc w:val="left"/>
      <w:pPr>
        <w:tabs>
          <w:tab w:val="num" w:pos="3600"/>
        </w:tabs>
        <w:ind w:left="3600" w:hanging="360"/>
      </w:pPr>
      <w:rPr>
        <w:rFonts w:cs="Times New Roman"/>
      </w:rPr>
    </w:lvl>
    <w:lvl w:ilvl="5" w:tplc="D3E6DCB8" w:tentative="1">
      <w:start w:val="1"/>
      <w:numFmt w:val="lowerRoman"/>
      <w:lvlText w:val="%6."/>
      <w:lvlJc w:val="right"/>
      <w:pPr>
        <w:tabs>
          <w:tab w:val="num" w:pos="4320"/>
        </w:tabs>
        <w:ind w:left="4320" w:hanging="180"/>
      </w:pPr>
      <w:rPr>
        <w:rFonts w:cs="Times New Roman"/>
      </w:rPr>
    </w:lvl>
    <w:lvl w:ilvl="6" w:tplc="1828187C" w:tentative="1">
      <w:start w:val="1"/>
      <w:numFmt w:val="decimal"/>
      <w:lvlText w:val="%7."/>
      <w:lvlJc w:val="left"/>
      <w:pPr>
        <w:tabs>
          <w:tab w:val="num" w:pos="5040"/>
        </w:tabs>
        <w:ind w:left="5040" w:hanging="360"/>
      </w:pPr>
      <w:rPr>
        <w:rFonts w:cs="Times New Roman"/>
      </w:rPr>
    </w:lvl>
    <w:lvl w:ilvl="7" w:tplc="A698C282" w:tentative="1">
      <w:start w:val="1"/>
      <w:numFmt w:val="lowerLetter"/>
      <w:lvlText w:val="%8."/>
      <w:lvlJc w:val="left"/>
      <w:pPr>
        <w:tabs>
          <w:tab w:val="num" w:pos="5760"/>
        </w:tabs>
        <w:ind w:left="5760" w:hanging="360"/>
      </w:pPr>
      <w:rPr>
        <w:rFonts w:cs="Times New Roman"/>
      </w:rPr>
    </w:lvl>
    <w:lvl w:ilvl="8" w:tplc="9BC8BB04" w:tentative="1">
      <w:start w:val="1"/>
      <w:numFmt w:val="lowerRoman"/>
      <w:lvlText w:val="%9."/>
      <w:lvlJc w:val="right"/>
      <w:pPr>
        <w:tabs>
          <w:tab w:val="num" w:pos="6480"/>
        </w:tabs>
        <w:ind w:left="6480" w:hanging="180"/>
      </w:pPr>
      <w:rPr>
        <w:rFonts w:cs="Times New Roman"/>
      </w:rPr>
    </w:lvl>
  </w:abstractNum>
  <w:abstractNum w:abstractNumId="1" w15:restartNumberingAfterBreak="0">
    <w:nsid w:val="1AF26438"/>
    <w:multiLevelType w:val="hybridMultilevel"/>
    <w:tmpl w:val="F35229D4"/>
    <w:lvl w:ilvl="0" w:tplc="1C068738">
      <w:start w:val="1"/>
      <w:numFmt w:val="decimal"/>
      <w:lvlText w:val="%1."/>
      <w:lvlJc w:val="left"/>
      <w:pPr>
        <w:ind w:left="1080" w:hanging="360"/>
      </w:pPr>
      <w:rPr>
        <w:rFonts w:hint="default"/>
      </w:rPr>
    </w:lvl>
    <w:lvl w:ilvl="1" w:tplc="F4223D34" w:tentative="1">
      <w:start w:val="1"/>
      <w:numFmt w:val="lowerLetter"/>
      <w:lvlText w:val="%2."/>
      <w:lvlJc w:val="left"/>
      <w:pPr>
        <w:ind w:left="1800" w:hanging="360"/>
      </w:pPr>
    </w:lvl>
    <w:lvl w:ilvl="2" w:tplc="7CF4199A" w:tentative="1">
      <w:start w:val="1"/>
      <w:numFmt w:val="lowerRoman"/>
      <w:lvlText w:val="%3."/>
      <w:lvlJc w:val="right"/>
      <w:pPr>
        <w:ind w:left="2520" w:hanging="180"/>
      </w:pPr>
    </w:lvl>
    <w:lvl w:ilvl="3" w:tplc="92CAE8EC" w:tentative="1">
      <w:start w:val="1"/>
      <w:numFmt w:val="decimal"/>
      <w:lvlText w:val="%4."/>
      <w:lvlJc w:val="left"/>
      <w:pPr>
        <w:ind w:left="3240" w:hanging="360"/>
      </w:pPr>
    </w:lvl>
    <w:lvl w:ilvl="4" w:tplc="6A70E566" w:tentative="1">
      <w:start w:val="1"/>
      <w:numFmt w:val="lowerLetter"/>
      <w:lvlText w:val="%5."/>
      <w:lvlJc w:val="left"/>
      <w:pPr>
        <w:ind w:left="3960" w:hanging="360"/>
      </w:pPr>
    </w:lvl>
    <w:lvl w:ilvl="5" w:tplc="109EB944" w:tentative="1">
      <w:start w:val="1"/>
      <w:numFmt w:val="lowerRoman"/>
      <w:lvlText w:val="%6."/>
      <w:lvlJc w:val="right"/>
      <w:pPr>
        <w:ind w:left="4680" w:hanging="180"/>
      </w:pPr>
    </w:lvl>
    <w:lvl w:ilvl="6" w:tplc="FB463D1A" w:tentative="1">
      <w:start w:val="1"/>
      <w:numFmt w:val="decimal"/>
      <w:lvlText w:val="%7."/>
      <w:lvlJc w:val="left"/>
      <w:pPr>
        <w:ind w:left="5400" w:hanging="360"/>
      </w:pPr>
    </w:lvl>
    <w:lvl w:ilvl="7" w:tplc="9426DA9A" w:tentative="1">
      <w:start w:val="1"/>
      <w:numFmt w:val="lowerLetter"/>
      <w:lvlText w:val="%8."/>
      <w:lvlJc w:val="left"/>
      <w:pPr>
        <w:ind w:left="6120" w:hanging="360"/>
      </w:pPr>
    </w:lvl>
    <w:lvl w:ilvl="8" w:tplc="D3F63FA8" w:tentative="1">
      <w:start w:val="1"/>
      <w:numFmt w:val="lowerRoman"/>
      <w:lvlText w:val="%9."/>
      <w:lvlJc w:val="right"/>
      <w:pPr>
        <w:ind w:left="6840" w:hanging="180"/>
      </w:pPr>
    </w:lvl>
  </w:abstractNum>
  <w:abstractNum w:abstractNumId="2" w15:restartNumberingAfterBreak="0">
    <w:nsid w:val="38333CB5"/>
    <w:multiLevelType w:val="hybridMultilevel"/>
    <w:tmpl w:val="7B9A5D02"/>
    <w:lvl w:ilvl="0" w:tplc="44A61452">
      <w:start w:val="1"/>
      <w:numFmt w:val="bullet"/>
      <w:lvlText w:val=""/>
      <w:lvlJc w:val="left"/>
      <w:pPr>
        <w:tabs>
          <w:tab w:val="num" w:pos="720"/>
        </w:tabs>
        <w:ind w:left="720" w:hanging="360"/>
      </w:pPr>
      <w:rPr>
        <w:rFonts w:ascii="Wingdings" w:hAnsi="Wingdings" w:hint="default"/>
      </w:rPr>
    </w:lvl>
    <w:lvl w:ilvl="1" w:tplc="D60045B4" w:tentative="1">
      <w:start w:val="1"/>
      <w:numFmt w:val="bullet"/>
      <w:lvlText w:val="o"/>
      <w:lvlJc w:val="left"/>
      <w:pPr>
        <w:tabs>
          <w:tab w:val="num" w:pos="1440"/>
        </w:tabs>
        <w:ind w:left="1440" w:hanging="360"/>
      </w:pPr>
      <w:rPr>
        <w:rFonts w:ascii="Courier New" w:hAnsi="Courier New" w:hint="default"/>
      </w:rPr>
    </w:lvl>
    <w:lvl w:ilvl="2" w:tplc="90A802D2" w:tentative="1">
      <w:start w:val="1"/>
      <w:numFmt w:val="bullet"/>
      <w:lvlText w:val=""/>
      <w:lvlJc w:val="left"/>
      <w:pPr>
        <w:tabs>
          <w:tab w:val="num" w:pos="2160"/>
        </w:tabs>
        <w:ind w:left="2160" w:hanging="360"/>
      </w:pPr>
      <w:rPr>
        <w:rFonts w:ascii="Wingdings" w:hAnsi="Wingdings" w:hint="default"/>
      </w:rPr>
    </w:lvl>
    <w:lvl w:ilvl="3" w:tplc="728A7CD2" w:tentative="1">
      <w:start w:val="1"/>
      <w:numFmt w:val="bullet"/>
      <w:lvlText w:val=""/>
      <w:lvlJc w:val="left"/>
      <w:pPr>
        <w:tabs>
          <w:tab w:val="num" w:pos="2880"/>
        </w:tabs>
        <w:ind w:left="2880" w:hanging="360"/>
      </w:pPr>
      <w:rPr>
        <w:rFonts w:ascii="Symbol" w:hAnsi="Symbol" w:hint="default"/>
      </w:rPr>
    </w:lvl>
    <w:lvl w:ilvl="4" w:tplc="06DEF1CA" w:tentative="1">
      <w:start w:val="1"/>
      <w:numFmt w:val="bullet"/>
      <w:lvlText w:val="o"/>
      <w:lvlJc w:val="left"/>
      <w:pPr>
        <w:tabs>
          <w:tab w:val="num" w:pos="3600"/>
        </w:tabs>
        <w:ind w:left="3600" w:hanging="360"/>
      </w:pPr>
      <w:rPr>
        <w:rFonts w:ascii="Courier New" w:hAnsi="Courier New" w:hint="default"/>
      </w:rPr>
    </w:lvl>
    <w:lvl w:ilvl="5" w:tplc="6E4022BC" w:tentative="1">
      <w:start w:val="1"/>
      <w:numFmt w:val="bullet"/>
      <w:lvlText w:val=""/>
      <w:lvlJc w:val="left"/>
      <w:pPr>
        <w:tabs>
          <w:tab w:val="num" w:pos="4320"/>
        </w:tabs>
        <w:ind w:left="4320" w:hanging="360"/>
      </w:pPr>
      <w:rPr>
        <w:rFonts w:ascii="Wingdings" w:hAnsi="Wingdings" w:hint="default"/>
      </w:rPr>
    </w:lvl>
    <w:lvl w:ilvl="6" w:tplc="E4D66A94" w:tentative="1">
      <w:start w:val="1"/>
      <w:numFmt w:val="bullet"/>
      <w:lvlText w:val=""/>
      <w:lvlJc w:val="left"/>
      <w:pPr>
        <w:tabs>
          <w:tab w:val="num" w:pos="5040"/>
        </w:tabs>
        <w:ind w:left="5040" w:hanging="360"/>
      </w:pPr>
      <w:rPr>
        <w:rFonts w:ascii="Symbol" w:hAnsi="Symbol" w:hint="default"/>
      </w:rPr>
    </w:lvl>
    <w:lvl w:ilvl="7" w:tplc="1CB6D24C" w:tentative="1">
      <w:start w:val="1"/>
      <w:numFmt w:val="bullet"/>
      <w:lvlText w:val="o"/>
      <w:lvlJc w:val="left"/>
      <w:pPr>
        <w:tabs>
          <w:tab w:val="num" w:pos="5760"/>
        </w:tabs>
        <w:ind w:left="5760" w:hanging="360"/>
      </w:pPr>
      <w:rPr>
        <w:rFonts w:ascii="Courier New" w:hAnsi="Courier New" w:hint="default"/>
      </w:rPr>
    </w:lvl>
    <w:lvl w:ilvl="8" w:tplc="5158114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F0406EE"/>
    <w:multiLevelType w:val="hybridMultilevel"/>
    <w:tmpl w:val="749E4CE6"/>
    <w:lvl w:ilvl="0" w:tplc="DB084116">
      <w:start w:val="1"/>
      <w:numFmt w:val="bullet"/>
      <w:lvlText w:val=""/>
      <w:lvlJc w:val="left"/>
      <w:pPr>
        <w:tabs>
          <w:tab w:val="num" w:pos="1440"/>
        </w:tabs>
        <w:ind w:left="1440" w:hanging="360"/>
      </w:pPr>
      <w:rPr>
        <w:rFonts w:ascii="Wingdings" w:hAnsi="Wingdings" w:hint="default"/>
      </w:rPr>
    </w:lvl>
    <w:lvl w:ilvl="1" w:tplc="5422FF54">
      <w:start w:val="1"/>
      <w:numFmt w:val="decimal"/>
      <w:lvlText w:val="(%2)"/>
      <w:lvlJc w:val="left"/>
      <w:pPr>
        <w:tabs>
          <w:tab w:val="num" w:pos="2160"/>
        </w:tabs>
        <w:ind w:left="2160" w:hanging="360"/>
      </w:pPr>
      <w:rPr>
        <w:rFonts w:cs="Times New Roman" w:hint="default"/>
      </w:rPr>
    </w:lvl>
    <w:lvl w:ilvl="2" w:tplc="FB50F9EA">
      <w:start w:val="1"/>
      <w:numFmt w:val="lowerRoman"/>
      <w:lvlText w:val="%3."/>
      <w:lvlJc w:val="right"/>
      <w:pPr>
        <w:tabs>
          <w:tab w:val="num" w:pos="2880"/>
        </w:tabs>
        <w:ind w:left="2880" w:hanging="180"/>
      </w:pPr>
      <w:rPr>
        <w:rFonts w:cs="Times New Roman"/>
      </w:rPr>
    </w:lvl>
    <w:lvl w:ilvl="3" w:tplc="29981582">
      <w:numFmt w:val="bullet"/>
      <w:lvlText w:val="-"/>
      <w:lvlJc w:val="left"/>
      <w:pPr>
        <w:tabs>
          <w:tab w:val="num" w:pos="1440"/>
        </w:tabs>
        <w:ind w:left="1440" w:hanging="360"/>
      </w:pPr>
      <w:rPr>
        <w:rFonts w:ascii="Times New Roman" w:eastAsia="Times New Roman" w:hAnsi="Times New Roman" w:hint="default"/>
      </w:rPr>
    </w:lvl>
    <w:lvl w:ilvl="4" w:tplc="5B042722">
      <w:start w:val="1"/>
      <w:numFmt w:val="lowerLetter"/>
      <w:lvlText w:val="%5."/>
      <w:lvlJc w:val="left"/>
      <w:pPr>
        <w:tabs>
          <w:tab w:val="num" w:pos="4320"/>
        </w:tabs>
        <w:ind w:left="4320" w:hanging="360"/>
      </w:pPr>
      <w:rPr>
        <w:rFonts w:cs="Times New Roman"/>
      </w:rPr>
    </w:lvl>
    <w:lvl w:ilvl="5" w:tplc="A3848ED0" w:tentative="1">
      <w:start w:val="1"/>
      <w:numFmt w:val="lowerRoman"/>
      <w:lvlText w:val="%6."/>
      <w:lvlJc w:val="right"/>
      <w:pPr>
        <w:tabs>
          <w:tab w:val="num" w:pos="5040"/>
        </w:tabs>
        <w:ind w:left="5040" w:hanging="180"/>
      </w:pPr>
      <w:rPr>
        <w:rFonts w:cs="Times New Roman"/>
      </w:rPr>
    </w:lvl>
    <w:lvl w:ilvl="6" w:tplc="67A811E6" w:tentative="1">
      <w:start w:val="1"/>
      <w:numFmt w:val="decimal"/>
      <w:lvlText w:val="%7."/>
      <w:lvlJc w:val="left"/>
      <w:pPr>
        <w:tabs>
          <w:tab w:val="num" w:pos="5760"/>
        </w:tabs>
        <w:ind w:left="5760" w:hanging="360"/>
      </w:pPr>
      <w:rPr>
        <w:rFonts w:cs="Times New Roman"/>
      </w:rPr>
    </w:lvl>
    <w:lvl w:ilvl="7" w:tplc="F33E298A" w:tentative="1">
      <w:start w:val="1"/>
      <w:numFmt w:val="lowerLetter"/>
      <w:lvlText w:val="%8."/>
      <w:lvlJc w:val="left"/>
      <w:pPr>
        <w:tabs>
          <w:tab w:val="num" w:pos="6480"/>
        </w:tabs>
        <w:ind w:left="6480" w:hanging="360"/>
      </w:pPr>
      <w:rPr>
        <w:rFonts w:cs="Times New Roman"/>
      </w:rPr>
    </w:lvl>
    <w:lvl w:ilvl="8" w:tplc="08C00CE6" w:tentative="1">
      <w:start w:val="1"/>
      <w:numFmt w:val="lowerRoman"/>
      <w:lvlText w:val="%9."/>
      <w:lvlJc w:val="right"/>
      <w:pPr>
        <w:tabs>
          <w:tab w:val="num" w:pos="7200"/>
        </w:tabs>
        <w:ind w:left="7200" w:hanging="180"/>
      </w:pPr>
      <w:rPr>
        <w:rFonts w:cs="Times New Roman"/>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799"/>
    <w:rsid w:val="00004F71"/>
    <w:rsid w:val="00080873"/>
    <w:rsid w:val="000C2ABA"/>
    <w:rsid w:val="000F2C4B"/>
    <w:rsid w:val="001374D8"/>
    <w:rsid w:val="0015365B"/>
    <w:rsid w:val="00161CAF"/>
    <w:rsid w:val="001E086C"/>
    <w:rsid w:val="001F44BF"/>
    <w:rsid w:val="002344ED"/>
    <w:rsid w:val="00251D45"/>
    <w:rsid w:val="002820B6"/>
    <w:rsid w:val="00297A2A"/>
    <w:rsid w:val="002A011B"/>
    <w:rsid w:val="002E41AA"/>
    <w:rsid w:val="00311E26"/>
    <w:rsid w:val="00314DA6"/>
    <w:rsid w:val="00317ADE"/>
    <w:rsid w:val="00320410"/>
    <w:rsid w:val="00321983"/>
    <w:rsid w:val="003364A0"/>
    <w:rsid w:val="003606A7"/>
    <w:rsid w:val="003B435E"/>
    <w:rsid w:val="003D314D"/>
    <w:rsid w:val="003F4D3D"/>
    <w:rsid w:val="00426766"/>
    <w:rsid w:val="00434DCB"/>
    <w:rsid w:val="0046542A"/>
    <w:rsid w:val="00477B68"/>
    <w:rsid w:val="0048680E"/>
    <w:rsid w:val="004E6B9A"/>
    <w:rsid w:val="0050646F"/>
    <w:rsid w:val="00546BFB"/>
    <w:rsid w:val="005603AB"/>
    <w:rsid w:val="00562E04"/>
    <w:rsid w:val="00576A37"/>
    <w:rsid w:val="00583AAA"/>
    <w:rsid w:val="005C2487"/>
    <w:rsid w:val="005C4961"/>
    <w:rsid w:val="005D6D7A"/>
    <w:rsid w:val="005D77F1"/>
    <w:rsid w:val="005F6A16"/>
    <w:rsid w:val="00652FBF"/>
    <w:rsid w:val="00657E51"/>
    <w:rsid w:val="00662CF3"/>
    <w:rsid w:val="00676B7C"/>
    <w:rsid w:val="0069485E"/>
    <w:rsid w:val="006C34A3"/>
    <w:rsid w:val="006D3216"/>
    <w:rsid w:val="006D6B80"/>
    <w:rsid w:val="006E2FB5"/>
    <w:rsid w:val="00700E95"/>
    <w:rsid w:val="00706895"/>
    <w:rsid w:val="007364B7"/>
    <w:rsid w:val="00743AD4"/>
    <w:rsid w:val="007532AB"/>
    <w:rsid w:val="00790211"/>
    <w:rsid w:val="007B0E64"/>
    <w:rsid w:val="007E3D0E"/>
    <w:rsid w:val="00851F01"/>
    <w:rsid w:val="00873AA0"/>
    <w:rsid w:val="008A0801"/>
    <w:rsid w:val="00906138"/>
    <w:rsid w:val="009378EC"/>
    <w:rsid w:val="00977ADE"/>
    <w:rsid w:val="009C0A0F"/>
    <w:rsid w:val="009D58C6"/>
    <w:rsid w:val="00A07FFD"/>
    <w:rsid w:val="00A249AD"/>
    <w:rsid w:val="00A3223B"/>
    <w:rsid w:val="00A54F5B"/>
    <w:rsid w:val="00A63014"/>
    <w:rsid w:val="00A96817"/>
    <w:rsid w:val="00AC1C00"/>
    <w:rsid w:val="00AC3E5A"/>
    <w:rsid w:val="00AD0842"/>
    <w:rsid w:val="00AF3799"/>
    <w:rsid w:val="00B05FE6"/>
    <w:rsid w:val="00B063F4"/>
    <w:rsid w:val="00B07077"/>
    <w:rsid w:val="00B10740"/>
    <w:rsid w:val="00B2422D"/>
    <w:rsid w:val="00B56305"/>
    <w:rsid w:val="00B72902"/>
    <w:rsid w:val="00BB73C3"/>
    <w:rsid w:val="00BB7F47"/>
    <w:rsid w:val="00BD2113"/>
    <w:rsid w:val="00BF3BF2"/>
    <w:rsid w:val="00C04A26"/>
    <w:rsid w:val="00C113AA"/>
    <w:rsid w:val="00C1170F"/>
    <w:rsid w:val="00C32BD9"/>
    <w:rsid w:val="00C525FB"/>
    <w:rsid w:val="00C64FA6"/>
    <w:rsid w:val="00C95F8F"/>
    <w:rsid w:val="00CB4140"/>
    <w:rsid w:val="00CB5EE5"/>
    <w:rsid w:val="00CB7BA8"/>
    <w:rsid w:val="00CE0296"/>
    <w:rsid w:val="00D046BD"/>
    <w:rsid w:val="00D42F47"/>
    <w:rsid w:val="00D44631"/>
    <w:rsid w:val="00D45926"/>
    <w:rsid w:val="00D537EF"/>
    <w:rsid w:val="00D75B5B"/>
    <w:rsid w:val="00D75C6E"/>
    <w:rsid w:val="00D81C29"/>
    <w:rsid w:val="00DA5EF7"/>
    <w:rsid w:val="00DD32CB"/>
    <w:rsid w:val="00DE1475"/>
    <w:rsid w:val="00DF00EF"/>
    <w:rsid w:val="00E16DFE"/>
    <w:rsid w:val="00E2013C"/>
    <w:rsid w:val="00E3079A"/>
    <w:rsid w:val="00E35CE5"/>
    <w:rsid w:val="00E3723E"/>
    <w:rsid w:val="00EC2B0C"/>
    <w:rsid w:val="00EF751A"/>
    <w:rsid w:val="00F66028"/>
    <w:rsid w:val="00F9024B"/>
    <w:rsid w:val="00FC10A8"/>
    <w:rsid w:val="00FE1EAF"/>
    <w:rsid w:val="00FE7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Times New Roman" w:eastAsia="Times New Roman" w:hAnsi="Times New Roman"/>
      <w:snapToGrid w:val="0"/>
      <w:kern w:val="28"/>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rsid w:val="00297A2A"/>
    <w:pPr>
      <w:spacing w:before="40"/>
    </w:pPr>
    <w:rPr>
      <w:rFonts w:ascii="Arial" w:hAnsi="Arial" w:cs="Arial"/>
      <w:b/>
      <w:sz w:val="96"/>
    </w:rPr>
  </w:style>
  <w:style w:type="character" w:customStyle="1" w:styleId="HeaderChar">
    <w:name w:val="Header Char"/>
    <w:link w:val="Header"/>
    <w:rsid w:val="00297A2A"/>
    <w:rPr>
      <w:rFonts w:ascii="Arial" w:eastAsia="Times New Roman" w:hAnsi="Arial" w:cs="Arial"/>
      <w:b/>
      <w:snapToGrid w:val="0"/>
      <w:kern w:val="28"/>
      <w:sz w:val="96"/>
    </w:rPr>
  </w:style>
  <w:style w:type="character" w:styleId="Hyperlink">
    <w:name w:val="Hyperlink"/>
    <w:rPr>
      <w:color w:val="0000FF"/>
      <w:u w:val="single"/>
    </w:rPr>
  </w:style>
  <w:style w:type="paragraph" w:styleId="FootnoteText">
    <w:name w:val="footnote text"/>
    <w:aliases w:val="ALTS FOOTNOTE,ALTS FOOTNOTE Char,Footnote Text Char Char Char,Footnote Text Char Char Char Char Char Char,Footnote Text Char1 Char,Footnote Text Char1 Char1 Char Char Char,Footnote Text Char2 Char Char Char,f,fn,fn Char"/>
    <w:link w:val="FootnoteTextChar1"/>
    <w:uiPriority w:val="99"/>
    <w:pPr>
      <w:spacing w:after="120"/>
    </w:pPr>
    <w:rPr>
      <w:rFonts w:ascii="Times New Roman" w:eastAsia="Times New Roman" w:hAnsi="Times New Roman"/>
    </w:rPr>
  </w:style>
  <w:style w:type="character" w:customStyle="1" w:styleId="FootnoteTextChar">
    <w:name w:val="Footnote Text Char"/>
    <w:uiPriority w:val="99"/>
    <w:semiHidden/>
    <w:rPr>
      <w:rFonts w:ascii="Times New Roman" w:eastAsia="Times New Roman" w:hAnsi="Times New Roman" w:cs="Times New Roman"/>
      <w:snapToGrid w:val="0"/>
      <w:kern w:val="28"/>
      <w:sz w:val="20"/>
      <w:szCs w:val="20"/>
    </w:rPr>
  </w:style>
  <w:style w:type="character" w:styleId="FootnoteReference">
    <w:name w:val="footnote reference"/>
    <w:aliases w:val="(NECG) Footnote Reference,Appel note de bas de p,FR,Footnote Reference/,Style 12,Style 124,Style 13,Style 17,Style 3,Style 6,fr,o"/>
    <w:uiPriority w:val="99"/>
    <w:rPr>
      <w:rFonts w:ascii="Times New Roman" w:hAnsi="Times New Roman"/>
      <w:dstrike w:val="0"/>
      <w:color w:val="auto"/>
      <w:sz w:val="20"/>
      <w:vertAlign w:val="superscript"/>
    </w:rPr>
  </w:style>
  <w:style w:type="character" w:customStyle="1" w:styleId="FootnoteTextChar1">
    <w:name w:val="Footnote Text Char1"/>
    <w:aliases w:val="ALTS FOOTNOTE Char1,ALTS FOOTNOTE Char Char,Footnote Text Char Char Char Char,Footnote Text Char Char Char Char Char Char Char,Footnote Text Char1 Char Char,Footnote Text Char1 Char1 Char Char Char Char,f Char,fn Char1,fn Char Char"/>
    <w:link w:val="FootnoteText"/>
    <w:uiPriority w:val="99"/>
    <w:rPr>
      <w:rFonts w:ascii="Times New Roman" w:eastAsia="Times New Roman" w:hAnsi="Times New Roman" w:cs="Times New Roman"/>
      <w:sz w:val="20"/>
      <w:szCs w:val="20"/>
    </w:rPr>
  </w:style>
  <w:style w:type="paragraph" w:styleId="PlainText">
    <w:name w:val="Plain Text"/>
    <w:basedOn w:val="Normal"/>
    <w:link w:val="PlainTextChar"/>
    <w:pPr>
      <w:widowControl/>
    </w:pPr>
    <w:rPr>
      <w:rFonts w:ascii="Courier New" w:hAnsi="Courier New" w:cs="Courier New"/>
      <w:snapToGrid/>
      <w:kern w:val="0"/>
      <w:sz w:val="20"/>
    </w:rPr>
  </w:style>
  <w:style w:type="character" w:customStyle="1" w:styleId="PlainTextChar">
    <w:name w:val="Plain Text Char"/>
    <w:link w:val="PlainText"/>
    <w:rPr>
      <w:rFonts w:ascii="Courier New" w:eastAsia="Times New Roman" w:hAnsi="Courier New" w:cs="Courier New"/>
      <w:sz w:val="20"/>
      <w:szCs w:val="20"/>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link w:val="CommentText"/>
    <w:uiPriority w:val="99"/>
    <w:semiHidden/>
    <w:rPr>
      <w:rFonts w:ascii="Times New Roman" w:eastAsia="Times New Roman" w:hAnsi="Times New Roman" w:cs="Times New Roman"/>
      <w:snapToGrid w:val="0"/>
      <w:kern w:val="28"/>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rFonts w:ascii="Times New Roman" w:eastAsia="Times New Roman" w:hAnsi="Times New Roman" w:cs="Times New Roman"/>
      <w:b/>
      <w:bCs/>
      <w:snapToGrid w:val="0"/>
      <w:kern w:val="28"/>
      <w:sz w:val="20"/>
      <w:szCs w:val="20"/>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link w:val="BalloonText"/>
    <w:uiPriority w:val="99"/>
    <w:semiHidden/>
    <w:rPr>
      <w:rFonts w:ascii="Segoe UI" w:eastAsia="Times New Roman" w:hAnsi="Segoe UI" w:cs="Segoe UI"/>
      <w:snapToGrid w:val="0"/>
      <w:kern w:val="28"/>
      <w:sz w:val="18"/>
      <w:szCs w:val="18"/>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link w:val="Footer"/>
    <w:uiPriority w:val="99"/>
    <w:rPr>
      <w:rFonts w:ascii="Times New Roman" w:eastAsia="Times New Roman" w:hAnsi="Times New Roman" w:cs="Times New Roman"/>
      <w:snapToGrid w:val="0"/>
      <w:kern w:val="28"/>
      <w:szCs w:val="20"/>
    </w:rPr>
  </w:style>
  <w:style w:type="paragraph" w:styleId="Revision">
    <w:name w:val="Revision"/>
    <w:hidden/>
    <w:uiPriority w:val="99"/>
    <w:semiHidden/>
    <w:rPr>
      <w:rFonts w:ascii="Times New Roman" w:eastAsia="Times New Roman" w:hAnsi="Times New Roman"/>
      <w:snapToGrid w:val="0"/>
      <w:kern w:val="28"/>
      <w:sz w:val="22"/>
    </w:rPr>
  </w:style>
  <w:style w:type="paragraph" w:styleId="EndnoteText">
    <w:name w:val="endnote text"/>
    <w:basedOn w:val="Normal"/>
    <w:link w:val="EndnoteTextChar"/>
    <w:uiPriority w:val="99"/>
    <w:semiHidden/>
    <w:unhideWhenUsed/>
    <w:rsid w:val="00CB5EE5"/>
    <w:rPr>
      <w:sz w:val="20"/>
    </w:rPr>
  </w:style>
  <w:style w:type="character" w:customStyle="1" w:styleId="EndnoteTextChar">
    <w:name w:val="Endnote Text Char"/>
    <w:link w:val="EndnoteText"/>
    <w:uiPriority w:val="99"/>
    <w:semiHidden/>
    <w:rsid w:val="00CB5EE5"/>
    <w:rPr>
      <w:rFonts w:ascii="Times New Roman" w:eastAsia="Times New Roman" w:hAnsi="Times New Roman"/>
      <w:snapToGrid w:val="0"/>
      <w:kern w:val="28"/>
    </w:rPr>
  </w:style>
  <w:style w:type="character" w:styleId="EndnoteReference">
    <w:name w:val="endnote reference"/>
    <w:uiPriority w:val="99"/>
    <w:semiHidden/>
    <w:unhideWhenUsed/>
    <w:rsid w:val="00CB5E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fcc504@fcc.gov" TargetMode="External"/><Relationship Id="rId4" Type="http://schemas.openxmlformats.org/officeDocument/2006/relationships/settings" Target="settings.xml"/><Relationship Id="rId9" Type="http://schemas.openxmlformats.org/officeDocument/2006/relationships/hyperlink" Target="http://www.fcc.gov/ecf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C857E-0D74-4CAD-B767-E6617DB89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824</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5516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dcterms:created xsi:type="dcterms:W3CDTF">2018-03-01T14:16:00Z</dcterms:created>
  <dcterms:modified xsi:type="dcterms:W3CDTF">2018-03-01T14:16:00Z</dcterms:modified>
</cp:coreProperties>
</file>