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B8C" w:rsidRDefault="00FC0106">
      <w:pPr>
        <w:jc w:val="right"/>
      </w:pPr>
      <w:r>
        <w:rPr>
          <w:noProof/>
          <w:sz w:val="20"/>
        </w:rPr>
        <w:drawing>
          <wp:anchor distT="0" distB="0" distL="114300" distR="114300" simplePos="0" relativeHeight="251657728" behindDoc="0" locked="0" layoutInCell="1" allowOverlap="1">
            <wp:simplePos x="0" y="0"/>
            <wp:positionH relativeFrom="column">
              <wp:posOffset>4572000</wp:posOffset>
            </wp:positionH>
            <wp:positionV relativeFrom="paragraph">
              <wp:posOffset>-517525</wp:posOffset>
            </wp:positionV>
            <wp:extent cx="1545590" cy="1163320"/>
            <wp:effectExtent l="0" t="0" r="0" b="0"/>
            <wp:wrapNone/>
            <wp:docPr id="2" name="Picture 2" descr="fullco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ullcol"/>
                    <pic:cNvPicPr>
                      <a:picLocks noChangeAspect="1" noChangeArrowheads="1"/>
                    </pic:cNvPicPr>
                  </pic:nvPicPr>
                  <pic:blipFill>
                    <a:blip r:embed="rId8" cstate="print">
                      <a:clrChange>
                        <a:clrFrom>
                          <a:srgbClr val="FFFFFF"/>
                        </a:clrFrom>
                        <a:clrTo>
                          <a:srgbClr val="FFFFFF">
                            <a:alpha val="0"/>
                          </a:srgbClr>
                        </a:clrTo>
                      </a:clrChange>
                    </a:blip>
                    <a:srcRect/>
                    <a:stretch>
                      <a:fillRect/>
                    </a:stretch>
                  </pic:blipFill>
                  <pic:spPr bwMode="auto">
                    <a:xfrm>
                      <a:off x="0" y="0"/>
                      <a:ext cx="1545590" cy="1163320"/>
                    </a:xfrm>
                    <a:prstGeom prst="rect">
                      <a:avLst/>
                    </a:prstGeom>
                    <a:noFill/>
                  </pic:spPr>
                </pic:pic>
              </a:graphicData>
            </a:graphic>
          </wp:anchor>
        </w:drawing>
      </w:r>
    </w:p>
    <w:p w:rsidR="008C5B8C" w:rsidRDefault="008C5B8C">
      <w:pPr>
        <w:jc w:val="right"/>
      </w:pPr>
    </w:p>
    <w:p w:rsidR="008C5B8C" w:rsidRDefault="008C5B8C">
      <w:pPr>
        <w:jc w:val="right"/>
      </w:pPr>
    </w:p>
    <w:tbl>
      <w:tblPr>
        <w:tblW w:w="0" w:type="auto"/>
        <w:tblLayout w:type="fixed"/>
        <w:tblLook w:val="0000" w:firstRow="0" w:lastRow="0" w:firstColumn="0" w:lastColumn="0" w:noHBand="0" w:noVBand="0"/>
      </w:tblPr>
      <w:tblGrid>
        <w:gridCol w:w="6318"/>
        <w:gridCol w:w="3258"/>
      </w:tblGrid>
      <w:tr w:rsidR="008C5B8C">
        <w:tc>
          <w:tcPr>
            <w:tcW w:w="6318" w:type="dxa"/>
          </w:tcPr>
          <w:p w:rsidR="008C5B8C" w:rsidRDefault="008C5B8C">
            <w:pPr>
              <w:pStyle w:val="Heading1"/>
            </w:pPr>
          </w:p>
          <w:p w:rsidR="008C5B8C" w:rsidRDefault="004C0A45">
            <w:pPr>
              <w:pStyle w:val="Heading1"/>
            </w:pPr>
            <w:r>
              <w:t>February 2</w:t>
            </w:r>
            <w:r w:rsidR="00C13761">
              <w:t>9</w:t>
            </w:r>
            <w:r w:rsidR="00B1619F">
              <w:t>, 201</w:t>
            </w:r>
            <w:r w:rsidR="008539AB">
              <w:t>8</w:t>
            </w:r>
          </w:p>
          <w:p w:rsidR="008C5B8C" w:rsidRDefault="008C5B8C"/>
        </w:tc>
        <w:tc>
          <w:tcPr>
            <w:tcW w:w="3258" w:type="dxa"/>
          </w:tcPr>
          <w:p w:rsidR="008C5B8C" w:rsidRDefault="008C5B8C">
            <w:pPr>
              <w:jc w:val="right"/>
              <w:rPr>
                <w:sz w:val="20"/>
              </w:rPr>
            </w:pPr>
            <w:r>
              <w:rPr>
                <w:sz w:val="20"/>
              </w:rPr>
              <w:t>Writer’s Direct Dial:  703.</w:t>
            </w:r>
            <w:r w:rsidR="00AA2910">
              <w:rPr>
                <w:sz w:val="20"/>
              </w:rPr>
              <w:t>755.6730</w:t>
            </w:r>
          </w:p>
          <w:p w:rsidR="008C5B8C" w:rsidRDefault="008C5B8C">
            <w:pPr>
              <w:jc w:val="right"/>
              <w:rPr>
                <w:sz w:val="20"/>
              </w:rPr>
            </w:pPr>
            <w:r>
              <w:rPr>
                <w:sz w:val="20"/>
              </w:rPr>
              <w:t>Facsimile Number:  703.</w:t>
            </w:r>
            <w:r w:rsidR="00AA2910">
              <w:rPr>
                <w:sz w:val="20"/>
              </w:rPr>
              <w:t>755.6740</w:t>
            </w:r>
          </w:p>
          <w:p w:rsidR="008C5B8C" w:rsidRDefault="00AA2910">
            <w:pPr>
              <w:jc w:val="right"/>
              <w:rPr>
                <w:sz w:val="20"/>
              </w:rPr>
            </w:pPr>
            <w:r>
              <w:rPr>
                <w:sz w:val="20"/>
              </w:rPr>
              <w:t>Sheba.Chacko</w:t>
            </w:r>
            <w:r w:rsidR="008C5B8C">
              <w:rPr>
                <w:sz w:val="20"/>
              </w:rPr>
              <w:t>@bt.com</w:t>
            </w:r>
          </w:p>
        </w:tc>
      </w:tr>
    </w:tbl>
    <w:p w:rsidR="00AA2910" w:rsidRDefault="00AA2910">
      <w:pPr>
        <w:pStyle w:val="Header"/>
        <w:tabs>
          <w:tab w:val="clear" w:pos="4320"/>
          <w:tab w:val="clear" w:pos="8640"/>
        </w:tabs>
      </w:pPr>
    </w:p>
    <w:p w:rsidR="003661FD" w:rsidRPr="003661FD" w:rsidRDefault="003661FD" w:rsidP="003661FD">
      <w:pPr>
        <w:autoSpaceDE w:val="0"/>
        <w:autoSpaceDN w:val="0"/>
        <w:adjustRightInd w:val="0"/>
        <w:rPr>
          <w:rFonts w:ascii="TimesNewRoman" w:hAnsi="TimesNewRoman" w:cs="TimesNewRoman"/>
          <w:color w:val="000000"/>
          <w:sz w:val="20"/>
          <w:szCs w:val="20"/>
          <w:lang w:val="it-IT"/>
        </w:rPr>
      </w:pPr>
      <w:r w:rsidRPr="003661FD">
        <w:rPr>
          <w:rFonts w:ascii="TimesNewRoman" w:hAnsi="TimesNewRoman" w:cs="TimesNewRoman"/>
          <w:color w:val="000000"/>
          <w:sz w:val="20"/>
          <w:szCs w:val="20"/>
          <w:lang w:val="it-IT"/>
        </w:rPr>
        <w:t xml:space="preserve"> </w:t>
      </w:r>
    </w:p>
    <w:p w:rsidR="003661FD" w:rsidRPr="00F428AF" w:rsidRDefault="003661FD" w:rsidP="003661FD">
      <w:pPr>
        <w:autoSpaceDE w:val="0"/>
        <w:autoSpaceDN w:val="0"/>
        <w:adjustRightInd w:val="0"/>
        <w:rPr>
          <w:rFonts w:ascii="TimesNewRoman" w:hAnsi="TimesNewRoman" w:cs="TimesNewRoman"/>
          <w:color w:val="000000"/>
          <w:lang w:val="it-IT"/>
        </w:rPr>
      </w:pPr>
      <w:r w:rsidRPr="00F428AF">
        <w:rPr>
          <w:rFonts w:ascii="TimesNewRoman" w:hAnsi="TimesNewRoman" w:cs="TimesNewRoman"/>
          <w:color w:val="000000"/>
          <w:lang w:val="it-IT"/>
        </w:rPr>
        <w:t>VIA ECFS</w:t>
      </w:r>
    </w:p>
    <w:p w:rsidR="003661FD" w:rsidRDefault="003661FD" w:rsidP="003661FD">
      <w:pPr>
        <w:autoSpaceDE w:val="0"/>
        <w:autoSpaceDN w:val="0"/>
        <w:adjustRightInd w:val="0"/>
        <w:rPr>
          <w:rFonts w:ascii="TimesNewRoman" w:hAnsi="TimesNewRoman" w:cs="TimesNewRoman"/>
          <w:color w:val="000000"/>
          <w:lang w:val="it-IT"/>
        </w:rPr>
      </w:pPr>
      <w:r w:rsidRPr="00F428AF">
        <w:rPr>
          <w:rFonts w:ascii="TimesNewRoman" w:hAnsi="TimesNewRoman" w:cs="TimesNewRoman"/>
          <w:color w:val="000000"/>
          <w:lang w:val="it-IT"/>
        </w:rPr>
        <w:t>(</w:t>
      </w:r>
      <w:hyperlink r:id="rId9" w:history="1">
        <w:r w:rsidRPr="00836F9B">
          <w:rPr>
            <w:rStyle w:val="Hyperlink"/>
            <w:rFonts w:ascii="TimesNewRoman" w:hAnsi="TimesNewRoman" w:cs="TimesNewRoman"/>
            <w:lang w:val="it-IT"/>
          </w:rPr>
          <w:t>http://www.fcc.gov/cgb/ecfs</w:t>
        </w:r>
      </w:hyperlink>
      <w:r w:rsidRPr="00F428AF">
        <w:rPr>
          <w:rFonts w:ascii="TimesNewRoman" w:hAnsi="TimesNewRoman" w:cs="TimesNewRoman"/>
          <w:color w:val="000000"/>
          <w:lang w:val="it-IT"/>
        </w:rPr>
        <w:t>)</w:t>
      </w:r>
    </w:p>
    <w:p w:rsidR="003661FD" w:rsidRPr="00F428AF" w:rsidRDefault="003661FD" w:rsidP="003661FD">
      <w:pPr>
        <w:autoSpaceDE w:val="0"/>
        <w:autoSpaceDN w:val="0"/>
        <w:adjustRightInd w:val="0"/>
        <w:rPr>
          <w:rFonts w:ascii="TimesNewRoman" w:hAnsi="TimesNewRoman" w:cs="TimesNewRoman"/>
          <w:color w:val="000000"/>
          <w:lang w:val="it-IT"/>
        </w:rPr>
      </w:pP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The Secretary</w:t>
      </w: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Federal Communications Commission</w:t>
      </w: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445 12</w:t>
      </w:r>
      <w:r>
        <w:rPr>
          <w:rFonts w:ascii="TimesNewRoman" w:hAnsi="TimesNewRoman" w:cs="TimesNewRoman"/>
          <w:color w:val="000000"/>
          <w:sz w:val="16"/>
          <w:szCs w:val="16"/>
        </w:rPr>
        <w:t xml:space="preserve">th </w:t>
      </w:r>
      <w:r>
        <w:rPr>
          <w:rFonts w:ascii="TimesNewRoman" w:hAnsi="TimesNewRoman" w:cs="TimesNewRoman"/>
          <w:color w:val="000000"/>
        </w:rPr>
        <w:t>Street SW, Suite TW-A325</w:t>
      </w: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Washington DC 20554</w:t>
      </w: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rPr>
          <w:rFonts w:ascii="TimesNewRoman,Bold" w:hAnsi="TimesNewRoman,Bold" w:cs="TimesNewRoman,Bold"/>
          <w:b/>
          <w:bCs/>
          <w:color w:val="000000"/>
        </w:rPr>
      </w:pPr>
      <w:r>
        <w:rPr>
          <w:rFonts w:ascii="TimesNewRoman" w:hAnsi="TimesNewRoman" w:cs="TimesNewRoman"/>
          <w:color w:val="000000"/>
        </w:rPr>
        <w:t xml:space="preserve">Re:     </w:t>
      </w:r>
      <w:r>
        <w:rPr>
          <w:rFonts w:ascii="TimesNewRoman,Bold" w:hAnsi="TimesNewRoman,Bold" w:cs="TimesNewRoman,Bold"/>
          <w:b/>
          <w:bCs/>
          <w:color w:val="000000"/>
        </w:rPr>
        <w:t>Annual 64.2009(e) CPNI Cert</w:t>
      </w:r>
      <w:r w:rsidR="00B1619F">
        <w:rPr>
          <w:rFonts w:ascii="TimesNewRoman,Bold" w:hAnsi="TimesNewRoman,Bold" w:cs="TimesNewRoman,Bold"/>
          <w:b/>
          <w:bCs/>
          <w:color w:val="000000"/>
        </w:rPr>
        <w:t>ification for Calendar Year 201</w:t>
      </w:r>
      <w:r w:rsidR="008539AB">
        <w:rPr>
          <w:rFonts w:ascii="TimesNewRoman,Bold" w:hAnsi="TimesNewRoman,Bold" w:cs="TimesNewRoman,Bold"/>
          <w:b/>
          <w:bCs/>
          <w:color w:val="000000"/>
        </w:rPr>
        <w:t>7</w:t>
      </w: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EB Docket 06-36</w:t>
      </w:r>
    </w:p>
    <w:p w:rsidR="003661FD" w:rsidRDefault="003661FD" w:rsidP="003661FD">
      <w:pPr>
        <w:autoSpaceDE w:val="0"/>
        <w:autoSpaceDN w:val="0"/>
        <w:adjustRightInd w:val="0"/>
        <w:ind w:firstLine="720"/>
        <w:rPr>
          <w:rFonts w:ascii="TimesNewRoman,Bold" w:hAnsi="TimesNewRoman,Bold" w:cs="TimesNewRoman,Bold"/>
          <w:b/>
          <w:bCs/>
          <w:color w:val="000000"/>
        </w:rPr>
      </w:pP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BT Americas Inc.</w:t>
      </w: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FCC Form Filer ID 809483</w:t>
      </w:r>
    </w:p>
    <w:p w:rsidR="003661FD" w:rsidRDefault="003661FD" w:rsidP="003661FD">
      <w:pPr>
        <w:autoSpaceDE w:val="0"/>
        <w:autoSpaceDN w:val="0"/>
        <w:adjustRightInd w:val="0"/>
        <w:ind w:firstLine="720"/>
        <w:rPr>
          <w:rFonts w:ascii="TimesNewRoman,Bold" w:hAnsi="TimesNewRoman,Bold" w:cs="TimesNewRoman,Bold"/>
          <w:b/>
          <w:bCs/>
          <w:color w:val="000000"/>
        </w:rPr>
      </w:pP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Radianz Americas Inc.</w:t>
      </w: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FCC Form Filer ID 823182</w:t>
      </w:r>
    </w:p>
    <w:p w:rsidR="003661FD" w:rsidRDefault="003661FD" w:rsidP="003661FD">
      <w:pPr>
        <w:autoSpaceDE w:val="0"/>
        <w:autoSpaceDN w:val="0"/>
        <w:adjustRightInd w:val="0"/>
        <w:ind w:firstLine="720"/>
        <w:rPr>
          <w:rFonts w:ascii="TimesNewRoman,Bold" w:hAnsi="TimesNewRoman,Bold" w:cs="TimesNewRoman,Bold"/>
          <w:b/>
          <w:bCs/>
          <w:color w:val="000000"/>
        </w:rPr>
      </w:pP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BT Conferencing Video Inc.</w:t>
      </w: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FCC Form Filer ID 827277</w:t>
      </w:r>
    </w:p>
    <w:p w:rsidR="003661FD" w:rsidRDefault="003661FD" w:rsidP="003661FD">
      <w:pPr>
        <w:autoSpaceDE w:val="0"/>
        <w:autoSpaceDN w:val="0"/>
        <w:adjustRightInd w:val="0"/>
        <w:ind w:firstLine="720"/>
        <w:rPr>
          <w:rFonts w:ascii="TimesNewRoman,Bold" w:hAnsi="TimesNewRoman,Bold" w:cs="TimesNewRoman,Bold"/>
          <w:b/>
          <w:bCs/>
          <w:color w:val="000000"/>
        </w:rPr>
      </w:pP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BT LatAm Inc.</w:t>
      </w:r>
    </w:p>
    <w:p w:rsidR="003661FD" w:rsidRDefault="003661FD" w:rsidP="003661FD">
      <w:pPr>
        <w:autoSpaceDE w:val="0"/>
        <w:autoSpaceDN w:val="0"/>
        <w:adjustRightInd w:val="0"/>
        <w:ind w:firstLine="720"/>
        <w:rPr>
          <w:rFonts w:ascii="TimesNewRoman,Bold" w:hAnsi="TimesNewRoman,Bold" w:cs="TimesNewRoman,Bold"/>
          <w:b/>
          <w:bCs/>
          <w:color w:val="000000"/>
        </w:rPr>
      </w:pPr>
      <w:r>
        <w:rPr>
          <w:rFonts w:ascii="TimesNewRoman,Bold" w:hAnsi="TimesNewRoman,Bold" w:cs="TimesNewRoman,Bold"/>
          <w:b/>
          <w:bCs/>
          <w:color w:val="000000"/>
        </w:rPr>
        <w:t>FCC Form Filer ID 821680</w:t>
      </w:r>
    </w:p>
    <w:p w:rsidR="003661FD" w:rsidRDefault="003661FD" w:rsidP="003661FD">
      <w:pPr>
        <w:autoSpaceDE w:val="0"/>
        <w:autoSpaceDN w:val="0"/>
        <w:adjustRightInd w:val="0"/>
        <w:ind w:firstLine="720"/>
        <w:rPr>
          <w:rFonts w:ascii="TimesNewRoman,Bold" w:hAnsi="TimesNewRoman,Bold" w:cs="TimesNewRoman,Bold"/>
          <w:b/>
          <w:bCs/>
          <w:color w:val="000000"/>
        </w:rPr>
      </w:pPr>
    </w:p>
    <w:p w:rsidR="003661FD" w:rsidRDefault="003661FD" w:rsidP="003661FD">
      <w:pPr>
        <w:autoSpaceDE w:val="0"/>
        <w:autoSpaceDN w:val="0"/>
        <w:adjustRightInd w:val="0"/>
        <w:ind w:firstLine="720"/>
        <w:rPr>
          <w:rFonts w:ascii="TimesNewRoman" w:hAnsi="TimesNewRoman" w:cs="TimesNewRoman"/>
          <w:color w:val="000000"/>
        </w:rPr>
      </w:pPr>
      <w:r>
        <w:rPr>
          <w:rFonts w:ascii="TimesNewRoman" w:hAnsi="TimesNewRoman" w:cs="TimesNewRoman"/>
          <w:color w:val="000000"/>
        </w:rPr>
        <w:t>I, A. Sheba Chacko, certify that I am an officer of the companies named above</w:t>
      </w: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 xml:space="preserve">(hereinafter referred to as “BTA”). As stated in the CPNI compliance statement attached, the BTA companies do not operate as a telecommunications carrier or common carrier in the U.S. and hence the Title II CPNI certification requirements do not apply to these companies. </w:t>
      </w: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ind w:firstLine="720"/>
        <w:rPr>
          <w:rFonts w:ascii="TimesNewRoman" w:hAnsi="TimesNewRoman" w:cs="TimesNewRoman"/>
          <w:color w:val="000000"/>
        </w:rPr>
      </w:pPr>
      <w:r>
        <w:rPr>
          <w:rFonts w:ascii="TimesNewRoman" w:hAnsi="TimesNewRoman" w:cs="TimesNewRoman"/>
          <w:color w:val="000000"/>
        </w:rPr>
        <w:t xml:space="preserve"> Nevertheless, out of an abundance of caution, the BTA companies file this CPNI certification</w:t>
      </w:r>
      <w:r w:rsidR="00A302BF">
        <w:rPr>
          <w:rFonts w:ascii="TimesNewRoman" w:hAnsi="TimesNewRoman" w:cs="TimesNewRoman"/>
          <w:color w:val="000000"/>
        </w:rPr>
        <w:t xml:space="preserve">.  However, in doing so, the BTA </w:t>
      </w:r>
      <w:r>
        <w:rPr>
          <w:rFonts w:ascii="TimesNewRoman" w:hAnsi="TimesNewRoman" w:cs="TimesNewRoman"/>
          <w:color w:val="000000"/>
        </w:rPr>
        <w:t>companies do not concede the applicability of Section 64.2009(e) to their US operations.</w:t>
      </w: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ind w:firstLine="720"/>
        <w:rPr>
          <w:rFonts w:ascii="TimesNewRoman" w:hAnsi="TimesNewRoman" w:cs="TimesNewRoman"/>
          <w:color w:val="000000"/>
        </w:rPr>
      </w:pPr>
      <w:r>
        <w:rPr>
          <w:rFonts w:ascii="TimesNewRoman" w:hAnsi="TimesNewRoman" w:cs="TimesNewRoman"/>
          <w:color w:val="000000"/>
        </w:rPr>
        <w:t>Acting as an agent of BTA, I have personal knowledge that they have established operating procedures that are adequate to ensure compliance with the Commission’s CPNI rules.  Attached is an accompanying statement explaining how the procedures of the BT</w:t>
      </w:r>
      <w:r w:rsidR="00A302BF">
        <w:rPr>
          <w:rFonts w:ascii="TimesNewRoman" w:hAnsi="TimesNewRoman" w:cs="TimesNewRoman"/>
          <w:color w:val="000000"/>
        </w:rPr>
        <w:t>A</w:t>
      </w:r>
      <w:r>
        <w:rPr>
          <w:rFonts w:ascii="TimesNewRoman" w:hAnsi="TimesNewRoman" w:cs="TimesNewRoman"/>
          <w:color w:val="000000"/>
        </w:rPr>
        <w:t xml:space="preserve"> companies meet the requirements set forth in </w:t>
      </w:r>
      <w:r w:rsidR="00EA56EA">
        <w:rPr>
          <w:rFonts w:ascii="TimesNewRoman" w:hAnsi="TimesNewRoman" w:cs="TimesNewRoman"/>
          <w:color w:val="000000"/>
        </w:rPr>
        <w:t xml:space="preserve">47 C.F.R. </w:t>
      </w:r>
      <w:r>
        <w:rPr>
          <w:rFonts w:ascii="TimesNewRoman" w:hAnsi="TimesNewRoman" w:cs="TimesNewRoman"/>
          <w:color w:val="000000"/>
        </w:rPr>
        <w:t>Section 64.2001 et seq of the Commission’s Rules.   BTA has not taken any actions against data brokers in the past year nor has BTA received any customer complaints in the past year concerning the unauthorized release of CPNI.</w:t>
      </w:r>
    </w:p>
    <w:p w:rsidR="003661FD" w:rsidRDefault="003661FD" w:rsidP="003661FD">
      <w:pPr>
        <w:autoSpaceDE w:val="0"/>
        <w:autoSpaceDN w:val="0"/>
        <w:adjustRightInd w:val="0"/>
        <w:rPr>
          <w:rFonts w:ascii="TimesNewRoman" w:hAnsi="TimesNewRoman" w:cs="TimesNewRoman"/>
          <w:color w:val="000000"/>
        </w:rPr>
      </w:pPr>
    </w:p>
    <w:p w:rsidR="00EA56EA" w:rsidRDefault="00EA56EA" w:rsidP="003661FD">
      <w:pPr>
        <w:autoSpaceDE w:val="0"/>
        <w:autoSpaceDN w:val="0"/>
        <w:adjustRightInd w:val="0"/>
        <w:rPr>
          <w:rFonts w:ascii="TimesNewRoman" w:hAnsi="TimesNewRoman" w:cs="TimesNewRoman"/>
          <w:color w:val="000000"/>
        </w:rPr>
      </w:pPr>
      <w:r>
        <w:rPr>
          <w:rFonts w:ascii="TimesNewRoman" w:hAnsi="TimesNewRoman" w:cs="TimesNewRoman"/>
          <w:color w:val="000000"/>
        </w:rPr>
        <w:lastRenderedPageBreak/>
        <w:tab/>
        <w:t>BTA represents and warrants that this certification is consistent with 47 C.F.R., Section 1.17, which requires truthful and accurate statements to the Commission.  BTA also acknowledges that false statements and misrepresentations to the Commission are punishable under Title 18 of the U.S. Code and may be subject to enforcement action.</w:t>
      </w: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ab/>
      </w:r>
      <w:r>
        <w:rPr>
          <w:rFonts w:ascii="TimesNewRoman" w:hAnsi="TimesNewRoman" w:cs="TimesNewRoman"/>
          <w:color w:val="000000"/>
        </w:rPr>
        <w:tab/>
      </w:r>
      <w:r>
        <w:rPr>
          <w:rFonts w:ascii="TimesNewRoman" w:hAnsi="TimesNewRoman" w:cs="TimesNewRoman"/>
          <w:color w:val="000000"/>
        </w:rPr>
        <w:tab/>
      </w:r>
      <w:r>
        <w:rPr>
          <w:rFonts w:ascii="TimesNewRoman" w:hAnsi="TimesNewRoman" w:cs="TimesNewRoman"/>
          <w:color w:val="000000"/>
        </w:rPr>
        <w:tab/>
      </w:r>
      <w:r>
        <w:rPr>
          <w:rFonts w:ascii="TimesNewRoman" w:hAnsi="TimesNewRoman" w:cs="TimesNewRoman"/>
          <w:color w:val="000000"/>
        </w:rPr>
        <w:tab/>
      </w:r>
      <w:r>
        <w:rPr>
          <w:rFonts w:ascii="TimesNewRoman" w:hAnsi="TimesNewRoman" w:cs="TimesNewRoman"/>
          <w:color w:val="000000"/>
        </w:rPr>
        <w:tab/>
        <w:t>Respectfully submitted,</w:t>
      </w:r>
    </w:p>
    <w:p w:rsidR="003661FD" w:rsidRDefault="003661FD" w:rsidP="003661FD">
      <w:pPr>
        <w:autoSpaceDE w:val="0"/>
        <w:autoSpaceDN w:val="0"/>
        <w:adjustRightInd w:val="0"/>
        <w:ind w:left="4320"/>
        <w:rPr>
          <w:rFonts w:ascii="TimesNewRoman" w:hAnsi="TimesNewRoman" w:cs="TimesNewRoman"/>
          <w:color w:val="000000"/>
        </w:rPr>
      </w:pPr>
    </w:p>
    <w:p w:rsidR="003661FD" w:rsidRDefault="003661FD" w:rsidP="003661FD">
      <w:pPr>
        <w:autoSpaceDE w:val="0"/>
        <w:autoSpaceDN w:val="0"/>
        <w:adjustRightInd w:val="0"/>
        <w:ind w:left="4320"/>
        <w:rPr>
          <w:rFonts w:ascii="TimesNewRoman" w:hAnsi="TimesNewRoman" w:cs="TimesNewRoman"/>
          <w:color w:val="000000"/>
        </w:rPr>
      </w:pPr>
      <w:r>
        <w:rPr>
          <w:rFonts w:ascii="TimesNewRoman" w:hAnsi="TimesNewRoman" w:cs="TimesNewRoman"/>
          <w:color w:val="000000"/>
        </w:rPr>
        <w:t>BT AMERICAS INC,</w:t>
      </w:r>
    </w:p>
    <w:p w:rsidR="003661FD" w:rsidRDefault="003661FD" w:rsidP="003661FD">
      <w:pPr>
        <w:autoSpaceDE w:val="0"/>
        <w:autoSpaceDN w:val="0"/>
        <w:adjustRightInd w:val="0"/>
        <w:ind w:left="4320"/>
        <w:rPr>
          <w:rFonts w:ascii="TimesNewRoman" w:hAnsi="TimesNewRoman" w:cs="TimesNewRoman"/>
          <w:color w:val="000000"/>
        </w:rPr>
      </w:pPr>
      <w:r>
        <w:rPr>
          <w:rFonts w:ascii="TimesNewRoman" w:hAnsi="TimesNewRoman" w:cs="TimesNewRoman"/>
          <w:color w:val="000000"/>
        </w:rPr>
        <w:t>BT CONFERENCING VIDEO</w:t>
      </w:r>
      <w:r w:rsidR="00A97FF7">
        <w:rPr>
          <w:rFonts w:ascii="TimesNewRoman" w:hAnsi="TimesNewRoman" w:cs="TimesNewRoman"/>
          <w:color w:val="000000"/>
        </w:rPr>
        <w:t xml:space="preserve"> </w:t>
      </w:r>
      <w:r>
        <w:rPr>
          <w:rFonts w:ascii="TimesNewRoman" w:hAnsi="TimesNewRoman" w:cs="TimesNewRoman"/>
          <w:color w:val="000000"/>
        </w:rPr>
        <w:t>INC.</w:t>
      </w:r>
    </w:p>
    <w:p w:rsidR="003661FD" w:rsidRPr="00EA56EA" w:rsidRDefault="003661FD" w:rsidP="003661FD">
      <w:pPr>
        <w:autoSpaceDE w:val="0"/>
        <w:autoSpaceDN w:val="0"/>
        <w:adjustRightInd w:val="0"/>
        <w:ind w:left="4320"/>
        <w:rPr>
          <w:rFonts w:ascii="TimesNewRoman" w:hAnsi="TimesNewRoman" w:cs="TimesNewRoman"/>
          <w:color w:val="000000"/>
        </w:rPr>
      </w:pPr>
      <w:r w:rsidRPr="00EA56EA">
        <w:rPr>
          <w:rFonts w:ascii="TimesNewRoman" w:hAnsi="TimesNewRoman" w:cs="TimesNewRoman"/>
          <w:color w:val="000000"/>
        </w:rPr>
        <w:t>BT LATAM INC.</w:t>
      </w:r>
    </w:p>
    <w:p w:rsidR="003661FD" w:rsidRPr="00EA56EA" w:rsidRDefault="003661FD" w:rsidP="003661FD">
      <w:pPr>
        <w:autoSpaceDE w:val="0"/>
        <w:autoSpaceDN w:val="0"/>
        <w:adjustRightInd w:val="0"/>
        <w:ind w:left="4320"/>
        <w:rPr>
          <w:rFonts w:ascii="TimesNewRoman" w:hAnsi="TimesNewRoman" w:cs="TimesNewRoman"/>
          <w:color w:val="000000"/>
        </w:rPr>
      </w:pPr>
      <w:r w:rsidRPr="00EA56EA">
        <w:rPr>
          <w:rFonts w:ascii="TimesNewRoman" w:hAnsi="TimesNewRoman" w:cs="TimesNewRoman"/>
          <w:color w:val="000000"/>
        </w:rPr>
        <w:t>RADIANZ AMERICAS INC.</w:t>
      </w:r>
    </w:p>
    <w:p w:rsidR="003661FD" w:rsidRPr="00EA56EA" w:rsidRDefault="003661FD" w:rsidP="003661FD">
      <w:pPr>
        <w:autoSpaceDE w:val="0"/>
        <w:autoSpaceDN w:val="0"/>
        <w:adjustRightInd w:val="0"/>
        <w:ind w:left="4320"/>
        <w:rPr>
          <w:rFonts w:ascii="TimesNewRoman" w:hAnsi="TimesNewRoman" w:cs="TimesNewRoman"/>
          <w:color w:val="000000"/>
        </w:rPr>
      </w:pPr>
    </w:p>
    <w:p w:rsidR="003661FD" w:rsidRPr="00A302BF" w:rsidRDefault="003661FD" w:rsidP="003661FD">
      <w:pPr>
        <w:autoSpaceDE w:val="0"/>
        <w:autoSpaceDN w:val="0"/>
        <w:adjustRightInd w:val="0"/>
        <w:ind w:left="4320"/>
        <w:rPr>
          <w:rFonts w:ascii="TimesNewRoman" w:hAnsi="TimesNewRoman" w:cs="TimesNewRoman"/>
          <w:color w:val="000000"/>
        </w:rPr>
      </w:pPr>
      <w:r w:rsidRPr="00A302BF">
        <w:rPr>
          <w:rFonts w:ascii="TimesNewRoman" w:hAnsi="TimesNewRoman" w:cs="TimesNewRoman"/>
          <w:color w:val="000000"/>
        </w:rPr>
        <w:t xml:space="preserve">By:  </w:t>
      </w:r>
      <w:r>
        <w:rPr>
          <w:noProof/>
        </w:rPr>
        <w:drawing>
          <wp:inline distT="0" distB="0" distL="0" distR="0">
            <wp:extent cx="1419225" cy="333375"/>
            <wp:effectExtent l="19050" t="0" r="9525" b="0"/>
            <wp:docPr id="5" name="Picture 2" descr="Sheba-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heba-Signature"/>
                    <pic:cNvPicPr>
                      <a:picLocks noChangeAspect="1" noChangeArrowheads="1"/>
                    </pic:cNvPicPr>
                  </pic:nvPicPr>
                  <pic:blipFill>
                    <a:blip r:embed="rId10" cstate="print"/>
                    <a:srcRect/>
                    <a:stretch>
                      <a:fillRect/>
                    </a:stretch>
                  </pic:blipFill>
                  <pic:spPr bwMode="auto">
                    <a:xfrm>
                      <a:off x="0" y="0"/>
                      <a:ext cx="1419225" cy="333375"/>
                    </a:xfrm>
                    <a:prstGeom prst="rect">
                      <a:avLst/>
                    </a:prstGeom>
                    <a:noFill/>
                    <a:ln w="9525">
                      <a:noFill/>
                      <a:miter lim="800000"/>
                      <a:headEnd/>
                      <a:tailEnd/>
                    </a:ln>
                  </pic:spPr>
                </pic:pic>
              </a:graphicData>
            </a:graphic>
          </wp:inline>
        </w:drawing>
      </w:r>
      <w:r w:rsidRPr="00A302BF">
        <w:rPr>
          <w:rFonts w:ascii="TimesNewRoman" w:hAnsi="TimesNewRoman" w:cs="TimesNewRoman"/>
          <w:color w:val="000000"/>
        </w:rPr>
        <w:t>____________________________________</w:t>
      </w:r>
    </w:p>
    <w:p w:rsidR="003661FD" w:rsidRPr="00A302BF" w:rsidRDefault="003661FD" w:rsidP="003661FD">
      <w:pPr>
        <w:autoSpaceDE w:val="0"/>
        <w:autoSpaceDN w:val="0"/>
        <w:adjustRightInd w:val="0"/>
        <w:rPr>
          <w:rFonts w:ascii="TimesNewRoman" w:hAnsi="TimesNewRoman" w:cs="TimesNewRoman"/>
          <w:color w:val="000000"/>
        </w:rPr>
      </w:pPr>
      <w:r w:rsidRPr="00A302BF">
        <w:rPr>
          <w:rFonts w:ascii="TimesNewRoman" w:hAnsi="TimesNewRoman" w:cs="TimesNewRoman"/>
          <w:color w:val="000000"/>
        </w:rPr>
        <w:tab/>
      </w:r>
      <w:r w:rsidRPr="00A302BF">
        <w:rPr>
          <w:rFonts w:ascii="TimesNewRoman" w:hAnsi="TimesNewRoman" w:cs="TimesNewRoman"/>
          <w:color w:val="000000"/>
        </w:rPr>
        <w:tab/>
      </w:r>
      <w:r w:rsidRPr="00A302BF">
        <w:rPr>
          <w:rFonts w:ascii="TimesNewRoman" w:hAnsi="TimesNewRoman" w:cs="TimesNewRoman"/>
          <w:color w:val="000000"/>
        </w:rPr>
        <w:tab/>
      </w:r>
      <w:r w:rsidRPr="00A302BF">
        <w:rPr>
          <w:rFonts w:ascii="TimesNewRoman" w:hAnsi="TimesNewRoman" w:cs="TimesNewRoman"/>
          <w:color w:val="000000"/>
        </w:rPr>
        <w:tab/>
      </w:r>
      <w:r w:rsidRPr="00A302BF">
        <w:rPr>
          <w:rFonts w:ascii="TimesNewRoman" w:hAnsi="TimesNewRoman" w:cs="TimesNewRoman"/>
          <w:color w:val="000000"/>
        </w:rPr>
        <w:tab/>
      </w:r>
      <w:r w:rsidRPr="00A302BF">
        <w:rPr>
          <w:rFonts w:ascii="TimesNewRoman" w:hAnsi="TimesNewRoman" w:cs="TimesNewRoman"/>
          <w:color w:val="000000"/>
        </w:rPr>
        <w:tab/>
        <w:t xml:space="preserve">   A SHEBA CHACKO</w:t>
      </w:r>
    </w:p>
    <w:p w:rsidR="003661FD" w:rsidRPr="00A302BF" w:rsidRDefault="003661FD" w:rsidP="003661FD">
      <w:pPr>
        <w:autoSpaceDE w:val="0"/>
        <w:autoSpaceDN w:val="0"/>
        <w:adjustRightInd w:val="0"/>
        <w:ind w:left="4320"/>
        <w:rPr>
          <w:rFonts w:ascii="TimesNewRoman" w:hAnsi="TimesNewRoman" w:cs="TimesNewRoman"/>
          <w:color w:val="000000"/>
        </w:rPr>
      </w:pP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rPr>
          <w:rFonts w:ascii="TimesNewRoman" w:hAnsi="TimesNewRoman" w:cs="TimesNewRoman"/>
          <w:color w:val="000000"/>
        </w:rPr>
      </w:pPr>
    </w:p>
    <w:p w:rsidR="003661FD" w:rsidRPr="00F428AF"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CC: Best Copy and Printing Inc.</w:t>
      </w: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445 12st Street, Suite CY-B402</w:t>
      </w: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Washington, DC 20554</w:t>
      </w: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rPr>
          <w:rFonts w:ascii="TimesNewRoman" w:hAnsi="TimesNewRoman" w:cs="TimesNewRoman"/>
          <w:color w:val="000000"/>
        </w:rPr>
      </w:pPr>
      <w:r>
        <w:rPr>
          <w:rFonts w:ascii="TimesNewRoman" w:hAnsi="TimesNewRoman" w:cs="TimesNewRoman"/>
          <w:color w:val="000000"/>
        </w:rPr>
        <w:t>Attach: Statement of Compliance</w:t>
      </w: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autoSpaceDE w:val="0"/>
        <w:autoSpaceDN w:val="0"/>
        <w:adjustRightInd w:val="0"/>
        <w:rPr>
          <w:rFonts w:ascii="TimesNewRoman" w:hAnsi="TimesNewRoman" w:cs="TimesNewRoman"/>
          <w:color w:val="000000"/>
        </w:rPr>
      </w:pPr>
    </w:p>
    <w:p w:rsidR="003661FD" w:rsidRDefault="003661FD" w:rsidP="003661FD">
      <w:pPr>
        <w:jc w:val="center"/>
        <w:rPr>
          <w:rFonts w:ascii="TimesNewRoman" w:hAnsi="TimesNewRoman" w:cs="TimesNewRoman"/>
          <w:b/>
          <w:color w:val="000000"/>
          <w:sz w:val="28"/>
          <w:szCs w:val="28"/>
          <w:u w:val="single"/>
        </w:rPr>
      </w:pPr>
      <w:r>
        <w:rPr>
          <w:rFonts w:ascii="TimesNewRoman" w:hAnsi="TimesNewRoman" w:cs="TimesNewRoman"/>
          <w:color w:val="000000"/>
        </w:rPr>
        <w:br w:type="page"/>
      </w:r>
      <w:r>
        <w:rPr>
          <w:rFonts w:ascii="TimesNewRoman" w:hAnsi="TimesNewRoman" w:cs="TimesNewRoman"/>
          <w:b/>
          <w:color w:val="000000"/>
          <w:sz w:val="28"/>
          <w:szCs w:val="28"/>
          <w:u w:val="single"/>
        </w:rPr>
        <w:lastRenderedPageBreak/>
        <w:t>Statement on CPNI Compliance</w:t>
      </w:r>
    </w:p>
    <w:p w:rsidR="003661FD" w:rsidRPr="00F428AF" w:rsidRDefault="003661FD" w:rsidP="003661FD">
      <w:pPr>
        <w:jc w:val="center"/>
        <w:rPr>
          <w:rFonts w:ascii="TimesNewRoman" w:hAnsi="TimesNewRoman" w:cs="TimesNewRoman"/>
          <w:b/>
          <w:color w:val="000000"/>
          <w:sz w:val="28"/>
          <w:szCs w:val="28"/>
          <w:u w:val="single"/>
        </w:rPr>
      </w:pPr>
    </w:p>
    <w:p w:rsidR="003661FD" w:rsidRPr="003661FD" w:rsidRDefault="003661FD" w:rsidP="003661FD">
      <w:pPr>
        <w:autoSpaceDE w:val="0"/>
        <w:autoSpaceDN w:val="0"/>
        <w:adjustRightInd w:val="0"/>
        <w:rPr>
          <w:rFonts w:ascii="Arial Narrow" w:hAnsi="Arial Narrow" w:cs="TimesNewRoman"/>
          <w:color w:val="000000"/>
          <w:sz w:val="22"/>
          <w:szCs w:val="22"/>
        </w:rPr>
      </w:pPr>
      <w:r w:rsidRPr="003661FD">
        <w:rPr>
          <w:rFonts w:ascii="Arial Narrow" w:hAnsi="Arial Narrow" w:cs="TimesNewRoman"/>
          <w:color w:val="000000"/>
          <w:sz w:val="22"/>
          <w:szCs w:val="22"/>
        </w:rPr>
        <w:t xml:space="preserve">BT Americas Inc., Radianz Americas Inc., BT Conferencing Video Inc., </w:t>
      </w:r>
      <w:r w:rsidR="008539AB">
        <w:rPr>
          <w:rFonts w:ascii="Arial Narrow" w:hAnsi="Arial Narrow" w:cs="TimesNewRoman"/>
          <w:color w:val="000000"/>
          <w:sz w:val="22"/>
          <w:szCs w:val="22"/>
        </w:rPr>
        <w:t xml:space="preserve"> </w:t>
      </w:r>
      <w:r w:rsidRPr="003661FD">
        <w:rPr>
          <w:rFonts w:ascii="Arial Narrow" w:hAnsi="Arial Narrow" w:cs="TimesNewRoman"/>
          <w:color w:val="000000"/>
          <w:sz w:val="22"/>
          <w:szCs w:val="22"/>
        </w:rPr>
        <w:t xml:space="preserve"> and BT LatAm </w:t>
      </w:r>
      <w:r w:rsidR="008539AB">
        <w:rPr>
          <w:rFonts w:ascii="Arial Narrow" w:hAnsi="Arial Narrow" w:cs="TimesNewRoman"/>
          <w:color w:val="000000"/>
          <w:sz w:val="22"/>
          <w:szCs w:val="22"/>
        </w:rPr>
        <w:t xml:space="preserve">Inc. </w:t>
      </w:r>
      <w:r w:rsidRPr="003661FD">
        <w:rPr>
          <w:rFonts w:ascii="Arial Narrow" w:hAnsi="Arial Narrow" w:cs="TimesNewRoman"/>
          <w:color w:val="000000"/>
          <w:sz w:val="22"/>
          <w:szCs w:val="22"/>
        </w:rPr>
        <w:t xml:space="preserve"> (hereinafter collectively referred to as “BTA”) provides exclusively to its customers global information communications technology services that include information, systems integration services, consulting and “telecommunications”, but not “telecommunications services”, as those terms are defined in sections 3(20), 3(43) and 3(46), respectively, of the Communications Act or common carrier services. Therefore, BTA is not a “telecommunications carrier”, as that term is defined in section 3(44) of the Act. The certification requirement in section 64.2009(e) of the Commission’s Rules applies by its terms exclusively to a “telecommunications carrier.” Because BTA is not a  “telecommunications carrier”, section 64.2009(e) does not apply to its operations.</w:t>
      </w:r>
    </w:p>
    <w:p w:rsidR="003661FD" w:rsidRPr="003661FD" w:rsidRDefault="003661FD" w:rsidP="003661FD">
      <w:pPr>
        <w:autoSpaceDE w:val="0"/>
        <w:autoSpaceDN w:val="0"/>
        <w:adjustRightInd w:val="0"/>
        <w:rPr>
          <w:rFonts w:ascii="Arial Narrow" w:hAnsi="Arial Narrow" w:cs="TimesNewRoman"/>
          <w:color w:val="000000"/>
          <w:sz w:val="22"/>
          <w:szCs w:val="22"/>
        </w:rPr>
      </w:pPr>
    </w:p>
    <w:p w:rsidR="003661FD" w:rsidRPr="003661FD" w:rsidRDefault="003661FD" w:rsidP="003661FD">
      <w:pPr>
        <w:autoSpaceDE w:val="0"/>
        <w:autoSpaceDN w:val="0"/>
        <w:adjustRightInd w:val="0"/>
        <w:rPr>
          <w:rFonts w:ascii="Arial Narrow" w:hAnsi="Arial Narrow" w:cs="TimesNewRoman"/>
          <w:color w:val="000000"/>
          <w:sz w:val="22"/>
          <w:szCs w:val="22"/>
        </w:rPr>
      </w:pPr>
    </w:p>
    <w:p w:rsidR="003661FD" w:rsidRPr="003661FD" w:rsidRDefault="003661FD" w:rsidP="003661FD">
      <w:pPr>
        <w:autoSpaceDE w:val="0"/>
        <w:autoSpaceDN w:val="0"/>
        <w:adjustRightInd w:val="0"/>
        <w:rPr>
          <w:rFonts w:ascii="Arial Narrow" w:hAnsi="Arial Narrow" w:cs="TimesNewRoman"/>
          <w:color w:val="000000"/>
          <w:sz w:val="22"/>
          <w:szCs w:val="22"/>
        </w:rPr>
      </w:pPr>
      <w:r w:rsidRPr="003661FD">
        <w:rPr>
          <w:rFonts w:ascii="Arial Narrow" w:hAnsi="Arial Narrow" w:cs="TimesNewRoman"/>
          <w:color w:val="000000"/>
          <w:sz w:val="22"/>
          <w:szCs w:val="22"/>
        </w:rPr>
        <w:t>For the additional information of the Commission, BTA, which serves only large global</w:t>
      </w:r>
      <w:r>
        <w:rPr>
          <w:rFonts w:ascii="Arial Narrow" w:hAnsi="Arial Narrow" w:cs="TimesNewRoman"/>
          <w:color w:val="000000"/>
          <w:sz w:val="22"/>
          <w:szCs w:val="22"/>
        </w:rPr>
        <w:t xml:space="preserve"> </w:t>
      </w:r>
      <w:r w:rsidRPr="003661FD">
        <w:rPr>
          <w:rFonts w:ascii="Arial Narrow" w:hAnsi="Arial Narrow" w:cs="TimesNewRoman"/>
          <w:color w:val="000000"/>
          <w:sz w:val="22"/>
          <w:szCs w:val="22"/>
        </w:rPr>
        <w:t>enterprises, does not use any information that would be considered to be CPNI if BTA provided “telecommunications services” except in the provision or marketing of services among the category of service to which a customer already subscribes.</w:t>
      </w:r>
    </w:p>
    <w:p w:rsidR="003661FD" w:rsidRPr="003661FD" w:rsidRDefault="003661FD" w:rsidP="003661FD">
      <w:pPr>
        <w:autoSpaceDE w:val="0"/>
        <w:autoSpaceDN w:val="0"/>
        <w:adjustRightInd w:val="0"/>
        <w:rPr>
          <w:rFonts w:ascii="Arial Narrow" w:hAnsi="Arial Narrow" w:cs="TimesNewRoman"/>
          <w:color w:val="000000"/>
          <w:sz w:val="22"/>
          <w:szCs w:val="22"/>
        </w:rPr>
      </w:pP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TimesNewRoman"/>
          <w:color w:val="000000"/>
        </w:rPr>
        <w:t xml:space="preserve">BTA serves large multinational customers who negotiate stringent contract terms regarding the protection and use of their customer data and which customers are serviced by dedicated account </w:t>
      </w:r>
      <w:r w:rsidR="006A2310" w:rsidRPr="003661FD">
        <w:rPr>
          <w:rFonts w:ascii="Arial Narrow" w:hAnsi="Arial Narrow" w:cs="TimesNewRoman"/>
          <w:color w:val="000000"/>
        </w:rPr>
        <w:t>representatives.</w:t>
      </w:r>
      <w:r w:rsidRPr="003661FD">
        <w:rPr>
          <w:rFonts w:ascii="Arial Narrow" w:hAnsi="Arial Narrow" w:cs="TimesNewRoman"/>
          <w:color w:val="000000"/>
        </w:rPr>
        <w:br/>
      </w: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TimesNewRoman"/>
          <w:color w:val="000000"/>
        </w:rPr>
        <w:t>BTA may, pursuant to the express affirmative consent of the customer as set forth in a customer contract, provide services jointly with affiliates or a third party</w:t>
      </w:r>
      <w:r w:rsidRPr="003661FD">
        <w:rPr>
          <w:rFonts w:ascii="Arial Narrow" w:hAnsi="Arial Narrow" w:cs="TimesNewRoman"/>
          <w:color w:val="000000"/>
        </w:rPr>
        <w:br/>
      </w: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TimesNewRoman"/>
          <w:color w:val="000000"/>
        </w:rPr>
        <w:t>BTA personnel are trained to protect the confidential information of its customers.</w:t>
      </w:r>
      <w:r w:rsidRPr="003661FD">
        <w:rPr>
          <w:rFonts w:ascii="Arial Narrow" w:hAnsi="Arial Narrow" w:cs="TimesNewRoman"/>
          <w:color w:val="000000"/>
        </w:rPr>
        <w:br/>
      </w: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TimesNewRoman"/>
          <w:color w:val="000000"/>
        </w:rPr>
        <w:t>Employees, agents and subcontractors of BTA are required to undergo training regarding the use and access of customer data as embodied in the EU data protection directives and the FCC’s CPNI rules that would be applicable to BTA if it operated as a telecommunications services provider in the U.S.</w:t>
      </w:r>
      <w:r w:rsidRPr="003661FD">
        <w:rPr>
          <w:rFonts w:ascii="Arial Narrow" w:hAnsi="Arial Narrow" w:cs="TimesNewRoman"/>
          <w:color w:val="000000"/>
        </w:rPr>
        <w:br/>
      </w: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TimesNewRoman"/>
          <w:color w:val="000000"/>
        </w:rPr>
        <w:t>Employees, agents, subcontractors and joint venture partners are required to execute confidentiality and nondisclosure commitments</w:t>
      </w:r>
      <w:r w:rsidRPr="003661FD">
        <w:rPr>
          <w:rFonts w:ascii="Arial Narrow" w:hAnsi="Arial Narrow" w:cs="TimesNewRoman"/>
          <w:color w:val="000000"/>
        </w:rPr>
        <w:br/>
      </w: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Symbol"/>
          <w:color w:val="000000"/>
        </w:rPr>
        <w:t></w:t>
      </w:r>
      <w:r w:rsidRPr="003661FD">
        <w:rPr>
          <w:rFonts w:ascii="Arial Narrow" w:hAnsi="Arial Narrow" w:cs="TimesNewRoman"/>
          <w:color w:val="000000"/>
        </w:rPr>
        <w:t>BTA does not provide telephone exchange services and therefore is not subject to the CPNI requirements that relate to telephone exchange services.</w:t>
      </w:r>
      <w:bookmarkStart w:id="0" w:name="_GoBack"/>
      <w:bookmarkEnd w:id="0"/>
      <w:r w:rsidRPr="003661FD">
        <w:rPr>
          <w:rFonts w:ascii="Arial Narrow" w:hAnsi="Arial Narrow" w:cs="TimesNewRoman"/>
          <w:color w:val="000000"/>
        </w:rPr>
        <w:br/>
      </w:r>
    </w:p>
    <w:p w:rsidR="003661FD" w:rsidRPr="003661FD" w:rsidRDefault="003661FD"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sidRPr="003661FD">
        <w:rPr>
          <w:rFonts w:ascii="Arial Narrow" w:hAnsi="Arial Narrow" w:cs="Symbol"/>
          <w:color w:val="000000"/>
        </w:rPr>
        <w:t></w:t>
      </w:r>
      <w:r w:rsidRPr="003661FD">
        <w:rPr>
          <w:rFonts w:ascii="Arial Narrow" w:hAnsi="Arial Narrow" w:cs="TimesNewRoman"/>
          <w:color w:val="000000"/>
        </w:rPr>
        <w:t>BTA did not use data brokers in 201</w:t>
      </w:r>
      <w:r w:rsidR="008539AB">
        <w:rPr>
          <w:rFonts w:ascii="Arial Narrow" w:hAnsi="Arial Narrow" w:cs="TimesNewRoman"/>
          <w:color w:val="000000"/>
        </w:rPr>
        <w:t>7</w:t>
      </w:r>
      <w:r w:rsidRPr="003661FD">
        <w:rPr>
          <w:rFonts w:ascii="Arial Narrow" w:hAnsi="Arial Narrow" w:cs="TimesNewRoman"/>
          <w:color w:val="000000"/>
        </w:rPr>
        <w:t xml:space="preserve"> nor has it received</w:t>
      </w:r>
      <w:r w:rsidR="00B1619F">
        <w:rPr>
          <w:rFonts w:ascii="Arial Narrow" w:hAnsi="Arial Narrow" w:cs="TimesNewRoman"/>
          <w:color w:val="000000"/>
        </w:rPr>
        <w:t xml:space="preserve"> any customer complaints in 201</w:t>
      </w:r>
      <w:r w:rsidR="00C13761">
        <w:rPr>
          <w:rFonts w:ascii="Arial Narrow" w:hAnsi="Arial Narrow" w:cs="TimesNewRoman"/>
          <w:color w:val="000000"/>
        </w:rPr>
        <w:t>5</w:t>
      </w:r>
      <w:r w:rsidR="00B1619F">
        <w:rPr>
          <w:rFonts w:ascii="Arial Narrow" w:hAnsi="Arial Narrow" w:cs="TimesNewRoman"/>
          <w:color w:val="000000"/>
        </w:rPr>
        <w:t xml:space="preserve"> </w:t>
      </w:r>
      <w:r w:rsidRPr="003661FD">
        <w:rPr>
          <w:rFonts w:ascii="Arial Narrow" w:hAnsi="Arial Narrow" w:cs="TimesNewRoman"/>
          <w:color w:val="000000"/>
        </w:rPr>
        <w:t>regarding unauthorized release of CPNI.</w:t>
      </w:r>
      <w:r w:rsidRPr="003661FD">
        <w:rPr>
          <w:rFonts w:ascii="Arial Narrow" w:hAnsi="Arial Narrow" w:cs="TimesNewRoman"/>
          <w:color w:val="000000"/>
        </w:rPr>
        <w:br/>
      </w:r>
    </w:p>
    <w:p w:rsidR="003661FD" w:rsidRPr="003661FD" w:rsidRDefault="00B1619F" w:rsidP="003661FD">
      <w:pPr>
        <w:pStyle w:val="ListParagraph"/>
        <w:numPr>
          <w:ilvl w:val="0"/>
          <w:numId w:val="3"/>
        </w:numPr>
        <w:autoSpaceDE w:val="0"/>
        <w:autoSpaceDN w:val="0"/>
        <w:adjustRightInd w:val="0"/>
        <w:spacing w:after="0" w:line="240" w:lineRule="auto"/>
        <w:rPr>
          <w:rFonts w:ascii="Arial Narrow" w:hAnsi="Arial Narrow" w:cs="TimesNewRoman"/>
          <w:color w:val="000000"/>
        </w:rPr>
      </w:pPr>
      <w:r>
        <w:rPr>
          <w:rFonts w:ascii="Arial Narrow" w:hAnsi="Arial Narrow" w:cs="TimesNewRoman"/>
          <w:color w:val="000000"/>
        </w:rPr>
        <w:t>No breaches occurred in 201</w:t>
      </w:r>
      <w:r w:rsidR="008539AB">
        <w:rPr>
          <w:rFonts w:ascii="Arial Narrow" w:hAnsi="Arial Narrow" w:cs="TimesNewRoman"/>
          <w:color w:val="000000"/>
        </w:rPr>
        <w:t>7</w:t>
      </w:r>
      <w:r w:rsidR="003661FD" w:rsidRPr="003661FD">
        <w:rPr>
          <w:rFonts w:ascii="Arial Narrow" w:hAnsi="Arial Narrow" w:cs="TimesNewRoman"/>
          <w:color w:val="000000"/>
        </w:rPr>
        <w:t xml:space="preserve"> that required BTA to notify law enforcement under the applicable CPNI rules. Should a breach occur, BTA has established policies and procedures that comply with the FCC’s CPNI rules and BTA’s CFIUS commitments.</w:t>
      </w:r>
    </w:p>
    <w:p w:rsidR="004C0A45" w:rsidRDefault="004C0A45" w:rsidP="003661FD">
      <w:pPr>
        <w:autoSpaceDE w:val="0"/>
        <w:autoSpaceDN w:val="0"/>
        <w:adjustRightInd w:val="0"/>
        <w:rPr>
          <w:rFonts w:ascii="Arial Narrow" w:hAnsi="Arial Narrow" w:cs="TimesNewRoman"/>
          <w:color w:val="000000"/>
          <w:sz w:val="22"/>
          <w:szCs w:val="22"/>
        </w:rPr>
      </w:pPr>
    </w:p>
    <w:p w:rsidR="004C0A45" w:rsidRDefault="004C0A45" w:rsidP="004C0A45">
      <w:pPr>
        <w:rPr>
          <w:rFonts w:ascii="Arial Narrow" w:hAnsi="Arial Narrow" w:cs="TimesNewRoman"/>
          <w:sz w:val="22"/>
          <w:szCs w:val="22"/>
        </w:rPr>
      </w:pPr>
    </w:p>
    <w:p w:rsidR="003661FD" w:rsidRPr="004C0A45" w:rsidRDefault="003661FD" w:rsidP="004C0A45">
      <w:pPr>
        <w:jc w:val="center"/>
        <w:rPr>
          <w:rFonts w:ascii="Arial Narrow" w:hAnsi="Arial Narrow" w:cs="TimesNewRoman"/>
          <w:sz w:val="22"/>
          <w:szCs w:val="22"/>
        </w:rPr>
      </w:pPr>
    </w:p>
    <w:sectPr w:rsidR="003661FD" w:rsidRPr="004C0A45" w:rsidSect="00F91F29">
      <w:pgSz w:w="12240" w:h="15840" w:code="1"/>
      <w:pgMar w:top="1440" w:right="1440" w:bottom="720" w:left="1440" w:header="720" w:footer="576"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5EF6" w:rsidRDefault="001F5EF6" w:rsidP="008C5B8C">
      <w:r>
        <w:separator/>
      </w:r>
    </w:p>
  </w:endnote>
  <w:endnote w:type="continuationSeparator" w:id="0">
    <w:p w:rsidR="001F5EF6" w:rsidRDefault="001F5EF6" w:rsidP="008C5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TimesNewRoman">
    <w:panose1 w:val="00000000000000000000"/>
    <w:charset w:val="00"/>
    <w:family w:val="auto"/>
    <w:notTrueType/>
    <w:pitch w:val="default"/>
    <w:sig w:usb0="00000003" w:usb1="00000000" w:usb2="00000000" w:usb3="00000000" w:csb0="00000001" w:csb1="00000000"/>
  </w:font>
  <w:font w:name="TimesNewRoman,Bold">
    <w:panose1 w:val="00000000000000000000"/>
    <w:charset w:val="00"/>
    <w:family w:val="auto"/>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5EF6" w:rsidRDefault="001F5EF6" w:rsidP="008C5B8C">
      <w:r>
        <w:separator/>
      </w:r>
    </w:p>
  </w:footnote>
  <w:footnote w:type="continuationSeparator" w:id="0">
    <w:p w:rsidR="001F5EF6" w:rsidRDefault="001F5EF6" w:rsidP="008C5B8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652FE"/>
    <w:multiLevelType w:val="hybridMultilevel"/>
    <w:tmpl w:val="25C68A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84324DA"/>
    <w:multiLevelType w:val="hybridMultilevel"/>
    <w:tmpl w:val="FD16F1E6"/>
    <w:lvl w:ilvl="0" w:tplc="0A142072">
      <w:start w:val="1"/>
      <w:numFmt w:val="upperLetter"/>
      <w:lvlText w:val="%1."/>
      <w:lvlJc w:val="left"/>
      <w:pPr>
        <w:ind w:left="4680" w:hanging="36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2" w15:restartNumberingAfterBreak="0">
    <w:nsid w:val="6C8B5655"/>
    <w:multiLevelType w:val="hybridMultilevel"/>
    <w:tmpl w:val="23389734"/>
    <w:lvl w:ilvl="0" w:tplc="D11CCB0C">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CCA"/>
    <w:rsid w:val="00000BA4"/>
    <w:rsid w:val="000535CE"/>
    <w:rsid w:val="000626C3"/>
    <w:rsid w:val="00086F2D"/>
    <w:rsid w:val="000B6549"/>
    <w:rsid w:val="000D6AD0"/>
    <w:rsid w:val="000E137E"/>
    <w:rsid w:val="000E405B"/>
    <w:rsid w:val="000F1397"/>
    <w:rsid w:val="000F44A2"/>
    <w:rsid w:val="0010702F"/>
    <w:rsid w:val="00120B1F"/>
    <w:rsid w:val="001526A0"/>
    <w:rsid w:val="00163FF9"/>
    <w:rsid w:val="00165717"/>
    <w:rsid w:val="001742A5"/>
    <w:rsid w:val="00182340"/>
    <w:rsid w:val="001A5CE5"/>
    <w:rsid w:val="001B2537"/>
    <w:rsid w:val="001C14E3"/>
    <w:rsid w:val="001D1B72"/>
    <w:rsid w:val="001D41F6"/>
    <w:rsid w:val="001F5EF6"/>
    <w:rsid w:val="00215985"/>
    <w:rsid w:val="002278B2"/>
    <w:rsid w:val="00232D62"/>
    <w:rsid w:val="002341A0"/>
    <w:rsid w:val="0026780B"/>
    <w:rsid w:val="00283421"/>
    <w:rsid w:val="002C0872"/>
    <w:rsid w:val="002D00FD"/>
    <w:rsid w:val="002D63E8"/>
    <w:rsid w:val="002E0AB4"/>
    <w:rsid w:val="002E23B3"/>
    <w:rsid w:val="002E2997"/>
    <w:rsid w:val="002E54EA"/>
    <w:rsid w:val="002F1518"/>
    <w:rsid w:val="002F1B57"/>
    <w:rsid w:val="002F7646"/>
    <w:rsid w:val="0030278A"/>
    <w:rsid w:val="0030323F"/>
    <w:rsid w:val="00324103"/>
    <w:rsid w:val="00324DCF"/>
    <w:rsid w:val="003470AC"/>
    <w:rsid w:val="0035073E"/>
    <w:rsid w:val="00352861"/>
    <w:rsid w:val="00356638"/>
    <w:rsid w:val="003661FD"/>
    <w:rsid w:val="00373363"/>
    <w:rsid w:val="00384273"/>
    <w:rsid w:val="003A4A49"/>
    <w:rsid w:val="003B5C6E"/>
    <w:rsid w:val="003E56AE"/>
    <w:rsid w:val="003E6DE5"/>
    <w:rsid w:val="00401CB7"/>
    <w:rsid w:val="00402BD6"/>
    <w:rsid w:val="00402E40"/>
    <w:rsid w:val="004422BD"/>
    <w:rsid w:val="004455FD"/>
    <w:rsid w:val="00450790"/>
    <w:rsid w:val="00466B9A"/>
    <w:rsid w:val="00472AF0"/>
    <w:rsid w:val="00474A50"/>
    <w:rsid w:val="00487A97"/>
    <w:rsid w:val="004A1602"/>
    <w:rsid w:val="004B12D3"/>
    <w:rsid w:val="004C0A45"/>
    <w:rsid w:val="004C3581"/>
    <w:rsid w:val="004F3040"/>
    <w:rsid w:val="0050251C"/>
    <w:rsid w:val="00510508"/>
    <w:rsid w:val="0055026D"/>
    <w:rsid w:val="00555795"/>
    <w:rsid w:val="005717C4"/>
    <w:rsid w:val="005A0D8B"/>
    <w:rsid w:val="005A5456"/>
    <w:rsid w:val="005B2C0F"/>
    <w:rsid w:val="005C356E"/>
    <w:rsid w:val="005C7C95"/>
    <w:rsid w:val="0060362F"/>
    <w:rsid w:val="006169A9"/>
    <w:rsid w:val="0062304E"/>
    <w:rsid w:val="0062573D"/>
    <w:rsid w:val="006501AF"/>
    <w:rsid w:val="00650B6F"/>
    <w:rsid w:val="00654A2C"/>
    <w:rsid w:val="00663C52"/>
    <w:rsid w:val="00682164"/>
    <w:rsid w:val="006847E3"/>
    <w:rsid w:val="00696FDD"/>
    <w:rsid w:val="006A2310"/>
    <w:rsid w:val="006B0F57"/>
    <w:rsid w:val="006B3843"/>
    <w:rsid w:val="006C3032"/>
    <w:rsid w:val="006F03D6"/>
    <w:rsid w:val="007019E2"/>
    <w:rsid w:val="00707B21"/>
    <w:rsid w:val="00723006"/>
    <w:rsid w:val="0072622E"/>
    <w:rsid w:val="00731E76"/>
    <w:rsid w:val="00735D23"/>
    <w:rsid w:val="00742556"/>
    <w:rsid w:val="00743C12"/>
    <w:rsid w:val="007528BA"/>
    <w:rsid w:val="00766096"/>
    <w:rsid w:val="007714AA"/>
    <w:rsid w:val="00774039"/>
    <w:rsid w:val="00783FAA"/>
    <w:rsid w:val="00784965"/>
    <w:rsid w:val="007852C8"/>
    <w:rsid w:val="00794B07"/>
    <w:rsid w:val="00800AC3"/>
    <w:rsid w:val="00816BEA"/>
    <w:rsid w:val="008438EA"/>
    <w:rsid w:val="008446A1"/>
    <w:rsid w:val="00847E16"/>
    <w:rsid w:val="008539AB"/>
    <w:rsid w:val="008571C8"/>
    <w:rsid w:val="008662CF"/>
    <w:rsid w:val="008A054E"/>
    <w:rsid w:val="008A09E0"/>
    <w:rsid w:val="008B71DB"/>
    <w:rsid w:val="008C5B8C"/>
    <w:rsid w:val="008D5826"/>
    <w:rsid w:val="008E5305"/>
    <w:rsid w:val="008E6346"/>
    <w:rsid w:val="00901C66"/>
    <w:rsid w:val="00925045"/>
    <w:rsid w:val="009251A0"/>
    <w:rsid w:val="00931905"/>
    <w:rsid w:val="0094498F"/>
    <w:rsid w:val="00951475"/>
    <w:rsid w:val="0096158C"/>
    <w:rsid w:val="0099166E"/>
    <w:rsid w:val="00992765"/>
    <w:rsid w:val="009941DE"/>
    <w:rsid w:val="009B212A"/>
    <w:rsid w:val="009D367B"/>
    <w:rsid w:val="009F3B36"/>
    <w:rsid w:val="00A01A33"/>
    <w:rsid w:val="00A02F3E"/>
    <w:rsid w:val="00A049E2"/>
    <w:rsid w:val="00A14E3A"/>
    <w:rsid w:val="00A25953"/>
    <w:rsid w:val="00A302BF"/>
    <w:rsid w:val="00A5516D"/>
    <w:rsid w:val="00A72F97"/>
    <w:rsid w:val="00A74E61"/>
    <w:rsid w:val="00A7636D"/>
    <w:rsid w:val="00A97FF7"/>
    <w:rsid w:val="00AA2910"/>
    <w:rsid w:val="00AD63C5"/>
    <w:rsid w:val="00AE4E15"/>
    <w:rsid w:val="00AF4A11"/>
    <w:rsid w:val="00B1619F"/>
    <w:rsid w:val="00B17B41"/>
    <w:rsid w:val="00B246F0"/>
    <w:rsid w:val="00B315BA"/>
    <w:rsid w:val="00B35C1C"/>
    <w:rsid w:val="00B40BD6"/>
    <w:rsid w:val="00B531CA"/>
    <w:rsid w:val="00B62CF1"/>
    <w:rsid w:val="00B81625"/>
    <w:rsid w:val="00B900F5"/>
    <w:rsid w:val="00B9022D"/>
    <w:rsid w:val="00B93FEF"/>
    <w:rsid w:val="00B96089"/>
    <w:rsid w:val="00BB7129"/>
    <w:rsid w:val="00BD451A"/>
    <w:rsid w:val="00BE4C1B"/>
    <w:rsid w:val="00BE55B4"/>
    <w:rsid w:val="00C079DD"/>
    <w:rsid w:val="00C13761"/>
    <w:rsid w:val="00C3497D"/>
    <w:rsid w:val="00C4523D"/>
    <w:rsid w:val="00CA2D40"/>
    <w:rsid w:val="00CA50C4"/>
    <w:rsid w:val="00CC60A3"/>
    <w:rsid w:val="00CE14FE"/>
    <w:rsid w:val="00CE62D7"/>
    <w:rsid w:val="00D109E6"/>
    <w:rsid w:val="00D10CB7"/>
    <w:rsid w:val="00D11CDF"/>
    <w:rsid w:val="00D46140"/>
    <w:rsid w:val="00D51BE0"/>
    <w:rsid w:val="00DA6716"/>
    <w:rsid w:val="00DB3B0D"/>
    <w:rsid w:val="00DC4C61"/>
    <w:rsid w:val="00DD0D00"/>
    <w:rsid w:val="00E0014F"/>
    <w:rsid w:val="00E07A84"/>
    <w:rsid w:val="00E12403"/>
    <w:rsid w:val="00E1588C"/>
    <w:rsid w:val="00E21BBF"/>
    <w:rsid w:val="00E21CC5"/>
    <w:rsid w:val="00E2273F"/>
    <w:rsid w:val="00E24F82"/>
    <w:rsid w:val="00E26906"/>
    <w:rsid w:val="00E540E9"/>
    <w:rsid w:val="00E6258D"/>
    <w:rsid w:val="00E66BAF"/>
    <w:rsid w:val="00E73A6E"/>
    <w:rsid w:val="00E74620"/>
    <w:rsid w:val="00E77586"/>
    <w:rsid w:val="00E856CE"/>
    <w:rsid w:val="00E941E7"/>
    <w:rsid w:val="00EA2AE0"/>
    <w:rsid w:val="00EA568C"/>
    <w:rsid w:val="00EA56EA"/>
    <w:rsid w:val="00EA7D24"/>
    <w:rsid w:val="00EB3760"/>
    <w:rsid w:val="00EB5B40"/>
    <w:rsid w:val="00EC2F13"/>
    <w:rsid w:val="00EE6F46"/>
    <w:rsid w:val="00EF60F8"/>
    <w:rsid w:val="00F10ED4"/>
    <w:rsid w:val="00F325DF"/>
    <w:rsid w:val="00F4135E"/>
    <w:rsid w:val="00F42302"/>
    <w:rsid w:val="00F4289F"/>
    <w:rsid w:val="00F43200"/>
    <w:rsid w:val="00F468B5"/>
    <w:rsid w:val="00F7076E"/>
    <w:rsid w:val="00F846F8"/>
    <w:rsid w:val="00F847DB"/>
    <w:rsid w:val="00F91F29"/>
    <w:rsid w:val="00F95CCA"/>
    <w:rsid w:val="00FA1044"/>
    <w:rsid w:val="00FA2E16"/>
    <w:rsid w:val="00FA3724"/>
    <w:rsid w:val="00FA388B"/>
    <w:rsid w:val="00FB33B0"/>
    <w:rsid w:val="00FB4649"/>
    <w:rsid w:val="00FB7B9B"/>
    <w:rsid w:val="00FC0106"/>
    <w:rsid w:val="00FC2BFF"/>
    <w:rsid w:val="00FD7334"/>
    <w:rsid w:val="00FE4D73"/>
    <w:rsid w:val="00FF71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8770AAC4-4348-4DF0-ACBD-685238BB5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0ED4"/>
    <w:rPr>
      <w:sz w:val="24"/>
      <w:szCs w:val="24"/>
    </w:rPr>
  </w:style>
  <w:style w:type="paragraph" w:styleId="Heading1">
    <w:name w:val="heading 1"/>
    <w:basedOn w:val="Normal"/>
    <w:next w:val="Normal"/>
    <w:qFormat/>
    <w:rsid w:val="00F10ED4"/>
    <w:pPr>
      <w:keepNext/>
      <w:outlineLvl w:val="0"/>
    </w:pPr>
    <w:rPr>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rsid w:val="00F10ED4"/>
    <w:pPr>
      <w:ind w:firstLine="720"/>
    </w:pPr>
  </w:style>
  <w:style w:type="paragraph" w:styleId="FootnoteText">
    <w:name w:val="footnote text"/>
    <w:basedOn w:val="Normal"/>
    <w:semiHidden/>
    <w:rsid w:val="00FE4D73"/>
    <w:rPr>
      <w:sz w:val="20"/>
      <w:szCs w:val="20"/>
    </w:rPr>
  </w:style>
  <w:style w:type="paragraph" w:styleId="Header">
    <w:name w:val="header"/>
    <w:basedOn w:val="Normal"/>
    <w:rsid w:val="00F10ED4"/>
    <w:pPr>
      <w:tabs>
        <w:tab w:val="center" w:pos="4320"/>
        <w:tab w:val="right" w:pos="8640"/>
      </w:tabs>
    </w:pPr>
  </w:style>
  <w:style w:type="paragraph" w:styleId="Footer">
    <w:name w:val="footer"/>
    <w:basedOn w:val="Normal"/>
    <w:rsid w:val="00F10ED4"/>
    <w:pPr>
      <w:tabs>
        <w:tab w:val="center" w:pos="4320"/>
        <w:tab w:val="right" w:pos="8640"/>
      </w:tabs>
    </w:pPr>
  </w:style>
  <w:style w:type="character" w:styleId="FootnoteReference">
    <w:name w:val="footnote reference"/>
    <w:basedOn w:val="DefaultParagraphFont"/>
    <w:semiHidden/>
    <w:rsid w:val="00FE4D73"/>
    <w:rPr>
      <w:vertAlign w:val="superscript"/>
    </w:rPr>
  </w:style>
  <w:style w:type="character" w:styleId="Hyperlink">
    <w:name w:val="Hyperlink"/>
    <w:basedOn w:val="DefaultParagraphFont"/>
    <w:rsid w:val="00FE4D73"/>
    <w:rPr>
      <w:color w:val="0000FF"/>
      <w:u w:val="single"/>
    </w:rPr>
  </w:style>
  <w:style w:type="paragraph" w:styleId="DocumentMap">
    <w:name w:val="Document Map"/>
    <w:basedOn w:val="Normal"/>
    <w:semiHidden/>
    <w:rsid w:val="008D5826"/>
    <w:pPr>
      <w:shd w:val="clear" w:color="auto" w:fill="000080"/>
    </w:pPr>
    <w:rPr>
      <w:rFonts w:ascii="Tahoma" w:hAnsi="Tahoma" w:cs="Tahoma"/>
      <w:sz w:val="20"/>
      <w:szCs w:val="20"/>
    </w:rPr>
  </w:style>
  <w:style w:type="paragraph" w:styleId="NormalWeb">
    <w:name w:val="Normal (Web)"/>
    <w:basedOn w:val="Normal"/>
    <w:uiPriority w:val="99"/>
    <w:unhideWhenUsed/>
    <w:rsid w:val="00F4135E"/>
    <w:pPr>
      <w:spacing w:before="100" w:beforeAutospacing="1" w:after="100" w:afterAutospacing="1"/>
    </w:pPr>
    <w:rPr>
      <w:rFonts w:eastAsia="Calibri"/>
    </w:rPr>
  </w:style>
  <w:style w:type="character" w:styleId="Strong">
    <w:name w:val="Strong"/>
    <w:basedOn w:val="DefaultParagraphFont"/>
    <w:uiPriority w:val="22"/>
    <w:qFormat/>
    <w:rsid w:val="00F4135E"/>
    <w:rPr>
      <w:b/>
      <w:bCs/>
    </w:rPr>
  </w:style>
  <w:style w:type="paragraph" w:styleId="BalloonText">
    <w:name w:val="Balloon Text"/>
    <w:basedOn w:val="Normal"/>
    <w:link w:val="BalloonTextChar"/>
    <w:rsid w:val="00E07A84"/>
    <w:rPr>
      <w:rFonts w:ascii="Tahoma" w:hAnsi="Tahoma" w:cs="Tahoma"/>
      <w:sz w:val="16"/>
      <w:szCs w:val="16"/>
    </w:rPr>
  </w:style>
  <w:style w:type="character" w:customStyle="1" w:styleId="BalloonTextChar">
    <w:name w:val="Balloon Text Char"/>
    <w:basedOn w:val="DefaultParagraphFont"/>
    <w:link w:val="BalloonText"/>
    <w:rsid w:val="00E07A84"/>
    <w:rPr>
      <w:rFonts w:ascii="Tahoma" w:hAnsi="Tahoma" w:cs="Tahoma"/>
      <w:sz w:val="16"/>
      <w:szCs w:val="16"/>
    </w:rPr>
  </w:style>
  <w:style w:type="paragraph" w:styleId="ListParagraph">
    <w:name w:val="List Paragraph"/>
    <w:basedOn w:val="Normal"/>
    <w:uiPriority w:val="34"/>
    <w:qFormat/>
    <w:rsid w:val="003661FD"/>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495439">
      <w:bodyDiv w:val="1"/>
      <w:marLeft w:val="0"/>
      <w:marRight w:val="0"/>
      <w:marTop w:val="0"/>
      <w:marBottom w:val="0"/>
      <w:divBdr>
        <w:top w:val="none" w:sz="0" w:space="0" w:color="auto"/>
        <w:left w:val="none" w:sz="0" w:space="0" w:color="auto"/>
        <w:bottom w:val="none" w:sz="0" w:space="0" w:color="auto"/>
        <w:right w:val="none" w:sz="0" w:space="0" w:color="auto"/>
      </w:divBdr>
    </w:div>
    <w:div w:id="154422557">
      <w:bodyDiv w:val="1"/>
      <w:marLeft w:val="0"/>
      <w:marRight w:val="0"/>
      <w:marTop w:val="0"/>
      <w:marBottom w:val="0"/>
      <w:divBdr>
        <w:top w:val="none" w:sz="0" w:space="0" w:color="auto"/>
        <w:left w:val="none" w:sz="0" w:space="0" w:color="auto"/>
        <w:bottom w:val="none" w:sz="0" w:space="0" w:color="auto"/>
        <w:right w:val="none" w:sz="0" w:space="0" w:color="auto"/>
      </w:divBdr>
    </w:div>
    <w:div w:id="651370874">
      <w:bodyDiv w:val="1"/>
      <w:marLeft w:val="0"/>
      <w:marRight w:val="0"/>
      <w:marTop w:val="0"/>
      <w:marBottom w:val="0"/>
      <w:divBdr>
        <w:top w:val="none" w:sz="0" w:space="0" w:color="auto"/>
        <w:left w:val="none" w:sz="0" w:space="0" w:color="auto"/>
        <w:bottom w:val="none" w:sz="0" w:space="0" w:color="auto"/>
        <w:right w:val="none" w:sz="0" w:space="0" w:color="auto"/>
      </w:divBdr>
    </w:div>
    <w:div w:id="1178733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www.fcc.gov/cgb/ecf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465D48-30AD-4A0E-940E-A3FD1C947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Pages>
  <Words>737</Words>
  <Characters>4206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Ignite</Company>
  <LinksUpToDate>false</LinksUpToDate>
  <CharactersWithSpaces>4934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FloodC</dc:creator>
  <cp:lastModifiedBy>Cicco,L,Linda,CGLKD R</cp:lastModifiedBy>
  <cp:revision>3</cp:revision>
  <cp:lastPrinted>2018-02-28T16:59:00Z</cp:lastPrinted>
  <dcterms:created xsi:type="dcterms:W3CDTF">2018-02-28T16:54:00Z</dcterms:created>
  <dcterms:modified xsi:type="dcterms:W3CDTF">2018-02-28T17:00:00Z</dcterms:modified>
</cp:coreProperties>
</file>