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002F" w14:textId="77777777" w:rsidR="009F44B3" w:rsidRDefault="009F44B3" w:rsidP="009F44B3">
      <w:pPr>
        <w:jc w:val="center"/>
        <w:rPr>
          <w:rFonts w:ascii="Times New Roman" w:hAnsi="Times New Roman" w:cs="Times New Roman"/>
          <w:b/>
        </w:rPr>
      </w:pPr>
      <w:bookmarkStart w:id="0" w:name="_GoBack"/>
      <w:bookmarkEnd w:id="0"/>
    </w:p>
    <w:p w14:paraId="598CDE9E" w14:textId="77777777" w:rsidR="009F44B3" w:rsidRDefault="009F44B3" w:rsidP="009F44B3">
      <w:pPr>
        <w:jc w:val="center"/>
        <w:rPr>
          <w:rFonts w:ascii="Times New Roman" w:hAnsi="Times New Roman" w:cs="Times New Roman"/>
          <w:b/>
        </w:rPr>
      </w:pPr>
    </w:p>
    <w:p w14:paraId="57F04BC9" w14:textId="09E3B5CB" w:rsidR="00846753" w:rsidRPr="00C41F29" w:rsidRDefault="008D0FB2" w:rsidP="00273077">
      <w:pPr>
        <w:spacing w:after="0" w:line="240" w:lineRule="auto"/>
        <w:jc w:val="center"/>
        <w:rPr>
          <w:rFonts w:cstheme="minorHAnsi"/>
          <w:sz w:val="48"/>
          <w:szCs w:val="48"/>
        </w:rPr>
      </w:pPr>
      <w:r w:rsidRPr="00C41F29">
        <w:rPr>
          <w:rFonts w:cstheme="minorHAnsi"/>
          <w:sz w:val="48"/>
          <w:szCs w:val="48"/>
        </w:rPr>
        <w:t>Improving the Administration of E-Rate: Ensuring All Schoolchildren Get the High-Speed Broadband Connections They Need</w:t>
      </w:r>
    </w:p>
    <w:p w14:paraId="38983324" w14:textId="77777777" w:rsidR="00FE309A" w:rsidRDefault="00FE309A" w:rsidP="003E0F50">
      <w:pPr>
        <w:spacing w:after="0" w:line="240" w:lineRule="auto"/>
        <w:jc w:val="center"/>
        <w:rPr>
          <w:rFonts w:cstheme="minorHAnsi"/>
          <w:sz w:val="56"/>
          <w:szCs w:val="56"/>
        </w:rPr>
      </w:pPr>
    </w:p>
    <w:p w14:paraId="41EEACBE" w14:textId="77777777" w:rsidR="009F44B3" w:rsidRDefault="009F44B3" w:rsidP="009F44B3">
      <w:pPr>
        <w:jc w:val="center"/>
        <w:rPr>
          <w:rFonts w:ascii="Times New Roman" w:hAnsi="Times New Roman" w:cs="Times New Roman"/>
          <w:b/>
        </w:rPr>
      </w:pPr>
    </w:p>
    <w:p w14:paraId="7C65C57E" w14:textId="77777777" w:rsidR="003E0F50" w:rsidRDefault="003E0F50" w:rsidP="009F44B3">
      <w:pPr>
        <w:jc w:val="center"/>
        <w:rPr>
          <w:rFonts w:ascii="Times New Roman" w:hAnsi="Times New Roman" w:cs="Times New Roman"/>
          <w:b/>
        </w:rPr>
      </w:pPr>
    </w:p>
    <w:p w14:paraId="6756761F" w14:textId="77777777" w:rsidR="003E0F50" w:rsidRDefault="003E0F50" w:rsidP="009F44B3">
      <w:pPr>
        <w:jc w:val="center"/>
        <w:rPr>
          <w:rFonts w:ascii="Times New Roman" w:hAnsi="Times New Roman" w:cs="Times New Roman"/>
          <w:b/>
        </w:rPr>
      </w:pPr>
    </w:p>
    <w:p w14:paraId="7AFE6D22" w14:textId="77777777" w:rsidR="003E0F50" w:rsidRDefault="003E0F50" w:rsidP="009F44B3">
      <w:pPr>
        <w:jc w:val="center"/>
        <w:rPr>
          <w:rFonts w:ascii="Times New Roman" w:hAnsi="Times New Roman" w:cs="Times New Roman"/>
          <w:b/>
        </w:rPr>
      </w:pPr>
    </w:p>
    <w:p w14:paraId="0DADA472" w14:textId="77777777" w:rsidR="003E0F50" w:rsidRDefault="003E0F50" w:rsidP="009F44B3">
      <w:pPr>
        <w:jc w:val="center"/>
        <w:rPr>
          <w:rFonts w:ascii="Times New Roman" w:hAnsi="Times New Roman" w:cs="Times New Roman"/>
          <w:b/>
        </w:rPr>
      </w:pPr>
    </w:p>
    <w:p w14:paraId="598A5CE3" w14:textId="77777777" w:rsidR="003E0F50" w:rsidRDefault="003E0F50" w:rsidP="009F44B3">
      <w:pPr>
        <w:jc w:val="center"/>
        <w:rPr>
          <w:rFonts w:ascii="Times New Roman" w:hAnsi="Times New Roman" w:cs="Times New Roman"/>
          <w:b/>
        </w:rPr>
      </w:pPr>
    </w:p>
    <w:p w14:paraId="2C1A6880" w14:textId="77777777" w:rsidR="003E0F50" w:rsidRDefault="003E0F50" w:rsidP="009F44B3">
      <w:pPr>
        <w:jc w:val="center"/>
        <w:rPr>
          <w:rFonts w:ascii="Times New Roman" w:hAnsi="Times New Roman" w:cs="Times New Roman"/>
          <w:b/>
        </w:rPr>
      </w:pPr>
    </w:p>
    <w:p w14:paraId="0C27CFE5" w14:textId="77777777" w:rsidR="003E0F50" w:rsidRDefault="003E0F50" w:rsidP="009F44B3">
      <w:pPr>
        <w:jc w:val="center"/>
        <w:rPr>
          <w:rFonts w:ascii="Times New Roman" w:hAnsi="Times New Roman" w:cs="Times New Roman"/>
          <w:b/>
        </w:rPr>
      </w:pPr>
    </w:p>
    <w:p w14:paraId="6E5F2C0D" w14:textId="77777777" w:rsidR="003E0F50" w:rsidRDefault="003E0F50" w:rsidP="009F44B3">
      <w:pPr>
        <w:jc w:val="center"/>
        <w:rPr>
          <w:rFonts w:ascii="Times New Roman" w:hAnsi="Times New Roman" w:cs="Times New Roman"/>
          <w:b/>
        </w:rPr>
      </w:pPr>
    </w:p>
    <w:p w14:paraId="5429E0D6" w14:textId="77777777" w:rsidR="00CC1D69" w:rsidRDefault="00CC1D69" w:rsidP="009F44B3">
      <w:pPr>
        <w:jc w:val="center"/>
        <w:rPr>
          <w:rFonts w:ascii="Times New Roman" w:hAnsi="Times New Roman" w:cs="Times New Roman"/>
          <w:b/>
        </w:rPr>
      </w:pPr>
    </w:p>
    <w:p w14:paraId="65A36428" w14:textId="77777777" w:rsidR="003E0F50" w:rsidRDefault="003E0F50" w:rsidP="009F44B3">
      <w:pPr>
        <w:jc w:val="center"/>
        <w:rPr>
          <w:rFonts w:ascii="Times New Roman" w:hAnsi="Times New Roman" w:cs="Times New Roman"/>
          <w:b/>
        </w:rPr>
      </w:pPr>
    </w:p>
    <w:p w14:paraId="48463A62" w14:textId="77777777" w:rsidR="003E0F50" w:rsidRDefault="003E0F50" w:rsidP="009F44B3">
      <w:pPr>
        <w:jc w:val="center"/>
        <w:rPr>
          <w:rFonts w:ascii="Times New Roman" w:hAnsi="Times New Roman" w:cs="Times New Roman"/>
          <w:b/>
        </w:rPr>
      </w:pPr>
    </w:p>
    <w:p w14:paraId="493A9200" w14:textId="77777777" w:rsidR="00E62162" w:rsidRDefault="00E62162" w:rsidP="009F44B3">
      <w:pPr>
        <w:jc w:val="center"/>
        <w:rPr>
          <w:rFonts w:ascii="Times New Roman" w:hAnsi="Times New Roman" w:cs="Times New Roman"/>
          <w:b/>
        </w:rPr>
      </w:pPr>
    </w:p>
    <w:p w14:paraId="66FFE004" w14:textId="77777777" w:rsidR="00032EF6" w:rsidRDefault="00032EF6" w:rsidP="009F44B3">
      <w:pPr>
        <w:jc w:val="center"/>
        <w:rPr>
          <w:rFonts w:ascii="Times New Roman" w:hAnsi="Times New Roman" w:cs="Times New Roman"/>
          <w:b/>
        </w:rPr>
      </w:pPr>
    </w:p>
    <w:p w14:paraId="0141E761" w14:textId="77777777" w:rsidR="00032EF6" w:rsidRDefault="00032EF6" w:rsidP="009F44B3">
      <w:pPr>
        <w:jc w:val="center"/>
        <w:rPr>
          <w:rFonts w:ascii="Times New Roman" w:hAnsi="Times New Roman" w:cs="Times New Roman"/>
          <w:b/>
        </w:rPr>
      </w:pPr>
    </w:p>
    <w:p w14:paraId="58561342" w14:textId="77777777" w:rsidR="00392F78" w:rsidRDefault="00392F78" w:rsidP="00E91FD5">
      <w:pPr>
        <w:spacing w:after="0" w:line="240" w:lineRule="auto"/>
        <w:jc w:val="center"/>
        <w:rPr>
          <w:rFonts w:cstheme="minorHAnsi"/>
          <w:sz w:val="28"/>
          <w:szCs w:val="28"/>
        </w:rPr>
      </w:pPr>
      <w:r>
        <w:rPr>
          <w:rFonts w:cstheme="minorHAnsi"/>
          <w:sz w:val="28"/>
          <w:szCs w:val="28"/>
        </w:rPr>
        <w:t>Jonathan Sallet on behalf of</w:t>
      </w:r>
    </w:p>
    <w:p w14:paraId="792DAC75" w14:textId="77777777" w:rsidR="00C13486" w:rsidRPr="00032EF6" w:rsidRDefault="00C13486" w:rsidP="00E91FD5">
      <w:pPr>
        <w:spacing w:after="0" w:line="240" w:lineRule="auto"/>
        <w:jc w:val="center"/>
        <w:rPr>
          <w:rFonts w:cstheme="minorHAnsi"/>
          <w:sz w:val="28"/>
          <w:szCs w:val="28"/>
        </w:rPr>
      </w:pPr>
      <w:r w:rsidRPr="00032EF6">
        <w:rPr>
          <w:rFonts w:cstheme="minorHAnsi"/>
          <w:sz w:val="28"/>
          <w:szCs w:val="28"/>
        </w:rPr>
        <w:t xml:space="preserve">Benton Foundation &amp; </w:t>
      </w:r>
      <w:proofErr w:type="spellStart"/>
      <w:r w:rsidRPr="00032EF6">
        <w:rPr>
          <w:rFonts w:cstheme="minorHAnsi"/>
          <w:sz w:val="28"/>
          <w:szCs w:val="28"/>
        </w:rPr>
        <w:t>EducationSuperHighway</w:t>
      </w:r>
      <w:proofErr w:type="spellEnd"/>
    </w:p>
    <w:p w14:paraId="683DF5DE" w14:textId="01C39B8A" w:rsidR="00E21B5C" w:rsidRPr="00032EF6" w:rsidRDefault="00784E15" w:rsidP="00E91FD5">
      <w:pPr>
        <w:spacing w:after="0" w:line="240" w:lineRule="auto"/>
        <w:jc w:val="center"/>
        <w:rPr>
          <w:rFonts w:cstheme="minorHAnsi"/>
        </w:rPr>
      </w:pPr>
      <w:r>
        <w:rPr>
          <w:rFonts w:cstheme="minorHAnsi"/>
        </w:rPr>
        <w:t xml:space="preserve">March </w:t>
      </w:r>
      <w:r w:rsidR="00C54AEC">
        <w:rPr>
          <w:rFonts w:cstheme="minorHAnsi"/>
        </w:rPr>
        <w:t>11</w:t>
      </w:r>
      <w:r w:rsidR="00E21B5C" w:rsidRPr="00032EF6">
        <w:rPr>
          <w:rFonts w:cstheme="minorHAnsi"/>
        </w:rPr>
        <w:t>, 2019</w:t>
      </w:r>
    </w:p>
    <w:p w14:paraId="2C0E3F1C" w14:textId="77777777" w:rsidR="00982092" w:rsidRDefault="00982092" w:rsidP="00212A92">
      <w:pPr>
        <w:rPr>
          <w:rFonts w:ascii="Times New Roman" w:hAnsi="Times New Roman" w:cs="Times New Roman"/>
        </w:rPr>
      </w:pPr>
    </w:p>
    <w:p w14:paraId="7AE0B69B" w14:textId="77777777" w:rsidR="00460002" w:rsidRDefault="00460002" w:rsidP="003E0F50">
      <w:pPr>
        <w:ind w:firstLine="278"/>
        <w:jc w:val="center"/>
        <w:rPr>
          <w:rFonts w:cstheme="minorHAnsi"/>
          <w:b/>
          <w:sz w:val="28"/>
          <w:szCs w:val="28"/>
        </w:rPr>
      </w:pPr>
    </w:p>
    <w:p w14:paraId="19CA5478" w14:textId="77777777" w:rsidR="000E0E67" w:rsidRDefault="000E0E67" w:rsidP="003E0F50">
      <w:pPr>
        <w:ind w:firstLine="278"/>
        <w:jc w:val="center"/>
        <w:rPr>
          <w:rFonts w:cstheme="minorHAnsi"/>
          <w:b/>
          <w:sz w:val="28"/>
          <w:szCs w:val="28"/>
        </w:rPr>
      </w:pPr>
    </w:p>
    <w:p w14:paraId="02173253" w14:textId="77777777" w:rsidR="00212A92" w:rsidRPr="00032EF6" w:rsidRDefault="00212A92" w:rsidP="003E0F50">
      <w:pPr>
        <w:ind w:firstLine="278"/>
        <w:jc w:val="center"/>
        <w:rPr>
          <w:rFonts w:cstheme="minorHAnsi"/>
          <w:b/>
        </w:rPr>
      </w:pPr>
      <w:r w:rsidRPr="00032EF6">
        <w:rPr>
          <w:rFonts w:cstheme="minorHAnsi"/>
          <w:b/>
          <w:sz w:val="28"/>
          <w:szCs w:val="28"/>
        </w:rPr>
        <w:t>Table of Contents</w:t>
      </w:r>
    </w:p>
    <w:p w14:paraId="4EF24C81" w14:textId="77777777" w:rsidR="00460002" w:rsidRPr="00032EF6" w:rsidRDefault="00460002" w:rsidP="008F2BA9">
      <w:pPr>
        <w:pStyle w:val="ListParagraph"/>
        <w:spacing w:after="0" w:line="240" w:lineRule="auto"/>
        <w:ind w:left="278"/>
        <w:contextualSpacing w:val="0"/>
        <w:rPr>
          <w:rFonts w:cstheme="minorHAnsi"/>
        </w:rPr>
      </w:pPr>
    </w:p>
    <w:p w14:paraId="406DCD1A" w14:textId="719C3E64" w:rsidR="00212A92" w:rsidRPr="00032EF6" w:rsidRDefault="00212A92" w:rsidP="00022A10">
      <w:pPr>
        <w:pStyle w:val="ListParagraph"/>
        <w:spacing w:after="80" w:line="240" w:lineRule="auto"/>
        <w:ind w:left="562" w:firstLine="446"/>
        <w:contextualSpacing w:val="0"/>
        <w:rPr>
          <w:rFonts w:cstheme="minorHAnsi"/>
        </w:rPr>
      </w:pPr>
      <w:r w:rsidRPr="00032EF6">
        <w:rPr>
          <w:rFonts w:cstheme="minorHAnsi"/>
        </w:rPr>
        <w:t xml:space="preserve">Executive </w:t>
      </w:r>
      <w:r w:rsidR="00A730B5" w:rsidRPr="00032EF6">
        <w:rPr>
          <w:rFonts w:cstheme="minorHAnsi"/>
        </w:rPr>
        <w:t>S</w:t>
      </w:r>
      <w:r w:rsidRPr="00032EF6">
        <w:rPr>
          <w:rFonts w:cstheme="minorHAnsi"/>
        </w:rPr>
        <w:t>ummary</w:t>
      </w:r>
      <w:r w:rsidR="003837CC" w:rsidRPr="003837CC">
        <w:rPr>
          <w:rFonts w:cstheme="minorHAnsi"/>
          <w:sz w:val="8"/>
          <w:szCs w:val="8"/>
        </w:rPr>
        <w:t xml:space="preserve"> </w:t>
      </w:r>
      <w:proofErr w:type="gramStart"/>
      <w:r w:rsidR="008F2BA9" w:rsidRPr="00032EF6">
        <w:rPr>
          <w:rFonts w:cstheme="minorHAnsi"/>
        </w:rPr>
        <w:t>………………</w:t>
      </w:r>
      <w:r w:rsidR="00A730B5" w:rsidRPr="00032EF6">
        <w:rPr>
          <w:rFonts w:cstheme="minorHAnsi"/>
        </w:rPr>
        <w:t>...</w:t>
      </w:r>
      <w:r w:rsidR="008F2BA9" w:rsidRPr="00032EF6">
        <w:rPr>
          <w:rFonts w:cstheme="minorHAnsi"/>
        </w:rPr>
        <w:t>……………</w:t>
      </w:r>
      <w:r w:rsidR="00032EF6">
        <w:rPr>
          <w:rFonts w:cstheme="minorHAnsi"/>
        </w:rPr>
        <w:t>………………..</w:t>
      </w:r>
      <w:r w:rsidR="008F2BA9" w:rsidRPr="00032EF6">
        <w:rPr>
          <w:rFonts w:cstheme="minorHAnsi"/>
        </w:rPr>
        <w:t>……………………………</w:t>
      </w:r>
      <w:r w:rsidR="00032EF6">
        <w:rPr>
          <w:rFonts w:cstheme="minorHAnsi"/>
        </w:rPr>
        <w:t>.</w:t>
      </w:r>
      <w:r w:rsidR="008F2BA9" w:rsidRPr="00032EF6">
        <w:rPr>
          <w:rFonts w:cstheme="minorHAnsi"/>
        </w:rPr>
        <w:t>…</w:t>
      </w:r>
      <w:r w:rsidR="00D72BFF">
        <w:rPr>
          <w:rFonts w:cstheme="minorHAnsi"/>
        </w:rPr>
        <w:t>……</w:t>
      </w:r>
      <w:r w:rsidR="008F2BA9" w:rsidRPr="00032EF6">
        <w:rPr>
          <w:rFonts w:cstheme="minorHAnsi"/>
        </w:rPr>
        <w:t>…</w:t>
      </w:r>
      <w:r w:rsidR="00165BEE">
        <w:rPr>
          <w:rFonts w:cstheme="minorHAnsi"/>
        </w:rPr>
        <w:t>….</w:t>
      </w:r>
      <w:r w:rsidR="008F2BA9" w:rsidRPr="00032EF6">
        <w:rPr>
          <w:rFonts w:cstheme="minorHAnsi"/>
        </w:rPr>
        <w:t>2</w:t>
      </w:r>
      <w:proofErr w:type="gramEnd"/>
    </w:p>
    <w:p w14:paraId="4F623FED" w14:textId="215F7646" w:rsidR="00212A92" w:rsidRPr="00032EF6" w:rsidRDefault="00212A92" w:rsidP="00460002">
      <w:pPr>
        <w:pStyle w:val="ListParagraph"/>
        <w:numPr>
          <w:ilvl w:val="0"/>
          <w:numId w:val="19"/>
        </w:numPr>
        <w:spacing w:after="80" w:line="240" w:lineRule="auto"/>
        <w:ind w:left="994"/>
        <w:contextualSpacing w:val="0"/>
        <w:rPr>
          <w:rFonts w:cstheme="minorHAnsi"/>
        </w:rPr>
      </w:pPr>
      <w:r w:rsidRPr="00032EF6">
        <w:rPr>
          <w:rFonts w:cstheme="minorHAnsi"/>
        </w:rPr>
        <w:t>Introduction</w:t>
      </w:r>
      <w:r w:rsidR="00595274" w:rsidRPr="00595274">
        <w:rPr>
          <w:rFonts w:cstheme="minorHAnsi"/>
          <w:sz w:val="8"/>
          <w:szCs w:val="8"/>
        </w:rPr>
        <w:t xml:space="preserve"> </w:t>
      </w:r>
      <w:r w:rsidR="008F2BA9" w:rsidRPr="00032EF6">
        <w:rPr>
          <w:rFonts w:cstheme="minorHAnsi"/>
        </w:rPr>
        <w:t>………………………………………………</w:t>
      </w:r>
      <w:r w:rsidR="00032EF6">
        <w:rPr>
          <w:rFonts w:cstheme="minorHAnsi"/>
        </w:rPr>
        <w:t>…………………..</w:t>
      </w:r>
      <w:r w:rsidR="008F2BA9" w:rsidRPr="00032EF6">
        <w:rPr>
          <w:rFonts w:cstheme="minorHAnsi"/>
        </w:rPr>
        <w:t>…………………</w:t>
      </w:r>
      <w:r w:rsidR="00032EF6">
        <w:rPr>
          <w:rFonts w:cstheme="minorHAnsi"/>
        </w:rPr>
        <w:t>.</w:t>
      </w:r>
      <w:r w:rsidR="008F2BA9" w:rsidRPr="00032EF6">
        <w:rPr>
          <w:rFonts w:cstheme="minorHAnsi"/>
        </w:rPr>
        <w:t>…</w:t>
      </w:r>
      <w:r w:rsidR="00D72BFF">
        <w:rPr>
          <w:rFonts w:cstheme="minorHAnsi"/>
        </w:rPr>
        <w:t>…..</w:t>
      </w:r>
      <w:r w:rsidR="008F2BA9" w:rsidRPr="00032EF6">
        <w:rPr>
          <w:rFonts w:cstheme="minorHAnsi"/>
        </w:rPr>
        <w:t>…</w:t>
      </w:r>
      <w:r w:rsidR="00032EF6">
        <w:rPr>
          <w:rFonts w:cstheme="minorHAnsi"/>
        </w:rPr>
        <w:t>.</w:t>
      </w:r>
      <w:r w:rsidR="00A730B5" w:rsidRPr="00032EF6">
        <w:rPr>
          <w:rFonts w:cstheme="minorHAnsi"/>
        </w:rPr>
        <w:t>…</w:t>
      </w:r>
      <w:r w:rsidR="003E0F50" w:rsidRPr="00032EF6">
        <w:rPr>
          <w:rFonts w:cstheme="minorHAnsi"/>
        </w:rPr>
        <w:t>.</w:t>
      </w:r>
      <w:r w:rsidR="00A730B5" w:rsidRPr="00032EF6">
        <w:rPr>
          <w:rFonts w:cstheme="minorHAnsi"/>
        </w:rPr>
        <w:t>..</w:t>
      </w:r>
      <w:r w:rsidR="00165BEE">
        <w:rPr>
          <w:rFonts w:cstheme="minorHAnsi"/>
        </w:rPr>
        <w:t>.</w:t>
      </w:r>
      <w:r w:rsidR="008F2BA9" w:rsidRPr="00032EF6">
        <w:rPr>
          <w:rFonts w:cstheme="minorHAnsi"/>
        </w:rPr>
        <w:t>4</w:t>
      </w:r>
    </w:p>
    <w:p w14:paraId="073B4D01" w14:textId="68C53C03" w:rsidR="009301B3" w:rsidRPr="00032EF6" w:rsidRDefault="00154AE3" w:rsidP="00154AE3">
      <w:pPr>
        <w:pStyle w:val="ListParagraph"/>
        <w:numPr>
          <w:ilvl w:val="0"/>
          <w:numId w:val="19"/>
        </w:numPr>
        <w:spacing w:after="80" w:line="240" w:lineRule="auto"/>
        <w:contextualSpacing w:val="0"/>
        <w:rPr>
          <w:rFonts w:cstheme="minorHAnsi"/>
        </w:rPr>
      </w:pPr>
      <w:r>
        <w:rPr>
          <w:rFonts w:cstheme="minorHAnsi"/>
        </w:rPr>
        <w:t xml:space="preserve">The Disproportionate </w:t>
      </w:r>
      <w:r w:rsidRPr="00154AE3">
        <w:rPr>
          <w:rFonts w:cstheme="minorHAnsi"/>
        </w:rPr>
        <w:t>Impact of Special</w:t>
      </w:r>
      <w:r w:rsidR="0001143D">
        <w:rPr>
          <w:rFonts w:cstheme="minorHAnsi"/>
        </w:rPr>
        <w:t xml:space="preserve"> </w:t>
      </w:r>
      <w:r>
        <w:rPr>
          <w:rFonts w:cstheme="minorHAnsi"/>
        </w:rPr>
        <w:t>Construction Review</w:t>
      </w:r>
      <w:r w:rsidR="00595274" w:rsidRPr="00FE0A6B">
        <w:rPr>
          <w:rFonts w:cstheme="minorHAnsi"/>
          <w:sz w:val="8"/>
          <w:szCs w:val="8"/>
        </w:rPr>
        <w:t xml:space="preserve"> </w:t>
      </w:r>
      <w:r w:rsidR="008F2BA9" w:rsidRPr="00032EF6">
        <w:rPr>
          <w:rFonts w:cstheme="minorHAnsi"/>
        </w:rPr>
        <w:t>………</w:t>
      </w:r>
      <w:r w:rsidR="00032EF6">
        <w:rPr>
          <w:rFonts w:cstheme="minorHAnsi"/>
        </w:rPr>
        <w:t>….</w:t>
      </w:r>
      <w:r w:rsidR="008F2BA9" w:rsidRPr="00032EF6">
        <w:rPr>
          <w:rFonts w:cstheme="minorHAnsi"/>
        </w:rPr>
        <w:t>……</w:t>
      </w:r>
      <w:r w:rsidR="003E0F50" w:rsidRPr="00032EF6">
        <w:rPr>
          <w:rFonts w:cstheme="minorHAnsi"/>
        </w:rPr>
        <w:t>.</w:t>
      </w:r>
      <w:r w:rsidR="008F2BA9" w:rsidRPr="00032EF6">
        <w:rPr>
          <w:rFonts w:cstheme="minorHAnsi"/>
        </w:rPr>
        <w:t>…</w:t>
      </w:r>
      <w:r w:rsidR="00D72BFF">
        <w:rPr>
          <w:rFonts w:cstheme="minorHAnsi"/>
        </w:rPr>
        <w:t>………</w:t>
      </w:r>
      <w:r w:rsidR="00165BEE">
        <w:rPr>
          <w:rFonts w:cstheme="minorHAnsi"/>
        </w:rPr>
        <w:t>…</w:t>
      </w:r>
      <w:r w:rsidR="00C54AEC">
        <w:rPr>
          <w:rFonts w:cstheme="minorHAnsi"/>
        </w:rPr>
        <w:t>7</w:t>
      </w:r>
    </w:p>
    <w:p w14:paraId="3FA451B5" w14:textId="20999881" w:rsidR="009301B3" w:rsidRPr="005E2519" w:rsidRDefault="00212A92" w:rsidP="005E2519">
      <w:pPr>
        <w:pStyle w:val="ListParagraph"/>
        <w:numPr>
          <w:ilvl w:val="0"/>
          <w:numId w:val="19"/>
        </w:numPr>
        <w:spacing w:after="0" w:line="240" w:lineRule="auto"/>
        <w:ind w:left="994"/>
        <w:contextualSpacing w:val="0"/>
        <w:rPr>
          <w:rFonts w:cstheme="minorHAnsi"/>
        </w:rPr>
      </w:pPr>
      <w:r w:rsidRPr="00032EF6">
        <w:rPr>
          <w:rFonts w:cstheme="minorHAnsi"/>
        </w:rPr>
        <w:t>Den</w:t>
      </w:r>
      <w:r w:rsidR="00154AE3">
        <w:rPr>
          <w:rFonts w:cstheme="minorHAnsi"/>
        </w:rPr>
        <w:t>ial and Delay of</w:t>
      </w:r>
      <w:r w:rsidRPr="00032EF6">
        <w:rPr>
          <w:rFonts w:cstheme="minorHAnsi"/>
        </w:rPr>
        <w:t xml:space="preserve"> Fiber Applications</w:t>
      </w:r>
      <w:r w:rsidR="008F2BA9" w:rsidRPr="00032EF6">
        <w:rPr>
          <w:rFonts w:cstheme="minorHAnsi"/>
        </w:rPr>
        <w:t xml:space="preserve"> </w:t>
      </w:r>
      <w:r w:rsidR="003E0F50" w:rsidRPr="005E2519">
        <w:rPr>
          <w:rFonts w:cstheme="minorHAnsi"/>
        </w:rPr>
        <w:t>Based on</w:t>
      </w:r>
      <w:r w:rsidRPr="005E2519">
        <w:rPr>
          <w:rFonts w:cstheme="minorHAnsi"/>
        </w:rPr>
        <w:t xml:space="preserve"> an Undisclosed Cost</w:t>
      </w:r>
      <w:r w:rsidR="005E2519">
        <w:rPr>
          <w:rFonts w:cstheme="minorHAnsi"/>
        </w:rPr>
        <w:t xml:space="preserve"> </w:t>
      </w:r>
      <w:proofErr w:type="gramStart"/>
      <w:r w:rsidRPr="005E2519">
        <w:rPr>
          <w:rFonts w:cstheme="minorHAnsi"/>
        </w:rPr>
        <w:t>Model</w:t>
      </w:r>
      <w:r w:rsidR="00595274" w:rsidRPr="00595274">
        <w:rPr>
          <w:rFonts w:cstheme="minorHAnsi"/>
          <w:sz w:val="12"/>
          <w:szCs w:val="12"/>
        </w:rPr>
        <w:t xml:space="preserve"> </w:t>
      </w:r>
      <w:r w:rsidR="00D72BFF">
        <w:rPr>
          <w:rFonts w:cstheme="minorHAnsi"/>
        </w:rPr>
        <w:t>..</w:t>
      </w:r>
      <w:r w:rsidR="00A730B5" w:rsidRPr="005E2519">
        <w:rPr>
          <w:rFonts w:cstheme="minorHAnsi"/>
        </w:rPr>
        <w:t>...</w:t>
      </w:r>
      <w:proofErr w:type="gramEnd"/>
      <w:r w:rsidR="00165BEE">
        <w:rPr>
          <w:rFonts w:cstheme="minorHAnsi"/>
        </w:rPr>
        <w:t xml:space="preserve"> </w:t>
      </w:r>
      <w:r w:rsidR="008F2BA9" w:rsidRPr="005E2519">
        <w:rPr>
          <w:rFonts w:cstheme="minorHAnsi"/>
        </w:rPr>
        <w:t>10</w:t>
      </w:r>
    </w:p>
    <w:p w14:paraId="1DDF70EF" w14:textId="4C2928E5" w:rsidR="009301B3" w:rsidRPr="00032EF6" w:rsidRDefault="00212A92" w:rsidP="00460002">
      <w:pPr>
        <w:pStyle w:val="ListParagraph"/>
        <w:numPr>
          <w:ilvl w:val="0"/>
          <w:numId w:val="19"/>
        </w:numPr>
        <w:spacing w:before="80" w:after="80" w:line="240" w:lineRule="auto"/>
        <w:ind w:left="994"/>
        <w:contextualSpacing w:val="0"/>
        <w:rPr>
          <w:rFonts w:cstheme="minorHAnsi"/>
        </w:rPr>
      </w:pPr>
      <w:r w:rsidRPr="00032EF6">
        <w:rPr>
          <w:rFonts w:cstheme="minorHAnsi"/>
        </w:rPr>
        <w:t xml:space="preserve">USAC’s Inappropriate Use of An </w:t>
      </w:r>
      <w:r w:rsidR="007F706C">
        <w:rPr>
          <w:rFonts w:cstheme="minorHAnsi"/>
        </w:rPr>
        <w:t>Unapproved</w:t>
      </w:r>
      <w:r w:rsidRPr="00032EF6">
        <w:rPr>
          <w:rFonts w:cstheme="minorHAnsi"/>
        </w:rPr>
        <w:t xml:space="preserve"> Questionnaire</w:t>
      </w:r>
      <w:r w:rsidR="008F2BA9" w:rsidRPr="00032EF6">
        <w:rPr>
          <w:rFonts w:cstheme="minorHAnsi"/>
        </w:rPr>
        <w:t>………</w:t>
      </w:r>
      <w:r w:rsidR="00032EF6">
        <w:rPr>
          <w:rFonts w:cstheme="minorHAnsi"/>
        </w:rPr>
        <w:t>..…</w:t>
      </w:r>
      <w:r w:rsidR="008F2BA9" w:rsidRPr="00032EF6">
        <w:rPr>
          <w:rFonts w:cstheme="minorHAnsi"/>
        </w:rPr>
        <w:t>………………</w:t>
      </w:r>
      <w:r w:rsidR="003E0F50" w:rsidRPr="00032EF6">
        <w:rPr>
          <w:rFonts w:cstheme="minorHAnsi"/>
        </w:rPr>
        <w:t>…</w:t>
      </w:r>
      <w:r w:rsidR="00A730B5" w:rsidRPr="00032EF6">
        <w:rPr>
          <w:rFonts w:cstheme="minorHAnsi"/>
        </w:rPr>
        <w:t>1</w:t>
      </w:r>
      <w:r w:rsidR="00C54AEC">
        <w:rPr>
          <w:rFonts w:cstheme="minorHAnsi"/>
        </w:rPr>
        <w:t>5</w:t>
      </w:r>
    </w:p>
    <w:p w14:paraId="1FFC550C" w14:textId="2CE93A36" w:rsidR="009301B3" w:rsidRPr="00032EF6" w:rsidRDefault="00212A92" w:rsidP="00460002">
      <w:pPr>
        <w:pStyle w:val="ListParagraph"/>
        <w:numPr>
          <w:ilvl w:val="0"/>
          <w:numId w:val="19"/>
        </w:numPr>
        <w:spacing w:after="80" w:line="240" w:lineRule="auto"/>
        <w:ind w:left="994"/>
        <w:contextualSpacing w:val="0"/>
        <w:rPr>
          <w:rFonts w:cstheme="minorHAnsi"/>
        </w:rPr>
      </w:pPr>
      <w:r w:rsidRPr="00032EF6">
        <w:rPr>
          <w:rFonts w:cstheme="minorHAnsi"/>
        </w:rPr>
        <w:t xml:space="preserve">The </w:t>
      </w:r>
      <w:r w:rsidR="00154AE3">
        <w:rPr>
          <w:rFonts w:cstheme="minorHAnsi"/>
        </w:rPr>
        <w:t xml:space="preserve">Uncertainty </w:t>
      </w:r>
      <w:r w:rsidRPr="00032EF6">
        <w:rPr>
          <w:rFonts w:cstheme="minorHAnsi"/>
        </w:rPr>
        <w:t xml:space="preserve">of the </w:t>
      </w:r>
      <w:r w:rsidR="00607AF8" w:rsidRPr="00032EF6">
        <w:rPr>
          <w:rFonts w:cstheme="minorHAnsi"/>
        </w:rPr>
        <w:t>Cardinal</w:t>
      </w:r>
      <w:r w:rsidR="00607AF8">
        <w:rPr>
          <w:rFonts w:cstheme="minorHAnsi"/>
        </w:rPr>
        <w:t xml:space="preserve"> Change</w:t>
      </w:r>
      <w:r w:rsidR="00607AF8" w:rsidRPr="00032EF6">
        <w:rPr>
          <w:rFonts w:cstheme="minorHAnsi"/>
        </w:rPr>
        <w:t xml:space="preserve"> Rule</w:t>
      </w:r>
      <w:r w:rsidR="00A730B5" w:rsidRPr="00032EF6">
        <w:rPr>
          <w:rFonts w:cstheme="minorHAnsi"/>
        </w:rPr>
        <w:t>…</w:t>
      </w:r>
      <w:r w:rsidR="00870716">
        <w:rPr>
          <w:rFonts w:cstheme="minorHAnsi"/>
        </w:rPr>
        <w:t>…..</w:t>
      </w:r>
      <w:r w:rsidR="00071E66">
        <w:rPr>
          <w:rFonts w:cstheme="minorHAnsi"/>
        </w:rPr>
        <w:t>.</w:t>
      </w:r>
      <w:r w:rsidR="00A730B5" w:rsidRPr="00032EF6">
        <w:rPr>
          <w:rFonts w:cstheme="minorHAnsi"/>
        </w:rPr>
        <w:t>…………………</w:t>
      </w:r>
      <w:r w:rsidR="00D72BFF">
        <w:rPr>
          <w:rFonts w:cstheme="minorHAnsi"/>
        </w:rPr>
        <w:t>.</w:t>
      </w:r>
      <w:r w:rsidR="00A730B5" w:rsidRPr="00032EF6">
        <w:rPr>
          <w:rFonts w:cstheme="minorHAnsi"/>
        </w:rPr>
        <w:t>…</w:t>
      </w:r>
      <w:r w:rsidR="00032EF6">
        <w:rPr>
          <w:rFonts w:cstheme="minorHAnsi"/>
        </w:rPr>
        <w:t>………..</w:t>
      </w:r>
      <w:r w:rsidR="00A730B5" w:rsidRPr="00032EF6">
        <w:rPr>
          <w:rFonts w:cstheme="minorHAnsi"/>
        </w:rPr>
        <w:t>…………</w:t>
      </w:r>
      <w:r w:rsidR="003E0F50" w:rsidRPr="00032EF6">
        <w:rPr>
          <w:rFonts w:cstheme="minorHAnsi"/>
        </w:rPr>
        <w:t>.</w:t>
      </w:r>
      <w:r w:rsidR="00A730B5" w:rsidRPr="00032EF6">
        <w:rPr>
          <w:rFonts w:cstheme="minorHAnsi"/>
        </w:rPr>
        <w:t>…20</w:t>
      </w:r>
    </w:p>
    <w:p w14:paraId="2E576721" w14:textId="5B7F7582" w:rsidR="009301B3" w:rsidRPr="00032EF6" w:rsidRDefault="00212A92" w:rsidP="00460002">
      <w:pPr>
        <w:pStyle w:val="ListParagraph"/>
        <w:numPr>
          <w:ilvl w:val="0"/>
          <w:numId w:val="19"/>
        </w:numPr>
        <w:spacing w:after="80" w:line="240" w:lineRule="auto"/>
        <w:ind w:left="994"/>
        <w:contextualSpacing w:val="0"/>
        <w:rPr>
          <w:rFonts w:cstheme="minorHAnsi"/>
        </w:rPr>
      </w:pPr>
      <w:r w:rsidRPr="00032EF6">
        <w:rPr>
          <w:rFonts w:cstheme="minorHAnsi"/>
        </w:rPr>
        <w:t xml:space="preserve">Amortization: An Old Problem </w:t>
      </w:r>
      <w:r w:rsidR="0019521E">
        <w:rPr>
          <w:rFonts w:cstheme="minorHAnsi"/>
        </w:rPr>
        <w:t>Should Be Permanently Resolved</w:t>
      </w:r>
      <w:r w:rsidR="003837CC" w:rsidRPr="003837CC">
        <w:rPr>
          <w:rFonts w:cstheme="minorHAnsi"/>
          <w:sz w:val="8"/>
          <w:szCs w:val="8"/>
        </w:rPr>
        <w:t xml:space="preserve"> </w:t>
      </w:r>
      <w:r w:rsidR="00A730B5" w:rsidRPr="00032EF6">
        <w:rPr>
          <w:rFonts w:cstheme="minorHAnsi"/>
        </w:rPr>
        <w:t>…</w:t>
      </w:r>
      <w:r w:rsidR="0072365D">
        <w:rPr>
          <w:rFonts w:cstheme="minorHAnsi"/>
        </w:rPr>
        <w:t>…</w:t>
      </w:r>
      <w:r w:rsidR="00D72BFF">
        <w:rPr>
          <w:rFonts w:cstheme="minorHAnsi"/>
        </w:rPr>
        <w:t>…….</w:t>
      </w:r>
      <w:r w:rsidR="0072365D">
        <w:rPr>
          <w:rFonts w:cstheme="minorHAnsi"/>
        </w:rPr>
        <w:t>………</w:t>
      </w:r>
      <w:r w:rsidR="00717ADF">
        <w:rPr>
          <w:rFonts w:cstheme="minorHAnsi"/>
        </w:rPr>
        <w:t>..</w:t>
      </w:r>
      <w:r w:rsidR="003E0F50" w:rsidRPr="00032EF6">
        <w:rPr>
          <w:rFonts w:cstheme="minorHAnsi"/>
        </w:rPr>
        <w:t>..</w:t>
      </w:r>
      <w:r w:rsidR="00A730B5" w:rsidRPr="00032EF6">
        <w:rPr>
          <w:rFonts w:cstheme="minorHAnsi"/>
        </w:rPr>
        <w:t>.21</w:t>
      </w:r>
    </w:p>
    <w:p w14:paraId="6A1C388C" w14:textId="43CBD1F2" w:rsidR="00A730B5" w:rsidRPr="00032EF6" w:rsidRDefault="00212A92" w:rsidP="00460002">
      <w:pPr>
        <w:pStyle w:val="ListParagraph"/>
        <w:numPr>
          <w:ilvl w:val="0"/>
          <w:numId w:val="19"/>
        </w:numPr>
        <w:spacing w:after="80" w:line="240" w:lineRule="auto"/>
        <w:ind w:left="994"/>
        <w:contextualSpacing w:val="0"/>
        <w:rPr>
          <w:rFonts w:cstheme="minorHAnsi"/>
        </w:rPr>
      </w:pPr>
      <w:r w:rsidRPr="00032EF6">
        <w:rPr>
          <w:rFonts w:cstheme="minorHAnsi"/>
        </w:rPr>
        <w:t>Conclusion</w:t>
      </w:r>
      <w:r w:rsidR="003837CC" w:rsidRPr="003837CC">
        <w:rPr>
          <w:rFonts w:cstheme="minorHAnsi"/>
          <w:sz w:val="4"/>
          <w:szCs w:val="4"/>
        </w:rPr>
        <w:t xml:space="preserve"> </w:t>
      </w:r>
      <w:r w:rsidR="00A730B5" w:rsidRPr="00032EF6">
        <w:rPr>
          <w:rFonts w:cstheme="minorHAnsi"/>
        </w:rPr>
        <w:t>……………………………………………………</w:t>
      </w:r>
      <w:r w:rsidR="00032EF6">
        <w:rPr>
          <w:rFonts w:cstheme="minorHAnsi"/>
        </w:rPr>
        <w:t>…………………….</w:t>
      </w:r>
      <w:r w:rsidR="00A730B5" w:rsidRPr="00032EF6">
        <w:rPr>
          <w:rFonts w:cstheme="minorHAnsi"/>
        </w:rPr>
        <w:t>…………………</w:t>
      </w:r>
      <w:r w:rsidR="00D72BFF">
        <w:rPr>
          <w:rFonts w:cstheme="minorHAnsi"/>
        </w:rPr>
        <w:t>…..</w:t>
      </w:r>
      <w:r w:rsidR="00A730B5" w:rsidRPr="00032EF6">
        <w:rPr>
          <w:rFonts w:cstheme="minorHAnsi"/>
        </w:rPr>
        <w:t>……</w:t>
      </w:r>
      <w:r w:rsidR="003E0F50" w:rsidRPr="00032EF6">
        <w:rPr>
          <w:rFonts w:cstheme="minorHAnsi"/>
        </w:rPr>
        <w:t>.</w:t>
      </w:r>
      <w:r w:rsidR="00A730B5" w:rsidRPr="00032EF6">
        <w:rPr>
          <w:rFonts w:cstheme="minorHAnsi"/>
        </w:rPr>
        <w:t>..22</w:t>
      </w:r>
    </w:p>
    <w:p w14:paraId="57B251B6" w14:textId="2050E7F8" w:rsidR="00FE309A" w:rsidRDefault="00A730B5" w:rsidP="00A730B5">
      <w:pPr>
        <w:pStyle w:val="ListParagraph"/>
        <w:spacing w:after="0" w:line="240" w:lineRule="auto"/>
        <w:ind w:left="556" w:firstLine="442"/>
        <w:contextualSpacing w:val="0"/>
        <w:rPr>
          <w:rFonts w:cstheme="minorHAnsi"/>
        </w:rPr>
      </w:pPr>
      <w:r w:rsidRPr="00032EF6">
        <w:rPr>
          <w:rFonts w:cstheme="minorHAnsi"/>
        </w:rPr>
        <w:t>Appendix A</w:t>
      </w:r>
      <w:r w:rsidR="00BC6813" w:rsidRPr="00BC6813">
        <w:rPr>
          <w:rFonts w:cstheme="minorHAnsi"/>
          <w:sz w:val="8"/>
          <w:szCs w:val="8"/>
        </w:rPr>
        <w:t xml:space="preserve"> </w:t>
      </w:r>
      <w:r w:rsidRPr="00032EF6">
        <w:rPr>
          <w:rFonts w:cstheme="minorHAnsi"/>
        </w:rPr>
        <w:t>…………………………………………………</w:t>
      </w:r>
      <w:r w:rsidR="00032EF6">
        <w:rPr>
          <w:rFonts w:cstheme="minorHAnsi"/>
        </w:rPr>
        <w:t>…………………….</w:t>
      </w:r>
      <w:r w:rsidRPr="00032EF6">
        <w:rPr>
          <w:rFonts w:cstheme="minorHAnsi"/>
        </w:rPr>
        <w:t>………………………</w:t>
      </w:r>
      <w:r w:rsidR="00717ADF">
        <w:rPr>
          <w:rFonts w:cstheme="minorHAnsi"/>
        </w:rPr>
        <w:t>…..</w:t>
      </w:r>
      <w:r w:rsidR="003E0F50" w:rsidRPr="00032EF6">
        <w:rPr>
          <w:rFonts w:cstheme="minorHAnsi"/>
        </w:rPr>
        <w:t>.</w:t>
      </w:r>
      <w:r w:rsidRPr="00032EF6">
        <w:rPr>
          <w:rFonts w:cstheme="minorHAnsi"/>
        </w:rPr>
        <w:t>…</w:t>
      </w:r>
      <w:r w:rsidR="003E0F50" w:rsidRPr="00032EF6">
        <w:rPr>
          <w:rFonts w:cstheme="minorHAnsi"/>
        </w:rPr>
        <w:t>.</w:t>
      </w:r>
      <w:r w:rsidRPr="00032EF6">
        <w:rPr>
          <w:rFonts w:cstheme="minorHAnsi"/>
        </w:rPr>
        <w:t>2</w:t>
      </w:r>
      <w:r w:rsidR="00E42778">
        <w:rPr>
          <w:rFonts w:cstheme="minorHAnsi"/>
        </w:rPr>
        <w:t>4</w:t>
      </w:r>
    </w:p>
    <w:p w14:paraId="6EF5A0CF" w14:textId="77777777" w:rsidR="00FE309A" w:rsidRDefault="00FE309A" w:rsidP="00A730B5">
      <w:pPr>
        <w:pStyle w:val="ListParagraph"/>
        <w:spacing w:after="0" w:line="240" w:lineRule="auto"/>
        <w:ind w:left="556" w:firstLine="442"/>
        <w:contextualSpacing w:val="0"/>
        <w:rPr>
          <w:rFonts w:cstheme="minorHAnsi"/>
        </w:rPr>
      </w:pPr>
    </w:p>
    <w:p w14:paraId="60272267" w14:textId="77777777" w:rsidR="00FE309A" w:rsidRDefault="00FE309A" w:rsidP="00A730B5">
      <w:pPr>
        <w:pStyle w:val="ListParagraph"/>
        <w:spacing w:after="0" w:line="240" w:lineRule="auto"/>
        <w:ind w:left="556" w:firstLine="442"/>
        <w:contextualSpacing w:val="0"/>
        <w:rPr>
          <w:rFonts w:ascii="Times New Roman" w:hAnsi="Times New Roman" w:cs="Times New Roman"/>
          <w:b/>
        </w:rPr>
      </w:pPr>
    </w:p>
    <w:p w14:paraId="585FB756" w14:textId="77777777" w:rsidR="00FE309A" w:rsidRDefault="00FE309A" w:rsidP="00A730B5">
      <w:pPr>
        <w:pStyle w:val="ListParagraph"/>
        <w:spacing w:after="0" w:line="240" w:lineRule="auto"/>
        <w:ind w:left="556" w:firstLine="442"/>
        <w:contextualSpacing w:val="0"/>
        <w:rPr>
          <w:rFonts w:ascii="Times New Roman" w:hAnsi="Times New Roman" w:cs="Times New Roman"/>
          <w:b/>
        </w:rPr>
      </w:pPr>
    </w:p>
    <w:p w14:paraId="6B0949FD" w14:textId="77777777" w:rsidR="00FE309A" w:rsidRDefault="00FE309A" w:rsidP="00FE309A">
      <w:pPr>
        <w:spacing w:after="0" w:line="240" w:lineRule="auto"/>
        <w:rPr>
          <w:rFonts w:ascii="Calibri" w:eastAsia="Calibri" w:hAnsi="Calibri" w:cs="Times New Roman"/>
          <w:b/>
        </w:rPr>
      </w:pPr>
    </w:p>
    <w:p w14:paraId="5E685064" w14:textId="77777777" w:rsidR="000E0E67" w:rsidRDefault="000E0E67" w:rsidP="00FE309A">
      <w:pPr>
        <w:spacing w:after="0" w:line="240" w:lineRule="auto"/>
        <w:rPr>
          <w:rFonts w:ascii="Calibri" w:eastAsia="Calibri" w:hAnsi="Calibri" w:cs="Times New Roman"/>
          <w:b/>
        </w:rPr>
      </w:pPr>
    </w:p>
    <w:p w14:paraId="62E0F24E" w14:textId="77777777" w:rsidR="000E0E67" w:rsidRDefault="000E0E67" w:rsidP="00FE309A">
      <w:pPr>
        <w:spacing w:after="0" w:line="240" w:lineRule="auto"/>
        <w:rPr>
          <w:rFonts w:ascii="Calibri" w:eastAsia="Calibri" w:hAnsi="Calibri" w:cs="Times New Roman"/>
          <w:b/>
        </w:rPr>
      </w:pPr>
    </w:p>
    <w:p w14:paraId="6ABC7C57" w14:textId="77777777" w:rsidR="000E0E67" w:rsidRDefault="000E0E67" w:rsidP="00FE309A">
      <w:pPr>
        <w:spacing w:after="0" w:line="240" w:lineRule="auto"/>
        <w:rPr>
          <w:rFonts w:ascii="Calibri" w:eastAsia="Calibri" w:hAnsi="Calibri" w:cs="Times New Roman"/>
          <w:b/>
        </w:rPr>
      </w:pPr>
    </w:p>
    <w:p w14:paraId="5BFB05EC" w14:textId="77777777" w:rsidR="000E0E67" w:rsidRDefault="000E0E67" w:rsidP="00FE309A">
      <w:pPr>
        <w:spacing w:after="0" w:line="240" w:lineRule="auto"/>
        <w:rPr>
          <w:rFonts w:ascii="Calibri" w:eastAsia="Calibri" w:hAnsi="Calibri" w:cs="Times New Roman"/>
          <w:b/>
        </w:rPr>
      </w:pPr>
    </w:p>
    <w:p w14:paraId="481F134A" w14:textId="77777777" w:rsidR="00E62162" w:rsidRDefault="00E62162" w:rsidP="00FE309A">
      <w:pPr>
        <w:spacing w:after="0" w:line="240" w:lineRule="auto"/>
        <w:rPr>
          <w:rFonts w:ascii="Calibri" w:eastAsia="Calibri" w:hAnsi="Calibri" w:cs="Times New Roman"/>
          <w:b/>
        </w:rPr>
      </w:pPr>
    </w:p>
    <w:p w14:paraId="6B33CE94" w14:textId="77777777" w:rsidR="00E62162" w:rsidRDefault="00E62162" w:rsidP="00FE309A">
      <w:pPr>
        <w:spacing w:after="0" w:line="240" w:lineRule="auto"/>
        <w:rPr>
          <w:rFonts w:ascii="Calibri" w:eastAsia="Calibri" w:hAnsi="Calibri" w:cs="Times New Roman"/>
          <w:b/>
        </w:rPr>
      </w:pPr>
    </w:p>
    <w:p w14:paraId="3D88F5A8" w14:textId="77777777" w:rsidR="00E62162" w:rsidRDefault="00E62162" w:rsidP="00FE309A">
      <w:pPr>
        <w:spacing w:after="0" w:line="240" w:lineRule="auto"/>
        <w:rPr>
          <w:rFonts w:ascii="Calibri" w:eastAsia="Calibri" w:hAnsi="Calibri" w:cs="Times New Roman"/>
          <w:b/>
        </w:rPr>
      </w:pPr>
    </w:p>
    <w:p w14:paraId="4A450B77" w14:textId="77777777" w:rsidR="00E62162" w:rsidRDefault="00E62162" w:rsidP="00FE309A">
      <w:pPr>
        <w:spacing w:after="0" w:line="240" w:lineRule="auto"/>
        <w:rPr>
          <w:rFonts w:ascii="Calibri" w:eastAsia="Calibri" w:hAnsi="Calibri" w:cs="Times New Roman"/>
          <w:b/>
        </w:rPr>
      </w:pPr>
    </w:p>
    <w:p w14:paraId="55D5C17A" w14:textId="77777777" w:rsidR="00E62162" w:rsidRDefault="00E62162" w:rsidP="00FE309A">
      <w:pPr>
        <w:spacing w:after="0" w:line="240" w:lineRule="auto"/>
        <w:rPr>
          <w:rFonts w:ascii="Calibri" w:eastAsia="Calibri" w:hAnsi="Calibri" w:cs="Times New Roman"/>
          <w:b/>
        </w:rPr>
      </w:pPr>
    </w:p>
    <w:p w14:paraId="046C38B8" w14:textId="77777777" w:rsidR="000E0E67" w:rsidRDefault="000E0E67" w:rsidP="00FE309A">
      <w:pPr>
        <w:spacing w:after="0" w:line="240" w:lineRule="auto"/>
        <w:rPr>
          <w:rFonts w:ascii="Calibri" w:eastAsia="Calibri" w:hAnsi="Calibri" w:cs="Times New Roman"/>
          <w:b/>
        </w:rPr>
      </w:pPr>
    </w:p>
    <w:p w14:paraId="46C8A4B0" w14:textId="77777777" w:rsidR="000E0E67" w:rsidRDefault="000E0E67" w:rsidP="00FE309A">
      <w:pPr>
        <w:spacing w:after="0" w:line="240" w:lineRule="auto"/>
        <w:rPr>
          <w:rFonts w:ascii="Calibri" w:eastAsia="Calibri" w:hAnsi="Calibri" w:cs="Times New Roman"/>
          <w:b/>
        </w:rPr>
      </w:pPr>
    </w:p>
    <w:p w14:paraId="1A62D679" w14:textId="77777777" w:rsidR="00FE309A" w:rsidRDefault="00FE309A" w:rsidP="00FE309A">
      <w:pPr>
        <w:spacing w:after="0" w:line="240" w:lineRule="auto"/>
        <w:rPr>
          <w:rFonts w:ascii="Calibri" w:eastAsia="Calibri" w:hAnsi="Calibri" w:cs="Times New Roman"/>
          <w:b/>
        </w:rPr>
      </w:pPr>
    </w:p>
    <w:p w14:paraId="5CCA8DF6" w14:textId="77777777" w:rsidR="00FE309A" w:rsidRPr="00FE309A" w:rsidRDefault="00FE309A" w:rsidP="00FE309A">
      <w:pPr>
        <w:spacing w:after="0" w:line="240" w:lineRule="auto"/>
        <w:rPr>
          <w:rFonts w:eastAsia="Calibri" w:cstheme="minorHAnsi"/>
        </w:rPr>
      </w:pPr>
      <w:r w:rsidRPr="00FE309A">
        <w:rPr>
          <w:rFonts w:eastAsia="Calibri" w:cstheme="minorHAnsi"/>
          <w:b/>
        </w:rPr>
        <w:t>Jonathan B. Sallet</w:t>
      </w:r>
      <w:r w:rsidRPr="00FE309A">
        <w:rPr>
          <w:rFonts w:eastAsia="Calibri" w:cstheme="minorHAnsi"/>
        </w:rPr>
        <w:t xml:space="preserve"> is a Benton Senior Fellow. He joined Benton in mid-2017 after serving as FCC General Counsel/Acting General Counsel (2013-2016), and Deputy Assistant Attorney General for Litigation, Antitrust Division, US Department of Justice (2016-2017).</w:t>
      </w:r>
    </w:p>
    <w:p w14:paraId="61B5046F" w14:textId="77777777" w:rsidR="00FE309A" w:rsidRPr="00FE309A" w:rsidRDefault="00FE309A" w:rsidP="00FE309A">
      <w:pPr>
        <w:spacing w:after="0" w:line="240" w:lineRule="auto"/>
        <w:rPr>
          <w:rFonts w:eastAsia="Calibri" w:cstheme="minorHAnsi"/>
        </w:rPr>
      </w:pPr>
    </w:p>
    <w:p w14:paraId="78781001" w14:textId="77777777" w:rsidR="00FE309A" w:rsidRPr="00FE309A" w:rsidRDefault="00FE309A" w:rsidP="00FE309A">
      <w:pPr>
        <w:spacing w:after="0" w:line="240" w:lineRule="auto"/>
        <w:rPr>
          <w:rFonts w:eastAsia="Calibri" w:cstheme="minorHAnsi"/>
        </w:rPr>
      </w:pPr>
      <w:r w:rsidRPr="00FE309A">
        <w:rPr>
          <w:rFonts w:eastAsia="Calibri" w:cstheme="minorHAnsi"/>
          <w:b/>
        </w:rPr>
        <w:t>Benton Foundation</w:t>
      </w:r>
      <w:r w:rsidRPr="00FE309A">
        <w:rPr>
          <w:rFonts w:eastAsia="Calibri" w:cstheme="minorHAnsi"/>
        </w:rPr>
        <w:t>’s goal is to bring open, affordable, high-capacity broadband to all people in the U.S. to ensure a thriving democracy.</w:t>
      </w:r>
    </w:p>
    <w:p w14:paraId="310AF5F8" w14:textId="77777777" w:rsidR="00FE309A" w:rsidRPr="00FE309A" w:rsidRDefault="00FE309A" w:rsidP="00FE309A">
      <w:pPr>
        <w:spacing w:after="0" w:line="240" w:lineRule="auto"/>
        <w:rPr>
          <w:rFonts w:eastAsia="Calibri" w:cstheme="minorHAnsi"/>
          <w:b/>
        </w:rPr>
      </w:pPr>
    </w:p>
    <w:p w14:paraId="0C8AEB76" w14:textId="77777777" w:rsidR="00FE309A" w:rsidRDefault="00FE309A" w:rsidP="00FE309A">
      <w:pPr>
        <w:spacing w:after="0" w:line="240" w:lineRule="auto"/>
        <w:rPr>
          <w:rFonts w:eastAsia="Calibri" w:cstheme="minorHAnsi"/>
        </w:rPr>
      </w:pPr>
      <w:proofErr w:type="spellStart"/>
      <w:r w:rsidRPr="00FE309A">
        <w:rPr>
          <w:rFonts w:eastAsia="Calibri" w:cstheme="minorHAnsi"/>
          <w:b/>
        </w:rPr>
        <w:t>EducationSuperhighway</w:t>
      </w:r>
      <w:r w:rsidRPr="00FE309A">
        <w:rPr>
          <w:rFonts w:eastAsia="Calibri" w:cstheme="minorHAnsi"/>
        </w:rPr>
        <w:t>’s</w:t>
      </w:r>
      <w:proofErr w:type="spellEnd"/>
      <w:r w:rsidRPr="00FE309A">
        <w:rPr>
          <w:rFonts w:eastAsia="Calibri" w:cstheme="minorHAnsi"/>
        </w:rPr>
        <w:t xml:space="preserve"> mission is to</w:t>
      </w:r>
      <w:r w:rsidRPr="00FE309A">
        <w:rPr>
          <w:rFonts w:eastAsia="Calibri" w:cstheme="minorHAnsi"/>
          <w:b/>
        </w:rPr>
        <w:t xml:space="preserve"> </w:t>
      </w:r>
      <w:r w:rsidRPr="0051769B">
        <w:rPr>
          <w:rFonts w:eastAsia="Calibri" w:cstheme="minorHAnsi"/>
        </w:rPr>
        <w:t>up</w:t>
      </w:r>
      <w:r w:rsidRPr="00FE309A">
        <w:rPr>
          <w:rFonts w:eastAsia="Calibri" w:cstheme="minorHAnsi"/>
        </w:rPr>
        <w:t xml:space="preserve">grade the Internet access in every </w:t>
      </w:r>
      <w:r w:rsidRPr="00EF235E">
        <w:rPr>
          <w:rFonts w:eastAsia="Calibri" w:cstheme="minorHAnsi"/>
        </w:rPr>
        <w:t>public-school</w:t>
      </w:r>
      <w:r w:rsidRPr="00FE309A">
        <w:rPr>
          <w:rFonts w:eastAsia="Calibri" w:cstheme="minorHAnsi"/>
        </w:rPr>
        <w:t xml:space="preserve"> classroom in America so that every student has the opportunity to take advantage of the promise of digital learning.</w:t>
      </w:r>
    </w:p>
    <w:p w14:paraId="4877C277" w14:textId="77777777" w:rsidR="00E62162" w:rsidRDefault="00E62162">
      <w:pPr>
        <w:rPr>
          <w:b/>
        </w:rPr>
      </w:pPr>
      <w:r>
        <w:rPr>
          <w:b/>
        </w:rPr>
        <w:br w:type="page"/>
      </w:r>
    </w:p>
    <w:p w14:paraId="356C3CB4" w14:textId="77777777" w:rsidR="00E62162" w:rsidRDefault="00E62162">
      <w:pPr>
        <w:rPr>
          <w:b/>
        </w:rPr>
      </w:pPr>
    </w:p>
    <w:p w14:paraId="14618755" w14:textId="77777777" w:rsidR="00DA6589" w:rsidRDefault="00DA6589">
      <w:pPr>
        <w:rPr>
          <w:b/>
        </w:rPr>
      </w:pPr>
      <w:r>
        <w:rPr>
          <w:b/>
        </w:rPr>
        <w:t>Executive Summary</w:t>
      </w:r>
    </w:p>
    <w:p w14:paraId="7C91755B" w14:textId="77777777" w:rsidR="00DA6589" w:rsidRDefault="00B72F6C" w:rsidP="00B72F6C">
      <w:pPr>
        <w:ind w:firstLine="720"/>
      </w:pPr>
      <w:r>
        <w:t xml:space="preserve">The Federal Communication Commission’s Schools and Libraries program, popularly known as E-rate, has accomplished a great deal in its two decades. And the Commission has kept its eye on the future, recognizing that schools require big broadband connections to serve their students; connections robust enough to deliver </w:t>
      </w:r>
      <w:r w:rsidRPr="00B72F6C">
        <w:t xml:space="preserve">at least 100 Mbps per 1,000 students and staff in the short term and 1 </w:t>
      </w:r>
      <w:proofErr w:type="spellStart"/>
      <w:r w:rsidRPr="00B72F6C">
        <w:t>Gbps</w:t>
      </w:r>
      <w:proofErr w:type="spellEnd"/>
      <w:r w:rsidRPr="00B72F6C">
        <w:t xml:space="preserve"> per 1,000 users in the longer term</w:t>
      </w:r>
      <w:r>
        <w:t>.</w:t>
      </w:r>
    </w:p>
    <w:p w14:paraId="73502E13" w14:textId="07090931" w:rsidR="00B72F6C" w:rsidRPr="00B72F6C" w:rsidRDefault="00B72F6C" w:rsidP="00236DBE">
      <w:r>
        <w:tab/>
        <w:t>But administration of the E-rate program, and particularly the work of the Universal Service Administrative Company</w:t>
      </w:r>
      <w:r w:rsidR="00C13486">
        <w:t xml:space="preserve"> (</w:t>
      </w:r>
      <w:r>
        <w:t>known as USAC</w:t>
      </w:r>
      <w:r w:rsidR="00C13486">
        <w:t>)</w:t>
      </w:r>
      <w:r w:rsidR="001B0897">
        <w:t>,</w:t>
      </w:r>
      <w:r>
        <w:t xml:space="preserve"> is delaying and frustrating the ability of schools to gain the broadband c</w:t>
      </w:r>
      <w:r w:rsidR="00236DBE">
        <w:t>onnections their students need, especially where the most cost-effective approach is to empower new fiber connections through a process known as “</w:t>
      </w:r>
      <w:r w:rsidR="00803610">
        <w:t>special construction</w:t>
      </w:r>
      <w:r w:rsidR="003728B0">
        <w:t>.</w:t>
      </w:r>
      <w:r w:rsidR="00236DBE">
        <w:t>”</w:t>
      </w:r>
      <w:r w:rsidR="003D2E58">
        <w:rPr>
          <w:rStyle w:val="FootnoteReference"/>
        </w:rPr>
        <w:footnoteReference w:id="2"/>
      </w:r>
      <w:r w:rsidR="00236DBE">
        <w:t xml:space="preserve"> </w:t>
      </w:r>
    </w:p>
    <w:p w14:paraId="66047F38" w14:textId="387C5353" w:rsidR="00B72F6C" w:rsidRPr="00236DBE" w:rsidRDefault="00236DBE" w:rsidP="00236DBE">
      <w:pPr>
        <w:ind w:firstLine="720"/>
      </w:pPr>
      <w:r w:rsidRPr="00236DBE">
        <w:t>Indeed</w:t>
      </w:r>
      <w:r w:rsidRPr="00625677">
        <w:t xml:space="preserve">, </w:t>
      </w:r>
      <w:proofErr w:type="spellStart"/>
      <w:r w:rsidR="00B72F6C" w:rsidRPr="0054017A">
        <w:t>EducationSuperHighway’s</w:t>
      </w:r>
      <w:proofErr w:type="spellEnd"/>
      <w:r w:rsidR="00B72F6C" w:rsidRPr="0054017A">
        <w:t xml:space="preserve"> analysis of the treatment of </w:t>
      </w:r>
      <w:r w:rsidR="00803610">
        <w:t>special construction</w:t>
      </w:r>
      <w:r w:rsidR="00B72F6C" w:rsidRPr="0054017A">
        <w:t xml:space="preserve"> projects in 2016 and 2017</w:t>
      </w:r>
      <w:r w:rsidR="00B72F6C" w:rsidRPr="00625677">
        <w:t xml:space="preserve"> paints</w:t>
      </w:r>
      <w:r w:rsidR="00B72F6C" w:rsidRPr="00236DBE">
        <w:t xml:space="preserve"> a</w:t>
      </w:r>
      <w:r w:rsidR="00154AE3">
        <w:t xml:space="preserve"> </w:t>
      </w:r>
      <w:r w:rsidR="00B72F6C" w:rsidRPr="00236DBE">
        <w:t>portrait of a progra</w:t>
      </w:r>
      <w:r>
        <w:t xml:space="preserve">m being administered contrary to </w:t>
      </w:r>
      <w:r w:rsidR="00B72F6C" w:rsidRPr="00236DBE">
        <w:t>USAC’s role, the Commission’</w:t>
      </w:r>
      <w:r>
        <w:t>s purposes</w:t>
      </w:r>
      <w:r w:rsidR="00B72F6C" w:rsidRPr="00236DBE">
        <w:t>, and even the legal requirements that bind USAC.</w:t>
      </w:r>
      <w:r w:rsidR="0028548A">
        <w:rPr>
          <w:rStyle w:val="FootnoteReference"/>
        </w:rPr>
        <w:footnoteReference w:id="3"/>
      </w:r>
      <w:r w:rsidR="00B72F6C" w:rsidRPr="00236DBE">
        <w:t xml:space="preserve"> During the 2016-17 funding cycles, </w:t>
      </w:r>
      <w:proofErr w:type="spellStart"/>
      <w:r w:rsidR="00543659">
        <w:t>EducationSuperHighway</w:t>
      </w:r>
      <w:proofErr w:type="spellEnd"/>
      <w:r w:rsidR="00B72F6C" w:rsidRPr="00236DBE">
        <w:t xml:space="preserve"> found a pattern of </w:t>
      </w:r>
      <w:r w:rsidR="003801CE">
        <w:t>mistakes</w:t>
      </w:r>
      <w:r w:rsidR="00B72F6C" w:rsidRPr="00236DBE">
        <w:t xml:space="preserve"> in the rejection of </w:t>
      </w:r>
      <w:r w:rsidR="00803610">
        <w:t>special construction</w:t>
      </w:r>
      <w:r w:rsidR="00B72F6C" w:rsidRPr="00236DBE">
        <w:t xml:space="preserve"> applications as a result of USAC’s administration of the E-rate program.</w:t>
      </w:r>
      <w:r w:rsidR="00697940">
        <w:rPr>
          <w:rStyle w:val="FootnoteReference"/>
        </w:rPr>
        <w:footnoteReference w:id="4"/>
      </w:r>
      <w:r w:rsidR="00B72F6C" w:rsidRPr="00236DBE">
        <w:t xml:space="preserve"> By that analysis, USAC erred by:</w:t>
      </w:r>
    </w:p>
    <w:p w14:paraId="55916BF9" w14:textId="1784C28F" w:rsidR="00B72F6C" w:rsidRPr="00625677" w:rsidRDefault="00B72F6C" w:rsidP="00625677">
      <w:pPr>
        <w:pStyle w:val="ListParagraph"/>
        <w:numPr>
          <w:ilvl w:val="0"/>
          <w:numId w:val="17"/>
        </w:numPr>
        <w:spacing w:after="120"/>
        <w:contextualSpacing w:val="0"/>
      </w:pPr>
      <w:r w:rsidRPr="00625677">
        <w:t xml:space="preserve">Using an undisclosed cost model (13% of all denied </w:t>
      </w:r>
      <w:r w:rsidR="00803610">
        <w:t>special construction</w:t>
      </w:r>
      <w:r w:rsidRPr="00625677">
        <w:t xml:space="preserve"> projects),</w:t>
      </w:r>
    </w:p>
    <w:p w14:paraId="46E8071F" w14:textId="40E7EA5F" w:rsidR="00B72F6C" w:rsidRPr="00625677" w:rsidRDefault="00B72F6C" w:rsidP="00625677">
      <w:pPr>
        <w:pStyle w:val="ListParagraph"/>
        <w:numPr>
          <w:ilvl w:val="0"/>
          <w:numId w:val="17"/>
        </w:numPr>
        <w:spacing w:after="120"/>
        <w:contextualSpacing w:val="0"/>
      </w:pPr>
      <w:r w:rsidRPr="00625677">
        <w:t xml:space="preserve">Requiring that applicants </w:t>
      </w:r>
      <w:r w:rsidR="00A328AC">
        <w:t xml:space="preserve">attempt to </w:t>
      </w:r>
      <w:r w:rsidRPr="00625677">
        <w:t xml:space="preserve">answer </w:t>
      </w:r>
      <w:proofErr w:type="spellStart"/>
      <w:r w:rsidR="00A328AC">
        <w:t>unvette</w:t>
      </w:r>
      <w:r w:rsidR="003801CE">
        <w:t>d</w:t>
      </w:r>
      <w:proofErr w:type="spellEnd"/>
      <w:r w:rsidR="003801CE">
        <w:t>, unapproved and often unnecessary questions</w:t>
      </w:r>
      <w:r w:rsidRPr="00625677">
        <w:t xml:space="preserve"> (10% of all denied </w:t>
      </w:r>
      <w:r w:rsidR="00803610">
        <w:t>special construction</w:t>
      </w:r>
      <w:r w:rsidRPr="00625677">
        <w:t xml:space="preserve"> projects), and </w:t>
      </w:r>
    </w:p>
    <w:p w14:paraId="4E661E08" w14:textId="3DA93F62" w:rsidR="00B72F6C" w:rsidRPr="00625677" w:rsidRDefault="00B72F6C" w:rsidP="00625677">
      <w:pPr>
        <w:pStyle w:val="ListParagraph"/>
        <w:numPr>
          <w:ilvl w:val="0"/>
          <w:numId w:val="17"/>
        </w:numPr>
        <w:contextualSpacing w:val="0"/>
      </w:pPr>
      <w:r w:rsidRPr="00625677">
        <w:t xml:space="preserve">Rejecting an applicant’s choice of the most cost-effective approach without adequate justification (5% of all denied </w:t>
      </w:r>
      <w:r w:rsidR="00803610">
        <w:t>special construction</w:t>
      </w:r>
      <w:r w:rsidRPr="00625677">
        <w:t xml:space="preserve"> projects).</w:t>
      </w:r>
      <w:r w:rsidR="00D316B0" w:rsidRPr="00625677">
        <w:rPr>
          <w:rStyle w:val="FootnoteReference"/>
        </w:rPr>
        <w:footnoteReference w:id="5"/>
      </w:r>
      <w:r w:rsidRPr="00625677">
        <w:t xml:space="preserve">  </w:t>
      </w:r>
    </w:p>
    <w:p w14:paraId="3E9AF6B8" w14:textId="77777777" w:rsidR="00236DBE" w:rsidRDefault="00E34523" w:rsidP="00B72F6C">
      <w:r>
        <w:t xml:space="preserve">In other words, </w:t>
      </w:r>
      <w:r w:rsidR="00B72F6C" w:rsidRPr="00236DBE">
        <w:t>USAC has constructed barriers to schools that are properly seeking support for</w:t>
      </w:r>
      <w:r w:rsidR="00993814">
        <w:t xml:space="preserve"> </w:t>
      </w:r>
      <w:r w:rsidR="00C13486">
        <w:t>precisely the kind of</w:t>
      </w:r>
      <w:r w:rsidR="00B72F6C" w:rsidRPr="00236DBE">
        <w:t xml:space="preserve"> services that the Commission has expressly approved, including “[c]</w:t>
      </w:r>
      <w:proofErr w:type="spellStart"/>
      <w:r w:rsidR="00B72F6C" w:rsidRPr="00236DBE">
        <w:t>onstruction</w:t>
      </w:r>
      <w:proofErr w:type="spellEnd"/>
      <w:r w:rsidR="00B72F6C" w:rsidRPr="00236DBE">
        <w:t xml:space="preserve"> of network facilities that the applicant will own.”</w:t>
      </w:r>
      <w:r w:rsidR="00DE7657">
        <w:rPr>
          <w:rStyle w:val="FootnoteReference"/>
        </w:rPr>
        <w:footnoteReference w:id="6"/>
      </w:r>
      <w:r w:rsidR="00B72F6C" w:rsidRPr="00236DBE">
        <w:t xml:space="preserve">  </w:t>
      </w:r>
    </w:p>
    <w:p w14:paraId="2E6FFB9D" w14:textId="77777777" w:rsidR="00C54AEC" w:rsidRDefault="00C54AEC">
      <w:r>
        <w:br w:type="page"/>
      </w:r>
    </w:p>
    <w:p w14:paraId="59F7B434" w14:textId="7D728BF4" w:rsidR="00B72F6C" w:rsidRPr="00236DBE" w:rsidRDefault="00B72F6C" w:rsidP="00236DBE">
      <w:pPr>
        <w:ind w:firstLine="720"/>
      </w:pPr>
      <w:r w:rsidRPr="00236DBE">
        <w:lastRenderedPageBreak/>
        <w:t xml:space="preserve">As this white paper </w:t>
      </w:r>
      <w:r w:rsidR="00C13486">
        <w:t>explains</w:t>
      </w:r>
      <w:r w:rsidRPr="00236DBE">
        <w:t>, USAC has, and continues to:</w:t>
      </w:r>
    </w:p>
    <w:p w14:paraId="0EC9140C" w14:textId="69EDF04E" w:rsidR="00B72F6C" w:rsidRPr="00236DBE" w:rsidRDefault="00B72F6C" w:rsidP="00625677">
      <w:pPr>
        <w:pStyle w:val="ListParagraph"/>
        <w:numPr>
          <w:ilvl w:val="0"/>
          <w:numId w:val="17"/>
        </w:numPr>
        <w:spacing w:after="120"/>
        <w:contextualSpacing w:val="0"/>
      </w:pPr>
      <w:r w:rsidRPr="00236DBE">
        <w:t xml:space="preserve">Delay and deny </w:t>
      </w:r>
      <w:r w:rsidR="00803610">
        <w:t>special construction</w:t>
      </w:r>
      <w:r w:rsidRPr="00236DBE">
        <w:t xml:space="preserve"> and other applications through the use of a cost model that has neither been approved for use by USAC</w:t>
      </w:r>
      <w:r w:rsidR="00BD2251">
        <w:t>,</w:t>
      </w:r>
      <w:r w:rsidRPr="00236DBE">
        <w:t xml:space="preserve"> nor was subject to any form of public-comment process to test its suitability for the E-rate program </w:t>
      </w:r>
      <w:r w:rsidR="00212A92">
        <w:t>(Section I</w:t>
      </w:r>
      <w:r w:rsidR="00784E15">
        <w:t>II</w:t>
      </w:r>
      <w:r w:rsidRPr="00236DBE">
        <w:t xml:space="preserve">),  </w:t>
      </w:r>
    </w:p>
    <w:p w14:paraId="5312CC14" w14:textId="1495671B" w:rsidR="00B72F6C" w:rsidRPr="00236DBE" w:rsidRDefault="00B72F6C" w:rsidP="00625677">
      <w:pPr>
        <w:pStyle w:val="ListParagraph"/>
        <w:numPr>
          <w:ilvl w:val="0"/>
          <w:numId w:val="17"/>
        </w:numPr>
        <w:spacing w:after="120"/>
        <w:contextualSpacing w:val="0"/>
      </w:pPr>
      <w:r w:rsidRPr="00236DBE">
        <w:t xml:space="preserve">Reject applications for failure to satisfy questions that are confusing and opaque but that, in any event, have not received approval under the Paperwork Reduction Act from the Office of Management and Budget (OMB) and thus cannot justify the denials </w:t>
      </w:r>
      <w:r w:rsidR="00212A92">
        <w:t>that USAC has issued, (Section</w:t>
      </w:r>
      <w:r w:rsidR="00784E15">
        <w:t xml:space="preserve"> I</w:t>
      </w:r>
      <w:r w:rsidRPr="00236DBE">
        <w:t>V)</w:t>
      </w:r>
      <w:r w:rsidR="00F501E7">
        <w:t>,</w:t>
      </w:r>
      <w:r w:rsidRPr="00236DBE">
        <w:t xml:space="preserve"> and </w:t>
      </w:r>
    </w:p>
    <w:p w14:paraId="132BEC31" w14:textId="015C5501" w:rsidR="00B72F6C" w:rsidRPr="00236DBE" w:rsidRDefault="00B72F6C" w:rsidP="00625677">
      <w:pPr>
        <w:pStyle w:val="ListParagraph"/>
        <w:numPr>
          <w:ilvl w:val="0"/>
          <w:numId w:val="17"/>
        </w:numPr>
        <w:spacing w:after="240"/>
        <w:contextualSpacing w:val="0"/>
      </w:pPr>
      <w:r w:rsidRPr="00236DBE">
        <w:t xml:space="preserve">Invoke </w:t>
      </w:r>
      <w:r w:rsidR="00E91408">
        <w:t xml:space="preserve">the </w:t>
      </w:r>
      <w:r w:rsidRPr="00236DBE">
        <w:t>so-called “cardinal change</w:t>
      </w:r>
      <w:r w:rsidR="00E91408">
        <w:t xml:space="preserve"> rule</w:t>
      </w:r>
      <w:r w:rsidRPr="00236DBE">
        <w:t xml:space="preserve">” to force denial or re-institution of bidding processes without fair notice or </w:t>
      </w:r>
      <w:r w:rsidR="00154AE3">
        <w:t>appropriate guidance</w:t>
      </w:r>
      <w:r w:rsidRPr="00236DBE">
        <w:t xml:space="preserve"> (Section V).</w:t>
      </w:r>
    </w:p>
    <w:p w14:paraId="1710CDDF" w14:textId="015DB547" w:rsidR="00B72F6C" w:rsidRPr="00236DBE" w:rsidRDefault="00B72F6C" w:rsidP="00E34523">
      <w:pPr>
        <w:ind w:firstLine="720"/>
      </w:pPr>
      <w:r w:rsidRPr="00236DBE">
        <w:t>The program’s principles and goals cannot be effectively carried out in the absence of clear, timely, and effective management of the program. It is not simple, timely</w:t>
      </w:r>
      <w:r w:rsidR="00DD0FA0">
        <w:t>,</w:t>
      </w:r>
      <w:r w:rsidRPr="00236DBE">
        <w:t xml:space="preserve"> or efficient for </w:t>
      </w:r>
      <w:r w:rsidRPr="00DD3C4A">
        <w:t>USAC to take 245 days to process a typical fiber application</w:t>
      </w:r>
      <w:r w:rsidR="00154AE3">
        <w:t>,</w:t>
      </w:r>
      <w:r w:rsidR="0059759A">
        <w:rPr>
          <w:rStyle w:val="FootnoteReference"/>
        </w:rPr>
        <w:footnoteReference w:id="7"/>
      </w:r>
      <w:r w:rsidRPr="00236DBE">
        <w:t xml:space="preserve"> nor does it meet </w:t>
      </w:r>
      <w:r w:rsidR="00C13486">
        <w:t>the goal of advancing universal service when USAC</w:t>
      </w:r>
      <w:r w:rsidRPr="00625677">
        <w:t xml:space="preserve"> </w:t>
      </w:r>
      <w:r w:rsidRPr="009A76E1">
        <w:t>force</w:t>
      </w:r>
      <w:r w:rsidR="00C13486">
        <w:t>s</w:t>
      </w:r>
      <w:r w:rsidRPr="009A76E1">
        <w:t xml:space="preserve"> almost 20% of applicants to reapply after experiencing a delay in processing or </w:t>
      </w:r>
      <w:r w:rsidR="00C13486">
        <w:t>even an outright denial.</w:t>
      </w:r>
      <w:r w:rsidR="00050DC3" w:rsidRPr="00625677">
        <w:rPr>
          <w:rStyle w:val="FootnoteReference"/>
        </w:rPr>
        <w:footnoteReference w:id="8"/>
      </w:r>
      <w:r w:rsidR="00E34523">
        <w:t xml:space="preserve"> </w:t>
      </w:r>
      <w:r w:rsidRPr="00236DBE">
        <w:t xml:space="preserve">Use of </w:t>
      </w:r>
      <w:r w:rsidR="00154AE3">
        <w:t>undisclosed</w:t>
      </w:r>
      <w:r w:rsidRPr="00236DBE">
        <w:t xml:space="preserve"> criteria in a selective fashion</w:t>
      </w:r>
      <w:r w:rsidR="00C13486">
        <w:t xml:space="preserve"> and the</w:t>
      </w:r>
      <w:r w:rsidRPr="00236DBE">
        <w:t xml:space="preserve"> targeting</w:t>
      </w:r>
      <w:r w:rsidR="001F20DE">
        <w:t xml:space="preserve"> of</w:t>
      </w:r>
      <w:r w:rsidRPr="00236DBE">
        <w:t xml:space="preserve"> </w:t>
      </w:r>
      <w:r w:rsidR="00803610">
        <w:t>special construction</w:t>
      </w:r>
      <w:r w:rsidRPr="00236DBE">
        <w:t xml:space="preserve"> application</w:t>
      </w:r>
      <w:r w:rsidR="00C13486">
        <w:t xml:space="preserve">s looks to be a secret shift in </w:t>
      </w:r>
      <w:r w:rsidR="00154AE3">
        <w:t>policy</w:t>
      </w:r>
      <w:r w:rsidR="00C13486">
        <w:t>, which is not within the scope of USAC’s responsibilities.</w:t>
      </w:r>
      <w:r w:rsidR="003E076A">
        <w:t xml:space="preserve"> </w:t>
      </w:r>
      <w:r w:rsidR="003E076A" w:rsidRPr="00236DBE">
        <w:t xml:space="preserve">It is time for the Commission to step in and instruct USAC how to run a sound and timely review process. </w:t>
      </w:r>
      <w:r w:rsidR="001443C5">
        <w:t>T</w:t>
      </w:r>
      <w:r w:rsidRPr="00236DBE">
        <w:t xml:space="preserve">he Commission must </w:t>
      </w:r>
      <w:r w:rsidR="0053791D">
        <w:t xml:space="preserve">act to </w:t>
      </w:r>
      <w:r w:rsidRPr="00236DBE">
        <w:t xml:space="preserve">ensure that school districts whose children need access to fiber are not unfairly prevented from using fiber.  </w:t>
      </w:r>
    </w:p>
    <w:p w14:paraId="7AB6B515" w14:textId="77777777" w:rsidR="00B72F6C" w:rsidRDefault="00B72F6C" w:rsidP="00E34523">
      <w:pPr>
        <w:ind w:firstLine="720"/>
      </w:pPr>
      <w:r w:rsidRPr="00236DBE">
        <w:t xml:space="preserve">Separately, and discussed in Section VI, the Commission </w:t>
      </w:r>
      <w:r w:rsidR="0017624A">
        <w:t>should make permanent its recent decision to waive the requirement that schools and libraries amortize over three years upfront, non-recurri</w:t>
      </w:r>
      <w:r w:rsidR="0019521E">
        <w:t>ng charges of $500,000 or more</w:t>
      </w:r>
      <w:r w:rsidR="00F84E9F">
        <w:t>.</w:t>
      </w:r>
      <w:r w:rsidR="003B5605">
        <w:rPr>
          <w:rStyle w:val="FootnoteReference"/>
        </w:rPr>
        <w:footnoteReference w:id="9"/>
      </w:r>
      <w:r w:rsidR="00F84E9F">
        <w:t xml:space="preserve"> </w:t>
      </w:r>
      <w:r w:rsidRPr="00236DBE">
        <w:t xml:space="preserve">In 2014’s </w:t>
      </w:r>
      <w:r w:rsidRPr="00625677">
        <w:rPr>
          <w:i/>
        </w:rPr>
        <w:t>Second Modernization Order</w:t>
      </w:r>
      <w:r w:rsidRPr="00236DBE">
        <w:t xml:space="preserve">, the Commission revoked a pre-existing policy that </w:t>
      </w:r>
      <w:r w:rsidR="00C13486">
        <w:t>had required</w:t>
      </w:r>
      <w:r w:rsidRPr="00236DBE">
        <w:t xml:space="preserve"> amortization of significant upfront costs</w:t>
      </w:r>
      <w:r w:rsidR="000C6065">
        <w:t>,</w:t>
      </w:r>
      <w:r w:rsidRPr="00236DBE">
        <w:t xml:space="preserve"> the kind that can easily arise when new fiber connections are deployed.</w:t>
      </w:r>
      <w:r w:rsidR="00E53382">
        <w:rPr>
          <w:rStyle w:val="FootnoteReference"/>
        </w:rPr>
        <w:footnoteReference w:id="10"/>
      </w:r>
      <w:r w:rsidRPr="00236DBE">
        <w:t xml:space="preserve"> But th</w:t>
      </w:r>
      <w:r w:rsidR="0019521E">
        <w:t>at</w:t>
      </w:r>
      <w:r w:rsidRPr="00236DBE">
        <w:t xml:space="preserve"> Commission</w:t>
      </w:r>
      <w:r w:rsidR="000D23CC">
        <w:t>’s</w:t>
      </w:r>
      <w:r w:rsidR="006D4854">
        <w:t xml:space="preserve"> </w:t>
      </w:r>
      <w:r w:rsidR="0019521E">
        <w:t xml:space="preserve">decision had expired, requiring the recent decision to </w:t>
      </w:r>
      <w:r w:rsidR="00733506">
        <w:t xml:space="preserve">grant a temporary waiver </w:t>
      </w:r>
      <w:r w:rsidR="00A73E73">
        <w:t xml:space="preserve">of the requirement while </w:t>
      </w:r>
      <w:r w:rsidR="0019521E">
        <w:t>the Commission</w:t>
      </w:r>
      <w:r w:rsidR="00A73E73">
        <w:t xml:space="preserve"> engages in a rulemaking proceeding to </w:t>
      </w:r>
      <w:r w:rsidR="002903EF">
        <w:t xml:space="preserve">decide </w:t>
      </w:r>
      <w:r w:rsidR="000900FB">
        <w:t>the policy’s ultimate fate.</w:t>
      </w:r>
      <w:r w:rsidR="008B4F30">
        <w:rPr>
          <w:rStyle w:val="FootnoteReference"/>
        </w:rPr>
        <w:footnoteReference w:id="11"/>
      </w:r>
      <w:r w:rsidR="000900FB">
        <w:t xml:space="preserve"> If the </w:t>
      </w:r>
      <w:r w:rsidR="006A6D02">
        <w:t>C</w:t>
      </w:r>
      <w:r w:rsidR="000900FB">
        <w:t xml:space="preserve">ommission </w:t>
      </w:r>
      <w:r w:rsidR="00744B7D">
        <w:t xml:space="preserve">ultimately </w:t>
      </w:r>
      <w:r w:rsidR="000900FB">
        <w:t xml:space="preserve">decides to </w:t>
      </w:r>
      <w:r w:rsidR="008B4F30">
        <w:t xml:space="preserve">reinstate the requirement, </w:t>
      </w:r>
      <w:r w:rsidRPr="00236DBE">
        <w:t>schools will be forced back into a process that the Commission itself has found to be unjustified</w:t>
      </w:r>
      <w:r w:rsidR="0019521E">
        <w:t>. The better course is for the Commission to eliminate the amortization issue permanently.</w:t>
      </w:r>
      <w:r w:rsidR="00D03560">
        <w:t xml:space="preserve"> </w:t>
      </w:r>
    </w:p>
    <w:p w14:paraId="4E4DD4FF" w14:textId="58AC0A41" w:rsidR="00E34523" w:rsidRDefault="00E34523" w:rsidP="00236DBE">
      <w:r>
        <w:lastRenderedPageBreak/>
        <w:tab/>
        <w:t xml:space="preserve">These issues may sound technical, legal, complex and/or bureaucratic. But every </w:t>
      </w:r>
      <w:r w:rsidR="00103B66">
        <w:t xml:space="preserve">delayed or denied application </w:t>
      </w:r>
      <w:r w:rsidR="003801CE">
        <w:t>proposing</w:t>
      </w:r>
      <w:r w:rsidR="00103B66">
        <w:t xml:space="preserve"> a cost-effective plan is a chicken that has come home to roost. And students, even elementary</w:t>
      </w:r>
      <w:r w:rsidR="00C13486">
        <w:t>-school</w:t>
      </w:r>
      <w:r w:rsidR="00103B66">
        <w:t xml:space="preserve"> students</w:t>
      </w:r>
      <w:r w:rsidR="003801CE">
        <w:t>,</w:t>
      </w:r>
      <w:r w:rsidR="00103B66">
        <w:t xml:space="preserve"> know it. </w:t>
      </w:r>
      <w:r w:rsidR="003801CE">
        <w:t>T</w:t>
      </w:r>
      <w:r w:rsidR="00103B66">
        <w:t>he Woodman School</w:t>
      </w:r>
      <w:r w:rsidR="003801CE">
        <w:t xml:space="preserve"> is</w:t>
      </w:r>
      <w:r w:rsidR="00103B66">
        <w:t xml:space="preserve"> a small schoolhouse located in rural Montana, in a place that lacks even cellphone service</w:t>
      </w:r>
      <w:r w:rsidR="003801CE">
        <w:t>. In</w:t>
      </w:r>
      <w:r w:rsidR="00212A92">
        <w:t xml:space="preserve"> January 2018</w:t>
      </w:r>
      <w:r w:rsidR="00E52432">
        <w:t>,</w:t>
      </w:r>
      <w:r w:rsidR="00212A92">
        <w:t xml:space="preserve"> </w:t>
      </w:r>
      <w:r w:rsidR="003801CE">
        <w:t xml:space="preserve">Woodman students wrote letters </w:t>
      </w:r>
      <w:r w:rsidR="00103B66">
        <w:t xml:space="preserve">explaining why they need access to the </w:t>
      </w:r>
      <w:r w:rsidR="00F74302">
        <w:t>i</w:t>
      </w:r>
      <w:r w:rsidR="00103B66">
        <w:t>nternet</w:t>
      </w:r>
      <w:r w:rsidR="00212A92">
        <w:t xml:space="preserve"> – although USAC denied the requested funding</w:t>
      </w:r>
      <w:r w:rsidR="00103B66">
        <w:t xml:space="preserve">. </w:t>
      </w:r>
      <w:r w:rsidR="003801CE">
        <w:t>One</w:t>
      </w:r>
      <w:r w:rsidR="00103B66">
        <w:t xml:space="preserve"> third</w:t>
      </w:r>
      <w:r w:rsidR="003801CE">
        <w:t>-grader wrote:</w:t>
      </w:r>
      <w:r w:rsidR="00103B66">
        <w:t xml:space="preserve"> </w:t>
      </w:r>
    </w:p>
    <w:p w14:paraId="1AF129E8" w14:textId="77777777" w:rsidR="00212A92" w:rsidRDefault="00212A92" w:rsidP="00212A92">
      <w:pPr>
        <w:ind w:left="720"/>
      </w:pPr>
      <w:r>
        <w:t>We should have the internet by now. We can’t do anything without the internet. We should be able to learn important stuff, but we can’t do cool stuff and cool projects on our computers. We need internet or otherwise we can’t learn new things about stuff we don’t know on computers. We would like to do reports about Rosa Parks and Martin Luther King, Jr. on the internet, but we can’t do that.</w:t>
      </w:r>
    </w:p>
    <w:p w14:paraId="30E17902" w14:textId="77777777" w:rsidR="00212A92" w:rsidRDefault="00212A92" w:rsidP="00212A92">
      <w:pPr>
        <w:ind w:left="720"/>
      </w:pPr>
      <w:r>
        <w:t>Please can we have internet like schools in the city? Even people in the country need internet!</w:t>
      </w:r>
      <w:r w:rsidR="003C25FB">
        <w:rPr>
          <w:rStyle w:val="FootnoteReference"/>
        </w:rPr>
        <w:footnoteReference w:id="12"/>
      </w:r>
    </w:p>
    <w:p w14:paraId="54EBFF64" w14:textId="77777777" w:rsidR="0096785A" w:rsidRPr="00A31250" w:rsidRDefault="0096785A" w:rsidP="00BE3ABA">
      <w:pPr>
        <w:spacing w:before="600"/>
        <w:rPr>
          <w:b/>
        </w:rPr>
      </w:pPr>
      <w:r w:rsidRPr="00A31250">
        <w:rPr>
          <w:b/>
        </w:rPr>
        <w:t>I. Introduction</w:t>
      </w:r>
    </w:p>
    <w:p w14:paraId="7CB18BF9" w14:textId="77777777" w:rsidR="004308B3" w:rsidRDefault="001C59F0" w:rsidP="00890FD5">
      <w:pPr>
        <w:ind w:firstLine="720"/>
      </w:pPr>
      <w:r>
        <w:t>More than twenty years ago</w:t>
      </w:r>
      <w:r w:rsidR="00240509">
        <w:t xml:space="preserve">, </w:t>
      </w:r>
      <w:r w:rsidR="004308B3">
        <w:t xml:space="preserve">Congress recognized the critical importance of connecting America’s schools to the </w:t>
      </w:r>
      <w:r w:rsidR="00421D90">
        <w:t>i</w:t>
      </w:r>
      <w:r w:rsidR="004308B3">
        <w:t>nternet.</w:t>
      </w:r>
      <w:r w:rsidR="00C671B5">
        <w:rPr>
          <w:rStyle w:val="FootnoteReference"/>
        </w:rPr>
        <w:footnoteReference w:id="13"/>
      </w:r>
      <w:r w:rsidR="004308B3">
        <w:t xml:space="preserve"> </w:t>
      </w:r>
      <w:r w:rsidR="00432555">
        <w:t>The c</w:t>
      </w:r>
      <w:r w:rsidR="004308B3">
        <w:t xml:space="preserve">reation of the Schools </w:t>
      </w:r>
      <w:r w:rsidR="007836B0">
        <w:t xml:space="preserve">and </w:t>
      </w:r>
      <w:r w:rsidR="004308B3">
        <w:t xml:space="preserve">Libraries Program (also known as </w:t>
      </w:r>
      <w:r w:rsidR="007836B0">
        <w:t>the E-rate program</w:t>
      </w:r>
      <w:r w:rsidR="004308B3">
        <w:t xml:space="preserve">) </w:t>
      </w:r>
      <w:r w:rsidR="00611AFC">
        <w:t>targeted</w:t>
      </w:r>
      <w:r w:rsidR="00D90B1A">
        <w:t xml:space="preserve"> an ambitious goal: to provide “access to advanced telecommunications and information services for all public and nonprofit elementary and secondary school classrooms.”</w:t>
      </w:r>
      <w:r w:rsidR="00D90B1A">
        <w:rPr>
          <w:rStyle w:val="FootnoteReference"/>
        </w:rPr>
        <w:footnoteReference w:id="14"/>
      </w:r>
      <w:r w:rsidR="00D90B1A">
        <w:t xml:space="preserve"> And that is what the Federal Communications Commission (FCC or Commission) </w:t>
      </w:r>
      <w:r w:rsidR="005A6575">
        <w:t xml:space="preserve">in the wake of the Telecommunications Act </w:t>
      </w:r>
      <w:r w:rsidR="00F0154E">
        <w:t>of 1996</w:t>
      </w:r>
      <w:r w:rsidR="005A6575">
        <w:t xml:space="preserve"> </w:t>
      </w:r>
      <w:r w:rsidR="00D90B1A">
        <w:t xml:space="preserve">set out to do. When Congress </w:t>
      </w:r>
      <w:r w:rsidR="005A6575">
        <w:t xml:space="preserve">established </w:t>
      </w:r>
      <w:r w:rsidR="00203D28">
        <w:t xml:space="preserve">the </w:t>
      </w:r>
      <w:r w:rsidR="005A6575">
        <w:t>goal of connecting schools and libraries in the Telecommunications Act,</w:t>
      </w:r>
      <w:r w:rsidR="005A6575">
        <w:rPr>
          <w:rStyle w:val="FootnoteReference"/>
        </w:rPr>
        <w:footnoteReference w:id="15"/>
      </w:r>
      <w:r w:rsidR="00D90B1A">
        <w:t xml:space="preserve"> only 14% of classrooms had access to the </w:t>
      </w:r>
      <w:r w:rsidR="006D707D">
        <w:t>i</w:t>
      </w:r>
      <w:r w:rsidR="00D90B1A">
        <w:t>nternet, and three-quarters of those connection</w:t>
      </w:r>
      <w:r w:rsidR="00FE6701">
        <w:t>s</w:t>
      </w:r>
      <w:r w:rsidR="00D90B1A">
        <w:t xml:space="preserve"> were at slow, dial-up speeds</w:t>
      </w:r>
      <w:r w:rsidR="00D90B1A" w:rsidRPr="00666326">
        <w:t>.</w:t>
      </w:r>
      <w:r w:rsidR="00D90B1A" w:rsidRPr="00666326">
        <w:rPr>
          <w:rStyle w:val="FootnoteReference"/>
        </w:rPr>
        <w:footnoteReference w:id="16"/>
      </w:r>
      <w:r w:rsidR="00D90B1A" w:rsidRPr="00666326">
        <w:t xml:space="preserve"> </w:t>
      </w:r>
      <w:r w:rsidR="00D90B1A" w:rsidRPr="00462F09">
        <w:t>By 2014, almost all schools</w:t>
      </w:r>
      <w:r w:rsidR="00D90B1A" w:rsidRPr="00707436">
        <w:t xml:space="preserve"> had </w:t>
      </w:r>
      <w:r w:rsidR="00F41AA3" w:rsidRPr="00707436">
        <w:t xml:space="preserve">some </w:t>
      </w:r>
      <w:r w:rsidR="00D90B1A" w:rsidRPr="00707436">
        <w:t xml:space="preserve">access to the </w:t>
      </w:r>
      <w:r w:rsidR="00F74302" w:rsidRPr="00707436">
        <w:t>i</w:t>
      </w:r>
      <w:r w:rsidR="00D90B1A" w:rsidRPr="00707436">
        <w:t>nternet but only 65% of schools had access to adequate broadband</w:t>
      </w:r>
      <w:r w:rsidR="007836B0" w:rsidRPr="00707436">
        <w:t>.</w:t>
      </w:r>
      <w:r w:rsidR="007836B0" w:rsidRPr="00666326">
        <w:t xml:space="preserve"> This</w:t>
      </w:r>
      <w:r w:rsidR="00D90B1A" w:rsidRPr="00666326">
        <w:t xml:space="preserve"> “connectivity gap” </w:t>
      </w:r>
      <w:r w:rsidR="007836B0" w:rsidRPr="00666326">
        <w:t>is especially acute in</w:t>
      </w:r>
      <w:r w:rsidR="00D90B1A" w:rsidRPr="00666326">
        <w:t xml:space="preserve"> rural schools, which might not be able to afford the cost</w:t>
      </w:r>
      <w:r w:rsidR="00D90B1A">
        <w:t xml:space="preserve"> of broadband connection</w:t>
      </w:r>
      <w:r w:rsidR="00240509">
        <w:t>s</w:t>
      </w:r>
      <w:r w:rsidR="00D90B1A">
        <w:t xml:space="preserve"> or </w:t>
      </w:r>
      <w:r w:rsidR="00543659">
        <w:t xml:space="preserve">may have </w:t>
      </w:r>
      <w:r w:rsidR="00E21B5C">
        <w:t xml:space="preserve">no choice </w:t>
      </w:r>
      <w:r w:rsidR="00062015">
        <w:t xml:space="preserve">at </w:t>
      </w:r>
      <w:r w:rsidR="00E21B5C">
        <w:t>all as to what broadband provider to use</w:t>
      </w:r>
      <w:r w:rsidR="00D90B1A">
        <w:t>.</w:t>
      </w:r>
      <w:r w:rsidR="00D90B1A">
        <w:rPr>
          <w:rStyle w:val="FootnoteReference"/>
        </w:rPr>
        <w:footnoteReference w:id="17"/>
      </w:r>
    </w:p>
    <w:p w14:paraId="4253B7D5" w14:textId="34A76CA3" w:rsidR="00FE6701" w:rsidRDefault="00706A0F" w:rsidP="00890FD5">
      <w:pPr>
        <w:ind w:firstLine="720"/>
      </w:pPr>
      <w:r>
        <w:t>Tha</w:t>
      </w:r>
      <w:r w:rsidR="00D65E52">
        <w:t>t is</w:t>
      </w:r>
      <w:r>
        <w:t xml:space="preserve"> why in 2014</w:t>
      </w:r>
      <w:r w:rsidR="005632FA">
        <w:t xml:space="preserve"> the FCC adopted </w:t>
      </w:r>
      <w:r w:rsidR="00611AFC">
        <w:t xml:space="preserve">two modernization orders </w:t>
      </w:r>
      <w:r w:rsidR="000D2CF3">
        <w:t>designed to</w:t>
      </w:r>
      <w:r w:rsidR="00240509">
        <w:t xml:space="preserve"> speed </w:t>
      </w:r>
      <w:r w:rsidR="00EA6F41">
        <w:t xml:space="preserve">the deployment of </w:t>
      </w:r>
      <w:r w:rsidR="009C5807">
        <w:t xml:space="preserve">high-speed </w:t>
      </w:r>
      <w:r w:rsidR="00EA6F41">
        <w:t>broadband by widening the effective options available to schools</w:t>
      </w:r>
      <w:r w:rsidR="00240509">
        <w:t xml:space="preserve">, including through the </w:t>
      </w:r>
      <w:r w:rsidR="000D2CF3">
        <w:t>use of so-called “</w:t>
      </w:r>
      <w:r w:rsidR="00803610">
        <w:t>special construction</w:t>
      </w:r>
      <w:r w:rsidR="000D2CF3">
        <w:t xml:space="preserve">” </w:t>
      </w:r>
      <w:r w:rsidR="00E21B5C">
        <w:t>projects in</w:t>
      </w:r>
      <w:r w:rsidR="000D2CF3">
        <w:t xml:space="preserve"> which fiber is installed or otherwise </w:t>
      </w:r>
      <w:r w:rsidR="000D2CF3">
        <w:lastRenderedPageBreak/>
        <w:t>provisioned.</w:t>
      </w:r>
      <w:r w:rsidR="00D521D0">
        <w:rPr>
          <w:rStyle w:val="FootnoteReference"/>
        </w:rPr>
        <w:footnoteReference w:id="18"/>
      </w:r>
      <w:r w:rsidR="00EA6F41">
        <w:t xml:space="preserve"> </w:t>
      </w:r>
      <w:r w:rsidR="00240509">
        <w:t>As the Commission explained, “t</w:t>
      </w:r>
      <w:r w:rsidR="00273A05">
        <w:t xml:space="preserve">he </w:t>
      </w:r>
      <w:r w:rsidR="007836B0">
        <w:t>E-rate</w:t>
      </w:r>
      <w:r w:rsidR="00273A05">
        <w:t xml:space="preserve"> program must evolve to focus on providing support for the high-speed broadband that schools need to take advantage of bandwidth-intensive digital learning technologies</w:t>
      </w:r>
      <w:r w:rsidR="007D76F9">
        <w:t>.</w:t>
      </w:r>
      <w:r w:rsidR="007B2C57">
        <w:t xml:space="preserve"> </w:t>
      </w:r>
      <w:r w:rsidR="007D76F9">
        <w:t>. . .</w:t>
      </w:r>
      <w:r w:rsidR="007B2C57">
        <w:t xml:space="preserve"> </w:t>
      </w:r>
      <w:r w:rsidR="00273A05">
        <w:t>Access to high-speed broadband is crucial to improving educational experiences and expanding opportunities for all of our nation’s students, teachers, parents and communities.”</w:t>
      </w:r>
      <w:r w:rsidR="00273A05">
        <w:rPr>
          <w:rStyle w:val="FootnoteReference"/>
        </w:rPr>
        <w:footnoteReference w:id="19"/>
      </w:r>
      <w:r w:rsidR="00273A05">
        <w:t xml:space="preserve"> </w:t>
      </w:r>
      <w:r w:rsidR="00F2674A">
        <w:t>E</w:t>
      </w:r>
      <w:r w:rsidR="00B72F6C">
        <w:t>mphasizin</w:t>
      </w:r>
      <w:r w:rsidR="00F2674A">
        <w:t>g the need for high-speed broadband, t</w:t>
      </w:r>
      <w:r w:rsidR="00273A05">
        <w:t xml:space="preserve">he Commission pointed to the potential </w:t>
      </w:r>
      <w:r w:rsidR="00F2674A">
        <w:t xml:space="preserve">that broadband provides </w:t>
      </w:r>
      <w:r w:rsidR="00273A05">
        <w:t xml:space="preserve">for cutting-edge </w:t>
      </w:r>
      <w:r w:rsidR="006A0C58">
        <w:t>s</w:t>
      </w:r>
      <w:r w:rsidR="005A6575">
        <w:t xml:space="preserve">cience, </w:t>
      </w:r>
      <w:r w:rsidR="006A0C58">
        <w:t>t</w:t>
      </w:r>
      <w:r w:rsidR="005A6575">
        <w:t xml:space="preserve">echnology, </w:t>
      </w:r>
      <w:r w:rsidR="006A0C58">
        <w:t>e</w:t>
      </w:r>
      <w:r w:rsidR="005A6575">
        <w:t>ngineering</w:t>
      </w:r>
      <w:r w:rsidR="00E00809">
        <w:t>,</w:t>
      </w:r>
      <w:r w:rsidR="005A6575">
        <w:t xml:space="preserve"> and </w:t>
      </w:r>
      <w:r w:rsidR="006A0C58">
        <w:t>m</w:t>
      </w:r>
      <w:r w:rsidR="00F0154E">
        <w:t>athematics</w:t>
      </w:r>
      <w:r w:rsidR="00B72F6C">
        <w:t xml:space="preserve"> </w:t>
      </w:r>
      <w:r w:rsidR="00273A05">
        <w:t>educat</w:t>
      </w:r>
      <w:r>
        <w:t>ion</w:t>
      </w:r>
      <w:r w:rsidR="00B373C6">
        <w:t>;</w:t>
      </w:r>
      <w:r>
        <w:t xml:space="preserve"> customized learning</w:t>
      </w:r>
      <w:r w:rsidR="00B373C6">
        <w:t>;</w:t>
      </w:r>
      <w:r>
        <w:t xml:space="preserve"> </w:t>
      </w:r>
      <w:r w:rsidR="00273A05">
        <w:t>better assessments and analytical tools that can help parents track their child’s progress</w:t>
      </w:r>
      <w:r w:rsidR="00B373C6">
        <w:t>;</w:t>
      </w:r>
      <w:r w:rsidR="00273A05">
        <w:t xml:space="preserve"> and increased opportunity for collaborative distance learning.</w:t>
      </w:r>
      <w:r w:rsidR="002F5C48">
        <w:rPr>
          <w:rStyle w:val="FootnoteReference"/>
        </w:rPr>
        <w:footnoteReference w:id="20"/>
      </w:r>
    </w:p>
    <w:p w14:paraId="20C04145" w14:textId="77777777" w:rsidR="00F0154E" w:rsidRDefault="00F0154E" w:rsidP="00F0154E">
      <w:pPr>
        <w:ind w:firstLine="720"/>
      </w:pPr>
      <w:r>
        <w:t>To achieve these ends, the Commission established performance goals adequate to support the broadband mission. For schools, the Commission “</w:t>
      </w:r>
      <w:r w:rsidRPr="00F0154E">
        <w:t>set a high-speed broadband Internet access target of at least 100 Mbps per 1,000 students and</w:t>
      </w:r>
      <w:r>
        <w:t xml:space="preserve"> staff in the short term and 1 </w:t>
      </w:r>
      <w:proofErr w:type="spellStart"/>
      <w:r>
        <w:t>Gbps</w:t>
      </w:r>
      <w:proofErr w:type="spellEnd"/>
      <w:r>
        <w:t xml:space="preserve"> per 1,000 users in the l</w:t>
      </w:r>
      <w:r w:rsidR="00B72F6C">
        <w:t>onger term</w:t>
      </w:r>
      <w:r>
        <w:t>.”</w:t>
      </w:r>
      <w:r>
        <w:rPr>
          <w:rStyle w:val="FootnoteReference"/>
        </w:rPr>
        <w:footnoteReference w:id="21"/>
      </w:r>
      <w:r w:rsidR="006F42DB">
        <w:t xml:space="preserve"> </w:t>
      </w:r>
      <w:r w:rsidR="006F42DB" w:rsidRPr="006F42DB">
        <w:t>Fiber networks are often essential for enabling schools to cost</w:t>
      </w:r>
      <w:r w:rsidR="003801CE">
        <w:t>-</w:t>
      </w:r>
      <w:r w:rsidR="006F42DB" w:rsidRPr="006F42DB">
        <w:t>effectively scale their speeds to meet the demands of learners and achieve the Commission’s speed goals.</w:t>
      </w:r>
      <w:r w:rsidR="006F42DB" w:rsidRPr="006F42DB">
        <w:rPr>
          <w:rStyle w:val="FootnoteReference"/>
        </w:rPr>
        <w:t xml:space="preserve"> </w:t>
      </w:r>
      <w:r w:rsidR="006F42DB">
        <w:rPr>
          <w:rStyle w:val="FootnoteReference"/>
        </w:rPr>
        <w:footnoteReference w:id="22"/>
      </w:r>
      <w:r w:rsidR="006F42DB">
        <w:t xml:space="preserve"> </w:t>
      </w:r>
      <w:r w:rsidR="006F42DB" w:rsidRPr="006F42DB">
        <w:t xml:space="preserve"> </w:t>
      </w:r>
    </w:p>
    <w:p w14:paraId="0A94B435" w14:textId="4CC078CE" w:rsidR="00A71A8A" w:rsidRDefault="00EA6F41" w:rsidP="00A96E60">
      <w:pPr>
        <w:ind w:firstLine="720"/>
      </w:pPr>
      <w:r>
        <w:t xml:space="preserve">Of course, it will often be possible for schools to </w:t>
      </w:r>
      <w:r w:rsidR="00F0154E">
        <w:t xml:space="preserve">meet these goals </w:t>
      </w:r>
      <w:r w:rsidR="00A96E60">
        <w:t xml:space="preserve">through on-going service plans provided by </w:t>
      </w:r>
      <w:r>
        <w:t>local, commercial providers. But that is not always the case</w:t>
      </w:r>
      <w:r w:rsidR="00295A89">
        <w:t xml:space="preserve">, </w:t>
      </w:r>
      <w:r w:rsidR="00240509">
        <w:t xml:space="preserve">which is why </w:t>
      </w:r>
      <w:r>
        <w:t xml:space="preserve">the Commission emphasized </w:t>
      </w:r>
      <w:r w:rsidR="003801CE">
        <w:t>the importance of</w:t>
      </w:r>
      <w:r>
        <w:t xml:space="preserve"> </w:t>
      </w:r>
      <w:r w:rsidR="004D57A3">
        <w:t xml:space="preserve">giving schools the option to construct fiber facilities. As the Commission said, schools should have the opportunity </w:t>
      </w:r>
      <w:r w:rsidR="00A71A8A">
        <w:t>“</w:t>
      </w:r>
      <w:r w:rsidR="00240509">
        <w:t>to self-construct and operate connections to their school and library buildings</w:t>
      </w:r>
      <w:r w:rsidR="00C8247D">
        <w:t>,</w:t>
      </w:r>
      <w:r w:rsidR="00A71A8A">
        <w:t>” while incentivizing</w:t>
      </w:r>
      <w:r w:rsidR="00240509">
        <w:t xml:space="preserve"> </w:t>
      </w:r>
      <w:r w:rsidR="00A71A8A">
        <w:t>“</w:t>
      </w:r>
      <w:r w:rsidR="00240509">
        <w:t>federal-state cooperation in deploying broadband infrastructure to schools and libraries in hard</w:t>
      </w:r>
      <w:r w:rsidR="009C5807">
        <w:t>-</w:t>
      </w:r>
      <w:r w:rsidR="00240509">
        <w:t>to</w:t>
      </w:r>
      <w:r w:rsidR="009C5807">
        <w:t>-</w:t>
      </w:r>
      <w:r w:rsidR="00240509">
        <w:t>connect areas</w:t>
      </w:r>
      <w:r w:rsidR="00151CE9" w:rsidRPr="00543659">
        <w:t>.</w:t>
      </w:r>
      <w:r w:rsidR="00240509" w:rsidRPr="00543659">
        <w:t>”</w:t>
      </w:r>
      <w:r w:rsidR="00240509" w:rsidRPr="00543659">
        <w:rPr>
          <w:rStyle w:val="FootnoteReference"/>
        </w:rPr>
        <w:footnoteReference w:id="23"/>
      </w:r>
      <w:r w:rsidR="00240509" w:rsidRPr="00543659">
        <w:t xml:space="preserve"> </w:t>
      </w:r>
      <w:r w:rsidR="00A71A8A" w:rsidRPr="00543659">
        <w:t xml:space="preserve">In simple terms, </w:t>
      </w:r>
      <w:r w:rsidR="00803610">
        <w:t>special construction</w:t>
      </w:r>
      <w:r w:rsidR="00A71A8A" w:rsidRPr="00543659">
        <w:t xml:space="preserve"> allows a school or library to </w:t>
      </w:r>
      <w:r w:rsidR="00F0154E" w:rsidRPr="00543659">
        <w:t>pay for the provisioning</w:t>
      </w:r>
      <w:r w:rsidR="00A71A8A" w:rsidRPr="00543659">
        <w:t xml:space="preserve"> of a fiber connection as a cost-</w:t>
      </w:r>
      <w:r w:rsidR="00A71A8A" w:rsidRPr="00543659">
        <w:lastRenderedPageBreak/>
        <w:t xml:space="preserve">effective means of obtaining broadband access. </w:t>
      </w:r>
      <w:r w:rsidR="00803610">
        <w:t>Special construction</w:t>
      </w:r>
      <w:r w:rsidR="00A71A8A" w:rsidRPr="00543659">
        <w:t xml:space="preserve"> can include, for example, paying a service provide</w:t>
      </w:r>
      <w:r w:rsidR="00966B90">
        <w:t>r</w:t>
      </w:r>
      <w:r w:rsidR="00A71A8A" w:rsidRPr="00543659">
        <w:t xml:space="preserve"> to install the equipment needed to “light” dark fiber</w:t>
      </w:r>
      <w:r w:rsidR="00AF306C">
        <w:t>,</w:t>
      </w:r>
      <w:r w:rsidR="00A71A8A" w:rsidRPr="00543659">
        <w:t xml:space="preserve"> or it can include the cost of the actual depl</w:t>
      </w:r>
      <w:r w:rsidR="00F0154E" w:rsidRPr="00543659">
        <w:t>oyment of fiber to a location fiber</w:t>
      </w:r>
      <w:r w:rsidR="00A71A8A" w:rsidRPr="00543659">
        <w:t xml:space="preserve"> did not previously reach.</w:t>
      </w:r>
      <w:r w:rsidR="00A71A8A">
        <w:t xml:space="preserve"> Where there is no broadband provider offering service, </w:t>
      </w:r>
      <w:r w:rsidR="00803610">
        <w:t>special construction</w:t>
      </w:r>
      <w:r w:rsidR="00A71A8A">
        <w:t xml:space="preserve"> may be necessary if a school or library is to have any broadband at all; where broadband service does exist, </w:t>
      </w:r>
      <w:r w:rsidR="00803610">
        <w:t>special construction</w:t>
      </w:r>
      <w:r w:rsidR="00E344C1">
        <w:t xml:space="preserve"> may </w:t>
      </w:r>
      <w:r w:rsidR="004D57A3">
        <w:t xml:space="preserve">nonetheless </w:t>
      </w:r>
      <w:r w:rsidR="00E344C1">
        <w:t xml:space="preserve">prove to be </w:t>
      </w:r>
      <w:r w:rsidR="004D57A3">
        <w:t>the most cost-effective solution</w:t>
      </w:r>
      <w:r w:rsidR="00A71A8A">
        <w:t>.</w:t>
      </w:r>
    </w:p>
    <w:p w14:paraId="05D21B51" w14:textId="629DD689" w:rsidR="00FC5A11" w:rsidRDefault="00A71A8A" w:rsidP="00A96E60">
      <w:pPr>
        <w:ind w:firstLine="720"/>
      </w:pPr>
      <w:r>
        <w:t xml:space="preserve">To effectuate </w:t>
      </w:r>
      <w:r w:rsidR="00803610">
        <w:t>special construction</w:t>
      </w:r>
      <w:r>
        <w:t xml:space="preserve">, the Commission </w:t>
      </w:r>
      <w:r w:rsidR="002F5C48">
        <w:t xml:space="preserve">adopted </w:t>
      </w:r>
      <w:r w:rsidR="00240509">
        <w:t>administrative and rule changes</w:t>
      </w:r>
      <w:r w:rsidR="00240509">
        <w:rPr>
          <w:rStyle w:val="FootnoteReference"/>
        </w:rPr>
        <w:footnoteReference w:id="24"/>
      </w:r>
      <w:r w:rsidR="00240509">
        <w:t xml:space="preserve"> </w:t>
      </w:r>
      <w:r>
        <w:t xml:space="preserve">and </w:t>
      </w:r>
      <w:r w:rsidR="00EA6F41">
        <w:t xml:space="preserve">provided up to an additional 10% in </w:t>
      </w:r>
      <w:r w:rsidR="009C5807">
        <w:t xml:space="preserve">support </w:t>
      </w:r>
      <w:r w:rsidR="00EA6F41">
        <w:t xml:space="preserve">“to match state funding for </w:t>
      </w:r>
      <w:r w:rsidR="00803610">
        <w:t>special construction</w:t>
      </w:r>
      <w:r w:rsidR="00EA6F41">
        <w:t xml:space="preserve"> charges for last-mile facilities to support high</w:t>
      </w:r>
      <w:r w:rsidR="009C5807">
        <w:t>-</w:t>
      </w:r>
      <w:r w:rsidR="00EA6F41">
        <w:t>speed broadband, with special consideration for Tribal schools</w:t>
      </w:r>
      <w:r w:rsidR="009C5807">
        <w:t>.</w:t>
      </w:r>
      <w:r w:rsidR="00EA6F41">
        <w:t>”</w:t>
      </w:r>
      <w:r w:rsidR="00EA6F41">
        <w:rPr>
          <w:rStyle w:val="FootnoteReference"/>
        </w:rPr>
        <w:footnoteReference w:id="25"/>
      </w:r>
      <w:r w:rsidR="00A96E60">
        <w:t xml:space="preserve"> </w:t>
      </w:r>
      <w:r w:rsidR="00706A0F">
        <w:t>As the Commission itself has said,</w:t>
      </w:r>
      <w:r w:rsidR="001A463E">
        <w:t xml:space="preserve"> “allowing </w:t>
      </w:r>
      <w:r w:rsidR="007836B0">
        <w:t>E-rate</w:t>
      </w:r>
      <w:r w:rsidR="001A463E">
        <w:t xml:space="preserve"> applicants to own all or portions of their own networks can help deliver the most cost-effective broadband services and provide financial stability for certain </w:t>
      </w:r>
      <w:r w:rsidR="007836B0">
        <w:t>E-rate</w:t>
      </w:r>
      <w:r w:rsidR="001A463E">
        <w:t xml:space="preserve"> recipients.”</w:t>
      </w:r>
      <w:r w:rsidR="001A463E">
        <w:rPr>
          <w:rStyle w:val="FootnoteReference"/>
        </w:rPr>
        <w:footnoteReference w:id="26"/>
      </w:r>
      <w:r w:rsidR="001A463E">
        <w:t xml:space="preserve"> </w:t>
      </w:r>
      <w:r w:rsidR="00E03A5C">
        <w:t xml:space="preserve"> </w:t>
      </w:r>
    </w:p>
    <w:p w14:paraId="686E9F88" w14:textId="694CF9FA" w:rsidR="005A696A" w:rsidRDefault="00FE6701" w:rsidP="00B373C6">
      <w:pPr>
        <w:ind w:firstLine="720"/>
      </w:pPr>
      <w:r>
        <w:t>W</w:t>
      </w:r>
      <w:r w:rsidR="00EA6F41">
        <w:t>ith the FCC’s support, much has been accomplished</w:t>
      </w:r>
      <w:r w:rsidR="00EA6F41" w:rsidRPr="00004E0C">
        <w:t xml:space="preserve">. </w:t>
      </w:r>
      <w:r w:rsidR="004308B3" w:rsidRPr="00B9360A">
        <w:t xml:space="preserve">Indeed, more than </w:t>
      </w:r>
      <w:r w:rsidR="004F4093" w:rsidRPr="00004E0C">
        <w:t>35</w:t>
      </w:r>
      <w:r w:rsidR="004308B3" w:rsidRPr="005F65EC">
        <w:t xml:space="preserve"> million students have gained access to </w:t>
      </w:r>
      <w:r w:rsidR="00043553" w:rsidRPr="005F65EC">
        <w:t xml:space="preserve">high-speed </w:t>
      </w:r>
      <w:r w:rsidR="004308B3" w:rsidRPr="005F65EC">
        <w:t>broadband in their schools just since 2013.</w:t>
      </w:r>
      <w:r w:rsidR="004F4093" w:rsidRPr="00004E0C">
        <w:rPr>
          <w:rStyle w:val="FootnoteReference"/>
        </w:rPr>
        <w:footnoteReference w:id="27"/>
      </w:r>
      <w:r w:rsidR="004308B3" w:rsidRPr="004308B3">
        <w:t xml:space="preserve"> </w:t>
      </w:r>
      <w:proofErr w:type="spellStart"/>
      <w:r w:rsidR="004D57A3">
        <w:t>EducationSuperHighway</w:t>
      </w:r>
      <w:proofErr w:type="spellEnd"/>
      <w:r w:rsidR="004D57A3">
        <w:t xml:space="preserve"> has calculated that </w:t>
      </w:r>
      <w:r w:rsidR="004D57A3" w:rsidRPr="00DD3C4A">
        <w:t>n</w:t>
      </w:r>
      <w:r w:rsidR="009C5807" w:rsidRPr="00DD3C4A">
        <w:t>inety-eight percent</w:t>
      </w:r>
      <w:r w:rsidR="004308B3" w:rsidRPr="00C12C2F">
        <w:t xml:space="preserve"> </w:t>
      </w:r>
      <w:r w:rsidR="00EA6F41" w:rsidRPr="00C12C2F">
        <w:t>of public schools</w:t>
      </w:r>
      <w:r w:rsidR="00706A0F" w:rsidRPr="00C12C2F">
        <w:t xml:space="preserve"> now</w:t>
      </w:r>
      <w:r w:rsidR="001F7533" w:rsidRPr="00C12C2F">
        <w:t xml:space="preserve"> meet the FCC’s </w:t>
      </w:r>
      <w:r w:rsidR="00B373C6">
        <w:t xml:space="preserve">interim </w:t>
      </w:r>
      <w:r w:rsidR="001F7533" w:rsidRPr="00C12C2F">
        <w:t xml:space="preserve">goal of 100 kbps per student for </w:t>
      </w:r>
      <w:r w:rsidR="006D707D" w:rsidRPr="00625677">
        <w:t>i</w:t>
      </w:r>
      <w:r w:rsidR="001F7533" w:rsidRPr="00DD3C4A">
        <w:t>nterne</w:t>
      </w:r>
      <w:r w:rsidR="001F7533" w:rsidRPr="00C12C2F">
        <w:t xml:space="preserve">t </w:t>
      </w:r>
      <w:r w:rsidR="009C5807" w:rsidRPr="00C12C2F">
        <w:t>access</w:t>
      </w:r>
      <w:r w:rsidR="001F7533" w:rsidRPr="00C12C2F">
        <w:t>.</w:t>
      </w:r>
      <w:r w:rsidR="00C76EF8" w:rsidRPr="00DD3C4A">
        <w:rPr>
          <w:rStyle w:val="FootnoteReference"/>
        </w:rPr>
        <w:footnoteReference w:id="28"/>
      </w:r>
      <w:r w:rsidR="00EA6F41">
        <w:t xml:space="preserve"> And </w:t>
      </w:r>
      <w:r w:rsidR="00EA6F41" w:rsidRPr="00182D19">
        <w:t xml:space="preserve">yet </w:t>
      </w:r>
      <w:r w:rsidR="004308B3" w:rsidRPr="00182D19">
        <w:t>over 1</w:t>
      </w:r>
      <w:r w:rsidR="009C5807" w:rsidRPr="00182D19">
        <w:t>,</w:t>
      </w:r>
      <w:r w:rsidR="004308B3" w:rsidRPr="00182D19">
        <w:t xml:space="preserve">300 schools, with </w:t>
      </w:r>
      <w:r w:rsidR="004308B3" w:rsidRPr="00AF48BC">
        <w:t>2.3 million students</w:t>
      </w:r>
      <w:r w:rsidR="004308B3" w:rsidRPr="00106E5B">
        <w:t>,</w:t>
      </w:r>
      <w:r w:rsidR="000A7088" w:rsidRPr="00625677">
        <w:rPr>
          <w:rStyle w:val="FootnoteReference"/>
        </w:rPr>
        <w:footnoteReference w:id="29"/>
      </w:r>
      <w:r w:rsidR="004308B3" w:rsidRPr="004308B3">
        <w:t xml:space="preserve"> still need access to the fiber</w:t>
      </w:r>
      <w:r w:rsidR="009C5807">
        <w:t>-optic cables</w:t>
      </w:r>
      <w:r w:rsidR="004308B3" w:rsidRPr="004308B3">
        <w:t xml:space="preserve"> that deliver today’s broadband capacity, speed</w:t>
      </w:r>
      <w:r w:rsidR="009C5807">
        <w:t>,</w:t>
      </w:r>
      <w:r w:rsidR="004308B3" w:rsidRPr="004308B3">
        <w:t xml:space="preserve"> and performance.</w:t>
      </w:r>
      <w:r w:rsidR="00B373C6">
        <w:t xml:space="preserve"> </w:t>
      </w:r>
      <w:r w:rsidR="00B373C6" w:rsidRPr="00B373C6">
        <w:t xml:space="preserve">And there is still much work to be done to achieve the FCC’s ultimate goal of 1 </w:t>
      </w:r>
      <w:proofErr w:type="spellStart"/>
      <w:r w:rsidR="00B373C6" w:rsidRPr="00B373C6">
        <w:t>Gbps</w:t>
      </w:r>
      <w:proofErr w:type="spellEnd"/>
      <w:r w:rsidR="00B373C6" w:rsidRPr="00B373C6">
        <w:t xml:space="preserve"> per 1,000 students (or 1 Mbps per student</w:t>
      </w:r>
      <w:r w:rsidR="00F42B8C">
        <w:t>)</w:t>
      </w:r>
      <w:r w:rsidR="00814944">
        <w:t>.</w:t>
      </w:r>
      <w:r w:rsidR="00B373C6" w:rsidRPr="00B373C6">
        <w:t xml:space="preserve"> </w:t>
      </w:r>
      <w:r w:rsidR="00814944">
        <w:t>A</w:t>
      </w:r>
      <w:r w:rsidR="00B373C6" w:rsidRPr="00B373C6">
        <w:t>s of 2018, only 28% of schoo</w:t>
      </w:r>
      <w:r w:rsidR="00B373C6">
        <w:t xml:space="preserve">l districts have achieved </w:t>
      </w:r>
      <w:r w:rsidR="009319EE">
        <w:t>this goal</w:t>
      </w:r>
      <w:r w:rsidR="00722057">
        <w:t>,</w:t>
      </w:r>
      <w:r w:rsidR="00227D2B">
        <w:rPr>
          <w:rStyle w:val="FootnoteReference"/>
        </w:rPr>
        <w:footnoteReference w:id="30"/>
      </w:r>
      <w:r w:rsidR="00722057">
        <w:t xml:space="preserve"> </w:t>
      </w:r>
      <w:r w:rsidR="00B373C6" w:rsidRPr="00B373C6">
        <w:t>even though the federal E-rate budget is sufficient to get that job done.</w:t>
      </w:r>
      <w:r w:rsidR="00107E53">
        <w:t xml:space="preserve"> </w:t>
      </w:r>
      <w:r w:rsidR="005A696A" w:rsidRPr="00543659">
        <w:t xml:space="preserve">As </w:t>
      </w:r>
      <w:proofErr w:type="spellStart"/>
      <w:r w:rsidR="00543659" w:rsidRPr="00543659">
        <w:t>EducationSuperHighway</w:t>
      </w:r>
      <w:proofErr w:type="spellEnd"/>
      <w:r w:rsidR="005A696A" w:rsidRPr="00543659">
        <w:t xml:space="preserve"> has explained, the interim</w:t>
      </w:r>
      <w:r w:rsidR="00A96E60" w:rsidRPr="00543659">
        <w:t xml:space="preserve"> </w:t>
      </w:r>
      <w:r w:rsidR="004877D0" w:rsidRPr="00543659">
        <w:t>Commission goal</w:t>
      </w:r>
      <w:r w:rsidR="00543659" w:rsidRPr="00543659">
        <w:t xml:space="preserve"> </w:t>
      </w:r>
      <w:r w:rsidR="005A696A" w:rsidRPr="00543659">
        <w:t>is simply a starting point</w:t>
      </w:r>
      <w:r w:rsidR="005A696A">
        <w:t xml:space="preserve">: </w:t>
      </w:r>
    </w:p>
    <w:p w14:paraId="76EB0B94" w14:textId="77777777" w:rsidR="005A696A" w:rsidRDefault="005A696A" w:rsidP="00195A8B">
      <w:pPr>
        <w:spacing w:after="360"/>
        <w:ind w:left="720"/>
      </w:pPr>
      <w:r>
        <w:t>Once digital learning enters a school, bandwidth demand continues to rise. Students and teachers find more ways to enhance the learning experience with technology, and other teachers begin using it in their classrooms. Ultimately, digital learning becomes fully integrated into teaching and learning throughout the school as teachers leverage technology in every classroom, every day.</w:t>
      </w:r>
      <w:r>
        <w:rPr>
          <w:rStyle w:val="FootnoteReference"/>
        </w:rPr>
        <w:footnoteReference w:id="31"/>
      </w:r>
    </w:p>
    <w:p w14:paraId="3228318A" w14:textId="77777777" w:rsidR="0019521E" w:rsidRDefault="0019521E" w:rsidP="00195A8B">
      <w:pPr>
        <w:spacing w:after="360"/>
        <w:ind w:left="720"/>
      </w:pPr>
    </w:p>
    <w:p w14:paraId="4B014FE0" w14:textId="77777777" w:rsidR="00E62162" w:rsidRDefault="00E62162" w:rsidP="00195A8B">
      <w:pPr>
        <w:spacing w:after="360"/>
        <w:ind w:left="720"/>
      </w:pPr>
    </w:p>
    <w:p w14:paraId="0C622EED" w14:textId="55091882" w:rsidR="006F42DB" w:rsidRPr="00B72F6C" w:rsidRDefault="006F42DB" w:rsidP="006F42DB">
      <w:pPr>
        <w:rPr>
          <w:b/>
        </w:rPr>
      </w:pPr>
      <w:r w:rsidRPr="00B72F6C">
        <w:rPr>
          <w:b/>
        </w:rPr>
        <w:t>II.</w:t>
      </w:r>
      <w:r w:rsidRPr="00B72F6C">
        <w:rPr>
          <w:b/>
        </w:rPr>
        <w:tab/>
      </w:r>
      <w:r w:rsidR="004A493C" w:rsidRPr="004A493C">
        <w:rPr>
          <w:b/>
        </w:rPr>
        <w:t>The Disproportiona</w:t>
      </w:r>
      <w:r w:rsidR="00154AE3">
        <w:rPr>
          <w:b/>
        </w:rPr>
        <w:t>te</w:t>
      </w:r>
      <w:r w:rsidR="004A493C" w:rsidRPr="004A493C">
        <w:rPr>
          <w:b/>
        </w:rPr>
        <w:t xml:space="preserve"> Impact of Special</w:t>
      </w:r>
      <w:r w:rsidR="00BA0549">
        <w:rPr>
          <w:b/>
        </w:rPr>
        <w:t xml:space="preserve"> </w:t>
      </w:r>
      <w:r w:rsidR="004A493C" w:rsidRPr="004A493C">
        <w:rPr>
          <w:b/>
        </w:rPr>
        <w:t>Construction Review</w:t>
      </w:r>
    </w:p>
    <w:p w14:paraId="2DAEF8D0" w14:textId="61C6A515" w:rsidR="00A31250" w:rsidRDefault="006F42DB" w:rsidP="00890FD5">
      <w:pPr>
        <w:ind w:firstLine="720"/>
      </w:pPr>
      <w:r>
        <w:t xml:space="preserve">Despite the Commission’s orders, </w:t>
      </w:r>
      <w:r w:rsidR="00194BFC">
        <w:t xml:space="preserve">the </w:t>
      </w:r>
      <w:r w:rsidR="00803610">
        <w:t>special construction</w:t>
      </w:r>
      <w:r w:rsidR="00A96E60">
        <w:t xml:space="preserve"> projects</w:t>
      </w:r>
      <w:r w:rsidR="00194BFC">
        <w:t xml:space="preserve"> necessary f</w:t>
      </w:r>
      <w:r w:rsidR="00A7124F">
        <w:t xml:space="preserve">or </w:t>
      </w:r>
      <w:r>
        <w:t>provisioning or building</w:t>
      </w:r>
      <w:r w:rsidR="00B72F6C">
        <w:t xml:space="preserve"> </w:t>
      </w:r>
      <w:r w:rsidR="00A7124F">
        <w:t>these fiber networks</w:t>
      </w:r>
      <w:r w:rsidR="00C10F14">
        <w:t xml:space="preserve">, and enabling </w:t>
      </w:r>
      <w:r w:rsidR="00062015">
        <w:t xml:space="preserve">schools </w:t>
      </w:r>
      <w:r w:rsidR="00C10F14">
        <w:t xml:space="preserve">to achieve </w:t>
      </w:r>
      <w:r>
        <w:t>the Commission’s established short-term and long-term speed</w:t>
      </w:r>
      <w:r w:rsidR="00C10F14">
        <w:t xml:space="preserve"> goals,</w:t>
      </w:r>
      <w:r w:rsidR="001F7533">
        <w:t xml:space="preserve"> seem to be </w:t>
      </w:r>
      <w:r w:rsidR="00154AE3">
        <w:t xml:space="preserve">treated differently than other applications </w:t>
      </w:r>
      <w:r w:rsidR="003F44BD">
        <w:t>by the</w:t>
      </w:r>
      <w:r w:rsidR="001F7533">
        <w:t xml:space="preserve"> </w:t>
      </w:r>
      <w:r w:rsidR="004877D0" w:rsidRPr="004877D0">
        <w:t>Universal Service Administ</w:t>
      </w:r>
      <w:r w:rsidR="004877D0" w:rsidRPr="000E702E">
        <w:t>rative Company (</w:t>
      </w:r>
      <w:r w:rsidR="005A696A" w:rsidRPr="000E702E">
        <w:t>USAC</w:t>
      </w:r>
      <w:r w:rsidR="004877D0" w:rsidRPr="000E702E">
        <w:t>)</w:t>
      </w:r>
      <w:r w:rsidR="001F7533" w:rsidRPr="000E702E">
        <w:t>.</w:t>
      </w:r>
      <w:r w:rsidR="004308B3" w:rsidRPr="000E702E">
        <w:t xml:space="preserve"> </w:t>
      </w:r>
      <w:r w:rsidR="00154AE3">
        <w:t>I</w:t>
      </w:r>
      <w:r w:rsidR="009A373F" w:rsidRPr="000E702E">
        <w:t>n the 2018 funding cycle, out of $</w:t>
      </w:r>
      <w:r w:rsidR="00706A0F" w:rsidRPr="000E702E">
        <w:t>430</w:t>
      </w:r>
      <w:r w:rsidR="009A373F" w:rsidRPr="000E702E">
        <w:t xml:space="preserve"> million in </w:t>
      </w:r>
      <w:r w:rsidR="00BC070A" w:rsidRPr="000E702E">
        <w:t xml:space="preserve">K-12 </w:t>
      </w:r>
      <w:r w:rsidR="00803610">
        <w:t>special construction</w:t>
      </w:r>
      <w:r w:rsidR="00240509" w:rsidRPr="000E702E">
        <w:t xml:space="preserve"> fiber requests</w:t>
      </w:r>
      <w:r w:rsidR="009A373F" w:rsidRPr="000E702E">
        <w:t>, exactly zero were approved</w:t>
      </w:r>
      <w:r w:rsidR="00240509" w:rsidRPr="000E702E">
        <w:t xml:space="preserve"> by </w:t>
      </w:r>
      <w:r w:rsidR="004877D0" w:rsidRPr="000E702E">
        <w:t xml:space="preserve">the </w:t>
      </w:r>
      <w:r w:rsidR="00240509" w:rsidRPr="000E702E">
        <w:t>FCC</w:t>
      </w:r>
      <w:r w:rsidRPr="000E702E">
        <w:t>’s own</w:t>
      </w:r>
      <w:r w:rsidR="00240509" w:rsidRPr="000E702E">
        <w:t xml:space="preserve"> deadline</w:t>
      </w:r>
      <w:r w:rsidR="002526A9" w:rsidRPr="000E702E">
        <w:t xml:space="preserve"> of September 1, 2018</w:t>
      </w:r>
      <w:r w:rsidR="009A373F" w:rsidRPr="000E702E">
        <w:t>.</w:t>
      </w:r>
      <w:r w:rsidR="0088567A" w:rsidRPr="000E702E">
        <w:rPr>
          <w:rStyle w:val="FootnoteReference"/>
        </w:rPr>
        <w:footnoteReference w:id="32"/>
      </w:r>
      <w:r w:rsidR="009A373F" w:rsidRPr="009A373F">
        <w:t xml:space="preserve"> By contras</w:t>
      </w:r>
      <w:r w:rsidR="00706A0F">
        <w:t>t</w:t>
      </w:r>
      <w:r w:rsidR="00240509">
        <w:t>,</w:t>
      </w:r>
      <w:r w:rsidR="00706A0F">
        <w:t xml:space="preserve"> </w:t>
      </w:r>
      <w:r>
        <w:t xml:space="preserve">in funding year 2018, </w:t>
      </w:r>
      <w:r w:rsidR="00706A0F" w:rsidRPr="00DD3C4A">
        <w:t>the C</w:t>
      </w:r>
      <w:r w:rsidR="002526A9" w:rsidRPr="00DD3C4A">
        <w:t xml:space="preserve">ommission </w:t>
      </w:r>
      <w:r w:rsidR="00722057">
        <w:t>had</w:t>
      </w:r>
      <w:r w:rsidR="007E3B0C">
        <w:t>,</w:t>
      </w:r>
      <w:r w:rsidR="00722057">
        <w:t xml:space="preserve"> by September 1, 2018, </w:t>
      </w:r>
      <w:r w:rsidR="009A373F" w:rsidRPr="00DD3C4A">
        <w:t xml:space="preserve">approved $17.4 million in voice telephone lines -- only capable of dial-up speed </w:t>
      </w:r>
      <w:r w:rsidR="006D707D" w:rsidRPr="00625677">
        <w:t>i</w:t>
      </w:r>
      <w:r w:rsidR="009A373F" w:rsidRPr="00DD3C4A">
        <w:t>nternet access</w:t>
      </w:r>
      <w:r w:rsidR="009A373F" w:rsidRPr="009A373F">
        <w:t>.</w:t>
      </w:r>
      <w:r w:rsidR="005D4F5E">
        <w:rPr>
          <w:rStyle w:val="FootnoteReference"/>
        </w:rPr>
        <w:footnoteReference w:id="33"/>
      </w:r>
      <w:r w:rsidR="009A373F" w:rsidRPr="009A373F">
        <w:t xml:space="preserve"> Using voice lines for </w:t>
      </w:r>
      <w:r w:rsidR="006D707D">
        <w:t>i</w:t>
      </w:r>
      <w:r w:rsidR="009A373F" w:rsidRPr="009A373F">
        <w:t>nternet access is not only likely the least c</w:t>
      </w:r>
      <w:r w:rsidR="009A373F">
        <w:t>ost-effective option on a price-per-</w:t>
      </w:r>
      <w:r w:rsidR="009A373F" w:rsidRPr="009A373F">
        <w:t>bit basis, but because of its</w:t>
      </w:r>
      <w:r w:rsidR="009A373F">
        <w:t xml:space="preserve"> limited usefulness, the Commission</w:t>
      </w:r>
      <w:r w:rsidR="009A373F" w:rsidRPr="009A373F">
        <w:t xml:space="preserve"> </w:t>
      </w:r>
      <w:r w:rsidR="009A373F">
        <w:t xml:space="preserve">has already decided to phase </w:t>
      </w:r>
      <w:r w:rsidR="009A373F" w:rsidRPr="009A373F">
        <w:t xml:space="preserve">out </w:t>
      </w:r>
      <w:r w:rsidR="009A373F">
        <w:t>support for traditional voice lines in favor of more cost-</w:t>
      </w:r>
      <w:r w:rsidR="009A373F" w:rsidRPr="009A373F">
        <w:t xml:space="preserve">effective options like fiber. </w:t>
      </w:r>
      <w:r w:rsidR="00D33FB6">
        <w:t xml:space="preserve">Despite these delays, </w:t>
      </w:r>
      <w:r w:rsidR="004172A7">
        <w:t xml:space="preserve">more </w:t>
      </w:r>
      <w:r w:rsidR="00803610">
        <w:t>special construction</w:t>
      </w:r>
      <w:r w:rsidR="004172A7">
        <w:t xml:space="preserve"> </w:t>
      </w:r>
      <w:r w:rsidR="00127A9C">
        <w:t xml:space="preserve">projects </w:t>
      </w:r>
      <w:r w:rsidR="00BC468A">
        <w:t xml:space="preserve">from the 2018 funding cycle </w:t>
      </w:r>
      <w:r w:rsidR="00127A9C">
        <w:t xml:space="preserve">have been </w:t>
      </w:r>
      <w:r w:rsidR="00BC468A">
        <w:t xml:space="preserve">approved </w:t>
      </w:r>
      <w:r w:rsidR="00127A9C">
        <w:t>than in previous years</w:t>
      </w:r>
      <w:r w:rsidR="00FE3F75">
        <w:t>, reflecting progress on the issue</w:t>
      </w:r>
      <w:r w:rsidR="00127A9C">
        <w:t xml:space="preserve">. </w:t>
      </w:r>
      <w:r w:rsidR="00660946">
        <w:t>According to</w:t>
      </w:r>
      <w:r w:rsidR="0010774B">
        <w:t xml:space="preserve"> </w:t>
      </w:r>
      <w:r w:rsidR="00660946">
        <w:t xml:space="preserve">Education </w:t>
      </w:r>
      <w:proofErr w:type="spellStart"/>
      <w:r w:rsidR="00660946">
        <w:t>SuperHighway’s</w:t>
      </w:r>
      <w:proofErr w:type="spellEnd"/>
      <w:r w:rsidR="00660946">
        <w:t xml:space="preserve"> analysis, </w:t>
      </w:r>
      <w:r w:rsidR="00AD206B">
        <w:t xml:space="preserve">between September 1, 2018 and </w:t>
      </w:r>
      <w:r w:rsidR="00660457">
        <w:t>February 12,</w:t>
      </w:r>
      <w:r w:rsidR="007A23DA" w:rsidRPr="007A23DA">
        <w:t xml:space="preserve"> 2019, </w:t>
      </w:r>
      <w:r w:rsidR="00107E53">
        <w:t>2</w:t>
      </w:r>
      <w:r w:rsidR="00D96AD8">
        <w:t>6</w:t>
      </w:r>
      <w:r w:rsidR="00107E53">
        <w:t>5</w:t>
      </w:r>
      <w:r w:rsidR="007A23DA" w:rsidRPr="007A23DA">
        <w:t xml:space="preserve"> of </w:t>
      </w:r>
      <w:r w:rsidR="00364C57">
        <w:t xml:space="preserve">the </w:t>
      </w:r>
      <w:r w:rsidR="00364C57" w:rsidRPr="000E702E">
        <w:t>3</w:t>
      </w:r>
      <w:r w:rsidR="00364C57">
        <w:t>68</w:t>
      </w:r>
      <w:r w:rsidR="00364C57" w:rsidRPr="000E702E">
        <w:t xml:space="preserve"> fiber projects </w:t>
      </w:r>
      <w:r w:rsidR="00424DD3">
        <w:t xml:space="preserve">(or about 72%) </w:t>
      </w:r>
      <w:r w:rsidR="00364C57" w:rsidRPr="000E702E">
        <w:t xml:space="preserve">from </w:t>
      </w:r>
      <w:r w:rsidR="001A626E">
        <w:t xml:space="preserve">across </w:t>
      </w:r>
      <w:r w:rsidR="00364C57" w:rsidRPr="000E702E">
        <w:t xml:space="preserve">37 states </w:t>
      </w:r>
      <w:r w:rsidR="007A23DA" w:rsidRPr="007A23DA">
        <w:t xml:space="preserve">received </w:t>
      </w:r>
      <w:r w:rsidR="00084B3C">
        <w:t xml:space="preserve">positive </w:t>
      </w:r>
      <w:r w:rsidR="007A23DA" w:rsidRPr="007A23DA">
        <w:t>funding decisions</w:t>
      </w:r>
      <w:r w:rsidR="0019521E">
        <w:t xml:space="preserve"> totaling</w:t>
      </w:r>
      <w:r w:rsidR="00E37DD5">
        <w:t xml:space="preserve"> </w:t>
      </w:r>
      <w:r w:rsidR="00093391">
        <w:t>$240 million</w:t>
      </w:r>
      <w:r w:rsidR="00037EF2">
        <w:t>,</w:t>
      </w:r>
      <w:r w:rsidR="000278DD">
        <w:rPr>
          <w:rStyle w:val="FootnoteReference"/>
        </w:rPr>
        <w:footnoteReference w:id="34"/>
      </w:r>
      <w:r w:rsidR="004D50EC">
        <w:t xml:space="preserve"> </w:t>
      </w:r>
      <w:r w:rsidR="00660946">
        <w:t>and o</w:t>
      </w:r>
      <w:r w:rsidR="00E16ED5">
        <w:t xml:space="preserve">nly </w:t>
      </w:r>
      <w:r w:rsidR="00463028">
        <w:t>1</w:t>
      </w:r>
      <w:r w:rsidR="008B7974">
        <w:t>7</w:t>
      </w:r>
      <w:r w:rsidR="00722057">
        <w:t xml:space="preserve"> </w:t>
      </w:r>
      <w:r w:rsidR="00E16ED5">
        <w:t xml:space="preserve">(5%) were </w:t>
      </w:r>
      <w:r w:rsidR="00722057">
        <w:t>deni</w:t>
      </w:r>
      <w:r w:rsidR="00E16ED5">
        <w:t>ed</w:t>
      </w:r>
      <w:r w:rsidR="00A1526B">
        <w:t xml:space="preserve">, a </w:t>
      </w:r>
      <w:r w:rsidR="0092387F">
        <w:t>substantially lower rate than</w:t>
      </w:r>
      <w:r w:rsidR="00291C32">
        <w:t xml:space="preserve"> in 2016</w:t>
      </w:r>
      <w:r w:rsidR="007655A3">
        <w:t xml:space="preserve"> and </w:t>
      </w:r>
      <w:r w:rsidR="00291C32">
        <w:t>2017</w:t>
      </w:r>
      <w:r w:rsidR="00722057">
        <w:t>.</w:t>
      </w:r>
      <w:r w:rsidR="00364C57">
        <w:rPr>
          <w:rStyle w:val="FootnoteReference"/>
        </w:rPr>
        <w:footnoteReference w:id="35"/>
      </w:r>
      <w:r w:rsidR="00722057">
        <w:t xml:space="preserve"> </w:t>
      </w:r>
      <w:r w:rsidR="007A23DA" w:rsidRPr="007A23DA">
        <w:t xml:space="preserve"> </w:t>
      </w:r>
      <w:r w:rsidR="00660946">
        <w:t>That is movement in the right direction</w:t>
      </w:r>
      <w:r w:rsidR="00AA30A2">
        <w:t>.</w:t>
      </w:r>
      <w:r w:rsidR="00660946">
        <w:t xml:space="preserve"> </w:t>
      </w:r>
      <w:r w:rsidR="00AA30A2">
        <w:t>Y</w:t>
      </w:r>
      <w:r w:rsidR="007A23DA" w:rsidRPr="007A23DA">
        <w:t>et there are</w:t>
      </w:r>
      <w:r w:rsidR="003C25FB">
        <w:t xml:space="preserve">, </w:t>
      </w:r>
      <w:r w:rsidR="00660946">
        <w:t>by this</w:t>
      </w:r>
      <w:r w:rsidR="00037EF2">
        <w:t xml:space="preserve"> </w:t>
      </w:r>
      <w:r w:rsidR="003C25FB">
        <w:t>analysis,</w:t>
      </w:r>
      <w:r w:rsidR="007A23DA" w:rsidRPr="007A23DA">
        <w:t xml:space="preserve"> still</w:t>
      </w:r>
      <w:r w:rsidR="00A727D3">
        <w:t xml:space="preserve"> </w:t>
      </w:r>
      <w:r w:rsidR="00631AB2">
        <w:t>23</w:t>
      </w:r>
      <w:r w:rsidR="00A727D3">
        <w:t xml:space="preserve"> pending projects</w:t>
      </w:r>
      <w:r w:rsidR="00C95710">
        <w:t xml:space="preserve"> </w:t>
      </w:r>
      <w:r w:rsidR="00264550">
        <w:t>(</w:t>
      </w:r>
      <w:r w:rsidR="00195E70">
        <w:t>6</w:t>
      </w:r>
      <w:r w:rsidR="00DF2E92">
        <w:t>%)</w:t>
      </w:r>
      <w:r w:rsidR="00882F7B">
        <w:t>,</w:t>
      </w:r>
      <w:r w:rsidR="00DF2E92">
        <w:t xml:space="preserve"> </w:t>
      </w:r>
      <w:r w:rsidR="008A3A2D">
        <w:t xml:space="preserve">and </w:t>
      </w:r>
      <w:r w:rsidR="00631AB2">
        <w:t>64</w:t>
      </w:r>
      <w:r w:rsidR="0019521E">
        <w:t xml:space="preserve"> </w:t>
      </w:r>
      <w:r w:rsidR="00FE7333">
        <w:t xml:space="preserve">project </w:t>
      </w:r>
      <w:r w:rsidR="0019521E">
        <w:t>applications</w:t>
      </w:r>
      <w:r w:rsidR="00DF2E92">
        <w:t xml:space="preserve"> (</w:t>
      </w:r>
      <w:r w:rsidR="00D07B56">
        <w:t>1</w:t>
      </w:r>
      <w:r w:rsidR="00107E53">
        <w:t>7</w:t>
      </w:r>
      <w:r w:rsidR="00D07B56">
        <w:t xml:space="preserve">%) </w:t>
      </w:r>
      <w:r w:rsidR="00DF2E92">
        <w:t xml:space="preserve">have </w:t>
      </w:r>
      <w:r w:rsidR="00C752DA">
        <w:t xml:space="preserve">been </w:t>
      </w:r>
      <w:r w:rsidR="00D07B56">
        <w:t xml:space="preserve">withdrawn, </w:t>
      </w:r>
      <w:r w:rsidR="00882F7B">
        <w:t xml:space="preserve">often due to </w:t>
      </w:r>
      <w:r w:rsidR="004E55EC">
        <w:t xml:space="preserve">the excessive </w:t>
      </w:r>
      <w:r w:rsidR="00174E01">
        <w:t>burdens resulting from the questionnaire</w:t>
      </w:r>
      <w:r w:rsidR="00107E53">
        <w:t>s</w:t>
      </w:r>
      <w:r w:rsidR="00AC42F0">
        <w:t>.</w:t>
      </w:r>
      <w:r w:rsidR="003801CE">
        <w:t xml:space="preserve"> </w:t>
      </w:r>
    </w:p>
    <w:p w14:paraId="2C8C1EAD" w14:textId="58AAB097" w:rsidR="004308B3" w:rsidRDefault="00BC4E58" w:rsidP="00890FD5">
      <w:pPr>
        <w:ind w:firstLine="720"/>
      </w:pPr>
      <w:r>
        <w:t>T</w:t>
      </w:r>
      <w:r w:rsidR="00725F2C">
        <w:t>he failure</w:t>
      </w:r>
      <w:r w:rsidR="00240509">
        <w:t xml:space="preserve"> to move forward effectively </w:t>
      </w:r>
      <w:r w:rsidR="002526A9">
        <w:t>in processing fiber application</w:t>
      </w:r>
      <w:r w:rsidR="00240509">
        <w:t xml:space="preserve">s </w:t>
      </w:r>
      <w:r w:rsidR="00722057">
        <w:t xml:space="preserve">disproportionately impacts </w:t>
      </w:r>
      <w:r w:rsidR="00725F2C">
        <w:t>rural c</w:t>
      </w:r>
      <w:r w:rsidR="00A31250">
        <w:t xml:space="preserve">ommunities, which </w:t>
      </w:r>
      <w:r w:rsidR="003801CE">
        <w:t>generate</w:t>
      </w:r>
      <w:r w:rsidR="00722057">
        <w:t>d</w:t>
      </w:r>
      <w:r w:rsidR="00A31250" w:rsidRPr="00625677">
        <w:t xml:space="preserve"> </w:t>
      </w:r>
      <w:r w:rsidR="0090210E" w:rsidRPr="005820A1">
        <w:t>55%</w:t>
      </w:r>
      <w:r w:rsidR="00B42F7C" w:rsidRPr="005820A1">
        <w:t xml:space="preserve"> </w:t>
      </w:r>
      <w:r w:rsidR="00725F2C" w:rsidRPr="005820A1">
        <w:t xml:space="preserve">of the </w:t>
      </w:r>
      <w:r w:rsidR="00A31250" w:rsidRPr="005820A1">
        <w:t xml:space="preserve">2018 </w:t>
      </w:r>
      <w:r w:rsidR="00803610">
        <w:t>special construction</w:t>
      </w:r>
      <w:r w:rsidR="006F42DB" w:rsidRPr="005820A1">
        <w:t xml:space="preserve"> </w:t>
      </w:r>
      <w:r w:rsidR="00A31250" w:rsidRPr="005820A1">
        <w:t>applications</w:t>
      </w:r>
      <w:r w:rsidR="00A31250" w:rsidRPr="00625677">
        <w:t>.</w:t>
      </w:r>
      <w:r w:rsidR="00FC1B44" w:rsidRPr="00625677">
        <w:rPr>
          <w:rStyle w:val="FootnoteReference"/>
        </w:rPr>
        <w:footnoteReference w:id="36"/>
      </w:r>
      <w:r w:rsidR="00725F2C">
        <w:t xml:space="preserve"> Moreover, </w:t>
      </w:r>
      <w:r w:rsidR="00F16DD7">
        <w:t xml:space="preserve">delaying fiber upgrades </w:t>
      </w:r>
      <w:r w:rsidR="00EF5C14">
        <w:t xml:space="preserve">and requiring </w:t>
      </w:r>
      <w:r w:rsidR="00722057">
        <w:t xml:space="preserve">schools anywhere in the nation </w:t>
      </w:r>
      <w:r w:rsidR="00EF5C14">
        <w:t xml:space="preserve">to continue to rely upon </w:t>
      </w:r>
      <w:r w:rsidR="002D3B76">
        <w:t>outdated</w:t>
      </w:r>
      <w:r w:rsidR="00EF5C14">
        <w:t xml:space="preserve"> and less </w:t>
      </w:r>
      <w:r w:rsidR="002D3B76">
        <w:t>cost-effective</w:t>
      </w:r>
      <w:r w:rsidR="00EF5C14">
        <w:t xml:space="preserve"> technologies</w:t>
      </w:r>
      <w:r w:rsidR="00F669BB">
        <w:t xml:space="preserve"> (on a per megabit basis) </w:t>
      </w:r>
      <w:r w:rsidR="00EF5C14">
        <w:t xml:space="preserve">or </w:t>
      </w:r>
      <w:r w:rsidR="00725F2C">
        <w:t xml:space="preserve">forcing </w:t>
      </w:r>
      <w:r w:rsidR="00722057">
        <w:t>them</w:t>
      </w:r>
      <w:r w:rsidR="00725F2C">
        <w:t xml:space="preserve"> to adopt less cost-effective</w:t>
      </w:r>
      <w:r w:rsidR="006D1B1A">
        <w:t>,</w:t>
      </w:r>
      <w:r w:rsidR="00725F2C">
        <w:t xml:space="preserve"> </w:t>
      </w:r>
      <w:r w:rsidR="00DF0B5E">
        <w:t xml:space="preserve">non-scalable </w:t>
      </w:r>
      <w:r w:rsidR="00725F2C">
        <w:t>approache</w:t>
      </w:r>
      <w:r w:rsidR="008E4E11">
        <w:t xml:space="preserve">s will mean that </w:t>
      </w:r>
      <w:r w:rsidR="00722057">
        <w:t>schools</w:t>
      </w:r>
      <w:r w:rsidR="008E4E11">
        <w:t xml:space="preserve"> </w:t>
      </w:r>
      <w:r w:rsidR="00464C68">
        <w:t xml:space="preserve">end up </w:t>
      </w:r>
      <w:r w:rsidR="008E4E11">
        <w:t>pay</w:t>
      </w:r>
      <w:r w:rsidR="00464C68">
        <w:t>ing</w:t>
      </w:r>
      <w:r w:rsidR="008E4E11">
        <w:t xml:space="preserve"> more</w:t>
      </w:r>
      <w:r w:rsidR="00722057">
        <w:t xml:space="preserve">. For example, schools may be </w:t>
      </w:r>
      <w:r w:rsidR="008E4E11">
        <w:t xml:space="preserve">forced to </w:t>
      </w:r>
      <w:r w:rsidR="00464C68">
        <w:t xml:space="preserve">aggregate </w:t>
      </w:r>
      <w:r w:rsidR="008E4E11">
        <w:t xml:space="preserve">commercial </w:t>
      </w:r>
      <w:r w:rsidR="00464C68">
        <w:t xml:space="preserve">T1 </w:t>
      </w:r>
      <w:r w:rsidR="00ED5E3E">
        <w:t xml:space="preserve">connections </w:t>
      </w:r>
      <w:r w:rsidR="002526A9">
        <w:t>in circumstances where those services</w:t>
      </w:r>
      <w:r w:rsidR="008E4E11">
        <w:t xml:space="preserve"> are the more expensive option.</w:t>
      </w:r>
    </w:p>
    <w:p w14:paraId="1681A7E5" w14:textId="2FC161D1" w:rsidR="00A96E60" w:rsidRDefault="00A96E60" w:rsidP="00A96E60">
      <w:pPr>
        <w:ind w:firstLine="720"/>
      </w:pPr>
      <w:r>
        <w:lastRenderedPageBreak/>
        <w:t xml:space="preserve">A </w:t>
      </w:r>
      <w:r w:rsidR="00722057">
        <w:t>sobering</w:t>
      </w:r>
      <w:r>
        <w:t xml:space="preserve"> example comes from the Corporation for Education Network Initiatives in </w:t>
      </w:r>
      <w:r w:rsidRPr="00893399">
        <w:t>California (CENIC)</w:t>
      </w:r>
      <w:r w:rsidR="007A2978">
        <w:t>, which</w:t>
      </w:r>
      <w:r w:rsidRPr="00893399">
        <w:t xml:space="preserve"> administers</w:t>
      </w:r>
      <w:r>
        <w:t xml:space="preserve"> </w:t>
      </w:r>
      <w:r w:rsidR="007836B0">
        <w:t>E-rate</w:t>
      </w:r>
      <w:r>
        <w:t xml:space="preserve"> funding on behalf of K-12 schools</w:t>
      </w:r>
      <w:r w:rsidR="00062015">
        <w:t xml:space="preserve"> </w:t>
      </w:r>
      <w:r w:rsidR="008E3878">
        <w:t>t</w:t>
      </w:r>
      <w:r w:rsidR="00062015">
        <w:t>hroughout the state.</w:t>
      </w:r>
      <w:r w:rsidR="008E3878">
        <w:rPr>
          <w:rStyle w:val="FootnoteReference"/>
        </w:rPr>
        <w:footnoteReference w:id="37"/>
      </w:r>
      <w:r>
        <w:t xml:space="preserve"> In 2015, CENIC began a competitive process to select a broadband provider for four of its schools</w:t>
      </w:r>
      <w:r w:rsidR="00B00BCC">
        <w:t>. It</w:t>
      </w:r>
      <w:r>
        <w:t xml:space="preserve"> considered bids from six providers, and chose the least expensive over five years, which proved to be </w:t>
      </w:r>
      <w:r w:rsidR="00803610">
        <w:t>special construction</w:t>
      </w:r>
      <w:r w:rsidR="00154AE3">
        <w:t>:</w:t>
      </w:r>
      <w:r w:rsidR="006F3C57">
        <w:rPr>
          <w:rStyle w:val="FootnoteReference"/>
        </w:rPr>
        <w:footnoteReference w:id="38"/>
      </w:r>
    </w:p>
    <w:p w14:paraId="0712B5E4" w14:textId="77777777" w:rsidR="003B24F0" w:rsidRPr="003B24F0" w:rsidRDefault="00347713" w:rsidP="003B24F0">
      <w:pPr>
        <w:rPr>
          <w:sz w:val="28"/>
          <w:szCs w:val="28"/>
        </w:rPr>
      </w:pPr>
      <w:r>
        <w:rPr>
          <w:noProof/>
        </w:rPr>
        <w:drawing>
          <wp:inline distT="0" distB="0" distL="0" distR="0" wp14:anchorId="2E851722" wp14:editId="42D53943">
            <wp:extent cx="5943600" cy="1335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335405"/>
                    </a:xfrm>
                    <a:prstGeom prst="rect">
                      <a:avLst/>
                    </a:prstGeom>
                    <a:noFill/>
                    <a:ln>
                      <a:noFill/>
                    </a:ln>
                  </pic:spPr>
                </pic:pic>
              </a:graphicData>
            </a:graphic>
          </wp:inline>
        </w:drawing>
      </w:r>
    </w:p>
    <w:p w14:paraId="73D89A0E" w14:textId="28F350EE" w:rsidR="00A96E60" w:rsidRDefault="00A96E60" w:rsidP="00B72F6C">
      <w:pPr>
        <w:ind w:firstLine="720"/>
      </w:pPr>
      <w:r>
        <w:t xml:space="preserve">Notably, AT&amp;T’s bid (the second lowest of the bids per school) was about 2.7 times higher than Time Warner’s winning </w:t>
      </w:r>
      <w:r w:rsidR="00803610">
        <w:t>special construction</w:t>
      </w:r>
      <w:r>
        <w:t xml:space="preserve"> bid. In other words, as CENIC explained to USAC</w:t>
      </w:r>
      <w:r w:rsidR="006F0FC3">
        <w:t>,</w:t>
      </w:r>
      <w:r>
        <w:t xml:space="preserve"> “</w:t>
      </w:r>
      <w:r w:rsidRPr="00FC5A11">
        <w:t xml:space="preserve">the competitive bidding process did what it was intended to do: it facilitated the most cost-effective service for </w:t>
      </w:r>
      <w:r w:rsidR="007836B0">
        <w:t>E-rate</w:t>
      </w:r>
      <w:r w:rsidRPr="00FC5A11">
        <w:t xml:space="preserve"> eligible schools</w:t>
      </w:r>
      <w:r>
        <w:t>.”</w:t>
      </w:r>
      <w:r>
        <w:rPr>
          <w:rStyle w:val="FootnoteReference"/>
        </w:rPr>
        <w:footnoteReference w:id="39"/>
      </w:r>
    </w:p>
    <w:p w14:paraId="579B0E0F" w14:textId="5E239DC9" w:rsidR="004308B3" w:rsidRDefault="00725F2C" w:rsidP="00890FD5">
      <w:pPr>
        <w:ind w:firstLine="720"/>
      </w:pPr>
      <w:r>
        <w:t>T</w:t>
      </w:r>
      <w:r w:rsidR="004308B3">
        <w:t xml:space="preserve">he harm to students is </w:t>
      </w:r>
      <w:r w:rsidR="008E4E11">
        <w:t>obvious</w:t>
      </w:r>
      <w:r w:rsidR="008D56C0">
        <w:t>,</w:t>
      </w:r>
      <w:r w:rsidR="001A425F">
        <w:t xml:space="preserve"> but it </w:t>
      </w:r>
      <w:r w:rsidR="008E4E11">
        <w:t xml:space="preserve">is also </w:t>
      </w:r>
      <w:r w:rsidR="004308B3">
        <w:t>exacerbated because delay threatens school</w:t>
      </w:r>
      <w:r w:rsidR="004877D0">
        <w:t>s’</w:t>
      </w:r>
      <w:r w:rsidR="004308B3">
        <w:t xml:space="preserve"> access to state matching funds</w:t>
      </w:r>
      <w:r w:rsidR="00617434">
        <w:t xml:space="preserve">, which </w:t>
      </w:r>
      <w:r w:rsidR="00280396">
        <w:t xml:space="preserve">were </w:t>
      </w:r>
      <w:r w:rsidR="006C1E18">
        <w:t>expressl</w:t>
      </w:r>
      <w:r w:rsidR="00FE6701">
        <w:t>y</w:t>
      </w:r>
      <w:r w:rsidR="006C1E18">
        <w:t xml:space="preserve"> </w:t>
      </w:r>
      <w:r w:rsidR="004308B3">
        <w:t xml:space="preserve">endorsed in the Commission’s </w:t>
      </w:r>
      <w:r w:rsidR="00FE6701" w:rsidRPr="00625677">
        <w:rPr>
          <w:i/>
        </w:rPr>
        <w:t>Second Modernization Order</w:t>
      </w:r>
      <w:r w:rsidR="00FE6701">
        <w:t>.</w:t>
      </w:r>
      <w:r w:rsidR="00FE6701">
        <w:rPr>
          <w:rStyle w:val="FootnoteReference"/>
        </w:rPr>
        <w:footnoteReference w:id="40"/>
      </w:r>
      <w:r w:rsidR="008E4E11">
        <w:t xml:space="preserve"> </w:t>
      </w:r>
      <w:r w:rsidR="00280396">
        <w:t>Twenty</w:t>
      </w:r>
      <w:r w:rsidR="00617434">
        <w:t>-t</w:t>
      </w:r>
      <w:r w:rsidR="006873EC">
        <w:t>hree</w:t>
      </w:r>
      <w:r w:rsidR="00617434">
        <w:t xml:space="preserve"> states provide such funding for </w:t>
      </w:r>
      <w:r w:rsidR="00803610">
        <w:t>special construction</w:t>
      </w:r>
      <w:r w:rsidR="00617434">
        <w:t xml:space="preserve"> projects</w:t>
      </w:r>
      <w:r w:rsidR="00BC4E58">
        <w:t>,</w:t>
      </w:r>
      <w:r w:rsidR="00617434">
        <w:rPr>
          <w:rStyle w:val="FootnoteReference"/>
        </w:rPr>
        <w:footnoteReference w:id="41"/>
      </w:r>
      <w:r w:rsidR="00BC4E58">
        <w:t xml:space="preserve"> </w:t>
      </w:r>
      <w:r w:rsidR="00617434">
        <w:t xml:space="preserve">but </w:t>
      </w:r>
      <w:r w:rsidR="00FE6701">
        <w:t xml:space="preserve">USAC delay is threatening the use of those funds. </w:t>
      </w:r>
      <w:r w:rsidR="00240509">
        <w:t xml:space="preserve">For </w:t>
      </w:r>
      <w:r w:rsidR="005F3CC5" w:rsidRPr="005F3CC5">
        <w:t xml:space="preserve">example, Texas Governor Greg Abbot </w:t>
      </w:r>
      <w:r w:rsidR="00FA055F">
        <w:t>in 2018</w:t>
      </w:r>
      <w:r w:rsidR="005F3CC5" w:rsidRPr="005F3CC5">
        <w:t xml:space="preserve"> requested review of </w:t>
      </w:r>
      <w:r w:rsidR="00803610">
        <w:t>special construction</w:t>
      </w:r>
      <w:r w:rsidR="005F3CC5" w:rsidRPr="005F3CC5">
        <w:t xml:space="preserve"> projects in a “quick and timely manner” because “the $25 million Texas state matching funds </w:t>
      </w:r>
      <w:r w:rsidR="005F3CC5" w:rsidRPr="005F3CC5">
        <w:rPr>
          <w:b/>
        </w:rPr>
        <w:t>will expire on August 31, 2019</w:t>
      </w:r>
      <w:r w:rsidR="005F3CC5">
        <w:t>.”</w:t>
      </w:r>
      <w:r w:rsidR="005F3CC5">
        <w:rPr>
          <w:rStyle w:val="FootnoteReference"/>
        </w:rPr>
        <w:footnoteReference w:id="42"/>
      </w:r>
      <w:r w:rsidR="0042752A">
        <w:t xml:space="preserve"> Similarly, the State of Illinois emphasized the danger of USAC delay</w:t>
      </w:r>
      <w:r w:rsidR="00280396">
        <w:t xml:space="preserve"> to </w:t>
      </w:r>
      <w:r w:rsidR="008833FF">
        <w:t xml:space="preserve">the </w:t>
      </w:r>
      <w:r w:rsidR="00A96E60">
        <w:t xml:space="preserve">execution of </w:t>
      </w:r>
      <w:r w:rsidR="00803610">
        <w:t>special construction</w:t>
      </w:r>
      <w:r w:rsidR="00280396">
        <w:t xml:space="preserve"> projects</w:t>
      </w:r>
      <w:r w:rsidR="0042752A">
        <w:t>.</w:t>
      </w:r>
      <w:r w:rsidR="0042752A">
        <w:rPr>
          <w:rStyle w:val="FootnoteReference"/>
        </w:rPr>
        <w:footnoteReference w:id="43"/>
      </w:r>
      <w:r w:rsidR="007524D2">
        <w:t xml:space="preserve"> And the </w:t>
      </w:r>
      <w:r w:rsidR="00B00BCC">
        <w:t>then-</w:t>
      </w:r>
      <w:r w:rsidR="007524D2">
        <w:lastRenderedPageBreak/>
        <w:t xml:space="preserve">Governor of New Mexico, Susana Martinez, </w:t>
      </w:r>
      <w:r w:rsidR="001F725F">
        <w:t>accused USAC of “failing to reimburse our state public schools in a timely manner.”</w:t>
      </w:r>
      <w:r w:rsidR="001F725F">
        <w:rPr>
          <w:rStyle w:val="FootnoteReference"/>
        </w:rPr>
        <w:footnoteReference w:id="44"/>
      </w:r>
    </w:p>
    <w:p w14:paraId="727742C4" w14:textId="77777777" w:rsidR="0096785A" w:rsidRDefault="006C1E18" w:rsidP="00890FD5">
      <w:pPr>
        <w:ind w:firstLine="720"/>
      </w:pPr>
      <w:r>
        <w:t xml:space="preserve">The difficulties appear to arise from the manner in which </w:t>
      </w:r>
      <w:r w:rsidR="00F870B7">
        <w:t>USAC</w:t>
      </w:r>
      <w:r w:rsidR="00240509">
        <w:t xml:space="preserve"> is running the </w:t>
      </w:r>
      <w:r w:rsidR="007836B0">
        <w:t>E-rate</w:t>
      </w:r>
      <w:r w:rsidR="00240509">
        <w:t xml:space="preserve"> program, one of the universal-service efforts that it oversees.</w:t>
      </w:r>
      <w:r w:rsidR="00F870B7">
        <w:rPr>
          <w:rStyle w:val="FootnoteReference"/>
        </w:rPr>
        <w:footnoteReference w:id="45"/>
      </w:r>
      <w:r w:rsidR="00F870B7">
        <w:t xml:space="preserve"> </w:t>
      </w:r>
      <w:r w:rsidR="006B7BC8">
        <w:t xml:space="preserve">In executing its limited duties, </w:t>
      </w:r>
      <w:r w:rsidR="00F870B7">
        <w:t>USAC is expressly instructed not to “</w:t>
      </w:r>
      <w:r w:rsidR="00904A26">
        <w:t xml:space="preserve">make </w:t>
      </w:r>
      <w:r w:rsidR="00F870B7" w:rsidRPr="00F870B7">
        <w:t>policy, interpret unclear provisions of the statute or rules, or interpret the intent of Congress</w:t>
      </w:r>
      <w:r w:rsidR="00F870B7">
        <w:t>.”</w:t>
      </w:r>
      <w:r w:rsidR="00F870B7">
        <w:rPr>
          <w:rStyle w:val="FootnoteReference"/>
        </w:rPr>
        <w:footnoteReference w:id="46"/>
      </w:r>
      <w:r w:rsidR="00F870B7">
        <w:t xml:space="preserve"> Indeed, the prohibition on USAC </w:t>
      </w:r>
      <w:r w:rsidR="00AC72C3">
        <w:t xml:space="preserve">policymaking </w:t>
      </w:r>
      <w:r w:rsidR="00F870B7">
        <w:t xml:space="preserve">is so strict that it is not even permitted to interpret the </w:t>
      </w:r>
      <w:r w:rsidR="00904A26">
        <w:t xml:space="preserve">Commission’s </w:t>
      </w:r>
      <w:r w:rsidR="00F870B7">
        <w:t>governing legal authority. Rather, “[w]</w:t>
      </w:r>
      <w:r w:rsidR="00F870B7" w:rsidRPr="00F870B7">
        <w:t>here the Act or the Commission's rules are unclear, or do not address a particu</w:t>
      </w:r>
      <w:r w:rsidR="00F870B7">
        <w:t>lar situation, [USAC]</w:t>
      </w:r>
      <w:r w:rsidR="00F870B7" w:rsidRPr="00F870B7">
        <w:t xml:space="preserve"> </w:t>
      </w:r>
      <w:r w:rsidR="00F870B7" w:rsidRPr="00904A26">
        <w:rPr>
          <w:u w:val="single"/>
        </w:rPr>
        <w:t>shall</w:t>
      </w:r>
      <w:r w:rsidR="00F870B7" w:rsidRPr="00F870B7">
        <w:t xml:space="preserve"> seek guidance from the Commission</w:t>
      </w:r>
      <w:r w:rsidR="00F870B7">
        <w:t>.”</w:t>
      </w:r>
      <w:r w:rsidR="00F870B7">
        <w:rPr>
          <w:rStyle w:val="FootnoteReference"/>
        </w:rPr>
        <w:footnoteReference w:id="47"/>
      </w:r>
      <w:r w:rsidR="00C837CE">
        <w:t xml:space="preserve"> What USAC is supposed to do is this: administer the </w:t>
      </w:r>
      <w:r w:rsidR="007836B0">
        <w:t>E-rate</w:t>
      </w:r>
      <w:r w:rsidR="00C837CE">
        <w:t xml:space="preserve"> application process in a manner that is “</w:t>
      </w:r>
      <w:r w:rsidR="00C837CE" w:rsidRPr="00C837CE">
        <w:t>fast, simple and efficient.</w:t>
      </w:r>
      <w:r w:rsidR="00C837CE">
        <w:t>”</w:t>
      </w:r>
      <w:r w:rsidR="00C837CE">
        <w:rPr>
          <w:rStyle w:val="FootnoteReference"/>
        </w:rPr>
        <w:footnoteReference w:id="48"/>
      </w:r>
    </w:p>
    <w:p w14:paraId="644959EE" w14:textId="008E3A78" w:rsidR="009A373F" w:rsidRDefault="00F870B7" w:rsidP="00890FD5">
      <w:pPr>
        <w:ind w:firstLine="720"/>
      </w:pPr>
      <w:r>
        <w:t xml:space="preserve">Nonetheless, and without </w:t>
      </w:r>
      <w:r w:rsidR="002240B1">
        <w:t>public acknowledgement</w:t>
      </w:r>
      <w:r w:rsidR="00B00BCC">
        <w:t xml:space="preserve">, </w:t>
      </w:r>
      <w:r w:rsidR="006C1E18">
        <w:t>US</w:t>
      </w:r>
      <w:r w:rsidR="00280396">
        <w:t xml:space="preserve">AC has implemented significant policy </w:t>
      </w:r>
      <w:r>
        <w:t xml:space="preserve">changes to the administration of the </w:t>
      </w:r>
      <w:r w:rsidR="007836B0">
        <w:t>E-rate</w:t>
      </w:r>
      <w:r>
        <w:t xml:space="preserve"> program</w:t>
      </w:r>
      <w:r w:rsidR="00062015">
        <w:t xml:space="preserve">.  These </w:t>
      </w:r>
      <w:r>
        <w:t xml:space="preserve">actions are beyond </w:t>
      </w:r>
      <w:r w:rsidR="00062015">
        <w:t xml:space="preserve">USAC’s </w:t>
      </w:r>
      <w:r>
        <w:t xml:space="preserve">authority and, independently, inconsistent with the purpose of the </w:t>
      </w:r>
      <w:r w:rsidR="007836B0">
        <w:t>E-rate</w:t>
      </w:r>
      <w:r>
        <w:t xml:space="preserve"> program because </w:t>
      </w:r>
      <w:r w:rsidR="004B38B1">
        <w:t>those actions</w:t>
      </w:r>
      <w:r w:rsidR="00AC0CEA">
        <w:t xml:space="preserve"> </w:t>
      </w:r>
      <w:r>
        <w:t xml:space="preserve">unfairly and unnecessarily </w:t>
      </w:r>
      <w:r w:rsidR="006B7BC8">
        <w:t>burden</w:t>
      </w:r>
      <w:r>
        <w:t xml:space="preserve"> the ability of school districts </w:t>
      </w:r>
      <w:r w:rsidR="000E6BE4">
        <w:t>to gain access to funds to which</w:t>
      </w:r>
      <w:r w:rsidR="004B38B1">
        <w:t xml:space="preserve"> those school districts </w:t>
      </w:r>
      <w:r w:rsidR="00EE6BBD">
        <w:t>are properly entitled</w:t>
      </w:r>
      <w:r w:rsidR="00A6591B">
        <w:t xml:space="preserve">. </w:t>
      </w:r>
      <w:r w:rsidR="00660946">
        <w:t>A</w:t>
      </w:r>
      <w:r w:rsidR="00660946" w:rsidRPr="00660946">
        <w:t xml:space="preserve">ccording to </w:t>
      </w:r>
      <w:proofErr w:type="spellStart"/>
      <w:r w:rsidR="00660946" w:rsidRPr="00660946">
        <w:t>EducationSuperHighway</w:t>
      </w:r>
      <w:proofErr w:type="spellEnd"/>
      <w:r w:rsidR="00660946" w:rsidRPr="00660946">
        <w:t xml:space="preserve">, </w:t>
      </w:r>
      <w:r w:rsidR="00660946">
        <w:t>t</w:t>
      </w:r>
      <w:r w:rsidR="009A373F">
        <w:t>he impact has been nationwide, affecting 32 states, stalling $108 million in investments</w:t>
      </w:r>
      <w:r w:rsidR="009A7447">
        <w:t>,</w:t>
      </w:r>
      <w:r w:rsidR="009A373F">
        <w:t xml:space="preserve"> and unfairly denying or delaying 90 projects</w:t>
      </w:r>
      <w:r w:rsidR="00A96E60">
        <w:t xml:space="preserve"> </w:t>
      </w:r>
      <w:r w:rsidR="00B00BCC">
        <w:t>that impacted</w:t>
      </w:r>
      <w:r w:rsidR="001A425F">
        <w:t xml:space="preserve"> more than 750,000 students</w:t>
      </w:r>
      <w:r w:rsidR="00A96E60">
        <w:t xml:space="preserve"> </w:t>
      </w:r>
      <w:r w:rsidR="00A96E60" w:rsidRPr="0023025C">
        <w:t>as of January 2018</w:t>
      </w:r>
      <w:r w:rsidR="001A425F" w:rsidRPr="005A462F">
        <w:t>.</w:t>
      </w:r>
      <w:r w:rsidR="003510E9">
        <w:rPr>
          <w:rStyle w:val="FootnoteReference"/>
        </w:rPr>
        <w:footnoteReference w:id="49"/>
      </w:r>
      <w:r w:rsidR="001A425F">
        <w:t xml:space="preserve"> </w:t>
      </w:r>
    </w:p>
    <w:p w14:paraId="6D0BDBB2" w14:textId="34C94BF4" w:rsidR="00090C65" w:rsidRDefault="00DD3C4A" w:rsidP="00625677">
      <w:pPr>
        <w:ind w:firstLine="720"/>
      </w:pPr>
      <w:r>
        <w:t xml:space="preserve">Use of </w:t>
      </w:r>
      <w:r w:rsidR="00154AE3">
        <w:t>undisclosed</w:t>
      </w:r>
      <w:r>
        <w:t xml:space="preserve"> criteria</w:t>
      </w:r>
      <w:r w:rsidR="00282A29">
        <w:t xml:space="preserve"> </w:t>
      </w:r>
      <w:r w:rsidR="00154AE3">
        <w:t xml:space="preserve">focused </w:t>
      </w:r>
      <w:r w:rsidR="003F44BD">
        <w:t xml:space="preserve">on </w:t>
      </w:r>
      <w:r w:rsidR="00803610">
        <w:t>special construction</w:t>
      </w:r>
      <w:r>
        <w:t xml:space="preserve"> applications</w:t>
      </w:r>
      <w:r w:rsidR="00B00BCC">
        <w:t xml:space="preserve"> </w:t>
      </w:r>
      <w:r>
        <w:t>looks to be the creation of policy, not the application of established standards.</w:t>
      </w:r>
      <w:r w:rsidR="00523177">
        <w:t xml:space="preserve"> </w:t>
      </w:r>
      <w:r w:rsidR="00493E04">
        <w:t xml:space="preserve">It is not simple, timely or </w:t>
      </w:r>
      <w:r w:rsidR="00A6591B">
        <w:t xml:space="preserve">efficient for </w:t>
      </w:r>
      <w:r w:rsidR="009A373F">
        <w:t xml:space="preserve">USAC </w:t>
      </w:r>
      <w:r w:rsidR="00A6591B">
        <w:t>to take</w:t>
      </w:r>
      <w:r w:rsidR="009A373F">
        <w:t xml:space="preserve"> 245 days to process a typical fiber application</w:t>
      </w:r>
      <w:r w:rsidR="000D26C8">
        <w:rPr>
          <w:rStyle w:val="FootnoteReference"/>
        </w:rPr>
        <w:footnoteReference w:id="50"/>
      </w:r>
      <w:r w:rsidR="00A6591B">
        <w:t xml:space="preserve"> </w:t>
      </w:r>
      <w:r w:rsidR="008D4CC0">
        <w:t xml:space="preserve">nor does it meet USAC’s mandate to force </w:t>
      </w:r>
      <w:r w:rsidR="00A31250">
        <w:t xml:space="preserve">almost 20% of applicants </w:t>
      </w:r>
      <w:r w:rsidR="00A6591B">
        <w:t xml:space="preserve">to </w:t>
      </w:r>
      <w:r w:rsidR="00A31250">
        <w:t>reappl</w:t>
      </w:r>
      <w:r w:rsidR="00A6591B">
        <w:t>y</w:t>
      </w:r>
      <w:r w:rsidR="008D4CC0">
        <w:t xml:space="preserve"> </w:t>
      </w:r>
      <w:r w:rsidR="00A31250">
        <w:t>after experiencing a dela</w:t>
      </w:r>
      <w:r w:rsidR="00942BD0">
        <w:t>y in processing or</w:t>
      </w:r>
      <w:r w:rsidR="001D0B87">
        <w:t xml:space="preserve"> after</w:t>
      </w:r>
      <w:r w:rsidR="002240B1">
        <w:t xml:space="preserve"> having </w:t>
      </w:r>
      <w:r w:rsidR="00B00BCC">
        <w:t>their</w:t>
      </w:r>
      <w:r w:rsidR="002240B1">
        <w:t xml:space="preserve"> application</w:t>
      </w:r>
      <w:r w:rsidR="00B00BCC">
        <w:t>s</w:t>
      </w:r>
      <w:r w:rsidR="002240B1">
        <w:t xml:space="preserve"> denied.</w:t>
      </w:r>
      <w:r w:rsidR="009A373F">
        <w:rPr>
          <w:rStyle w:val="FootnoteReference"/>
        </w:rPr>
        <w:footnoteReference w:id="51"/>
      </w:r>
      <w:r w:rsidR="00090C65">
        <w:t xml:space="preserve"> </w:t>
      </w:r>
      <w:r w:rsidR="009A6D4F">
        <w:t xml:space="preserve">The program’s principles and goals cannot be effectively carried out in the absence of clear, timely, and effective management of the program. It is time for the Commission to step in and instruct USAC how to run a sound and timely review process. </w:t>
      </w:r>
      <w:r w:rsidR="00B00BCC">
        <w:t>T</w:t>
      </w:r>
      <w:r w:rsidR="009A373F">
        <w:t xml:space="preserve">he Commission must ensure </w:t>
      </w:r>
      <w:r w:rsidR="00090C65">
        <w:t xml:space="preserve">that school districts </w:t>
      </w:r>
      <w:r w:rsidR="003B1EE4">
        <w:t xml:space="preserve">whose children need access to fiber </w:t>
      </w:r>
      <w:r w:rsidR="00090C65">
        <w:t>are not u</w:t>
      </w:r>
      <w:r w:rsidR="00EE6BBD">
        <w:t>nfairly prevented from using</w:t>
      </w:r>
      <w:r w:rsidR="00090C65">
        <w:t xml:space="preserve"> fiber. </w:t>
      </w:r>
    </w:p>
    <w:p w14:paraId="7AF82C81" w14:textId="77777777" w:rsidR="002240B1" w:rsidRDefault="002240B1" w:rsidP="00625677">
      <w:pPr>
        <w:ind w:firstLine="720"/>
      </w:pPr>
      <w:r>
        <w:t>Separately,</w:t>
      </w:r>
      <w:r w:rsidR="00562A1E">
        <w:t xml:space="preserve"> and discussed in Section VI,</w:t>
      </w:r>
      <w:r>
        <w:t xml:space="preserve"> the Commission faces an </w:t>
      </w:r>
      <w:r w:rsidR="006B5AD9">
        <w:t xml:space="preserve">important </w:t>
      </w:r>
      <w:r>
        <w:t xml:space="preserve">issue that </w:t>
      </w:r>
      <w:r w:rsidR="006B5AD9">
        <w:t xml:space="preserve">must be </w:t>
      </w:r>
      <w:r>
        <w:t>address</w:t>
      </w:r>
      <w:r w:rsidR="006B5AD9">
        <w:t>ed in a current Notice of Proposed Rulemaking</w:t>
      </w:r>
      <w:r w:rsidR="00C671B5">
        <w:t xml:space="preserve"> (“NPR</w:t>
      </w:r>
      <w:r w:rsidR="001D12C2">
        <w:t>M</w:t>
      </w:r>
      <w:r w:rsidR="00C671B5">
        <w:t>”)</w:t>
      </w:r>
      <w:r>
        <w:t xml:space="preserve">. In 2014’s </w:t>
      </w:r>
      <w:r w:rsidRPr="00625677">
        <w:rPr>
          <w:i/>
        </w:rPr>
        <w:t>Second Modernization Order</w:t>
      </w:r>
      <w:r>
        <w:t>, the Commission revoked a pre-existing policy that requires amortization of significant upfront costs; the</w:t>
      </w:r>
      <w:r w:rsidR="00062015">
        <w:t>se upfront</w:t>
      </w:r>
      <w:r>
        <w:t xml:space="preserve"> </w:t>
      </w:r>
      <w:r w:rsidR="00062015">
        <w:t>costs</w:t>
      </w:r>
      <w:r>
        <w:t xml:space="preserve"> can easily arise when new fiber connections are deployed. </w:t>
      </w:r>
      <w:r w:rsidR="00960B60" w:rsidRPr="00236DBE">
        <w:t xml:space="preserve">But the </w:t>
      </w:r>
      <w:r w:rsidR="00960B60" w:rsidRPr="00236DBE">
        <w:lastRenderedPageBreak/>
        <w:t>Commission</w:t>
      </w:r>
      <w:r w:rsidR="00960B60">
        <w:t xml:space="preserve">’s </w:t>
      </w:r>
      <w:r w:rsidR="00960B60" w:rsidRPr="00236DBE">
        <w:t xml:space="preserve">decision </w:t>
      </w:r>
      <w:r w:rsidR="00960B60">
        <w:t xml:space="preserve">to allow for the reimbursement of upfront costs </w:t>
      </w:r>
      <w:r w:rsidR="0019521E">
        <w:t>expired</w:t>
      </w:r>
      <w:r w:rsidR="00960B60">
        <w:t xml:space="preserve">, requiring </w:t>
      </w:r>
      <w:r w:rsidR="00062015">
        <w:t xml:space="preserve">the Commission to </w:t>
      </w:r>
      <w:r w:rsidR="00A62BF8">
        <w:t xml:space="preserve">recently </w:t>
      </w:r>
      <w:r w:rsidR="00960B60">
        <w:t xml:space="preserve">grant a temporary waiver of the requirement </w:t>
      </w:r>
      <w:r w:rsidR="00D4565D">
        <w:t xml:space="preserve">for this funding year </w:t>
      </w:r>
      <w:r w:rsidR="00960B60">
        <w:t>while it engages in a rulemaking proceeding to decide the policy’s ultimate fate.</w:t>
      </w:r>
      <w:r w:rsidR="00960B60">
        <w:rPr>
          <w:rStyle w:val="FootnoteReference"/>
        </w:rPr>
        <w:footnoteReference w:id="52"/>
      </w:r>
      <w:r w:rsidR="00960B60">
        <w:t xml:space="preserve"> If the Commission decides to reinstate the requirement, </w:t>
      </w:r>
      <w:r w:rsidR="00960B60" w:rsidRPr="00236DBE">
        <w:t>schools w</w:t>
      </w:r>
      <w:r w:rsidR="001D12C2">
        <w:t>ould</w:t>
      </w:r>
      <w:r w:rsidR="00960B60" w:rsidRPr="00236DBE">
        <w:t xml:space="preserve"> be forced back into a process that the Commission itself has found to be unjustified.</w:t>
      </w:r>
      <w:r w:rsidR="0019521E">
        <w:t xml:space="preserve"> The Commission</w:t>
      </w:r>
      <w:r w:rsidR="001D12C2">
        <w:t xml:space="preserve"> has taken the right initial step</w:t>
      </w:r>
      <w:r w:rsidR="009A7447">
        <w:t>;</w:t>
      </w:r>
      <w:r w:rsidR="001D12C2">
        <w:t xml:space="preserve"> now it</w:t>
      </w:r>
      <w:r w:rsidR="0019521E">
        <w:t xml:space="preserve"> should permanently eliminate the amortization requirement. </w:t>
      </w:r>
    </w:p>
    <w:p w14:paraId="1DD03FFC" w14:textId="0506AF8B" w:rsidR="00090C65" w:rsidRDefault="006F42DB" w:rsidP="00273077">
      <w:pPr>
        <w:rPr>
          <w:b/>
        </w:rPr>
      </w:pPr>
      <w:r>
        <w:rPr>
          <w:b/>
        </w:rPr>
        <w:t>II</w:t>
      </w:r>
      <w:r w:rsidR="00090C65" w:rsidRPr="005F3CC5">
        <w:rPr>
          <w:b/>
        </w:rPr>
        <w:t xml:space="preserve">I. </w:t>
      </w:r>
      <w:r w:rsidR="00273077">
        <w:rPr>
          <w:b/>
        </w:rPr>
        <w:t xml:space="preserve">Denial and Delay of Fiber </w:t>
      </w:r>
      <w:r w:rsidR="00907122">
        <w:rPr>
          <w:b/>
        </w:rPr>
        <w:t>Applications Based</w:t>
      </w:r>
      <w:r w:rsidR="00273077">
        <w:rPr>
          <w:b/>
        </w:rPr>
        <w:t xml:space="preserve"> on </w:t>
      </w:r>
      <w:r w:rsidR="00273077" w:rsidRPr="00273077">
        <w:rPr>
          <w:b/>
        </w:rPr>
        <w:t>an Undisclosed Cost Model</w:t>
      </w:r>
      <w:r w:rsidR="00273077" w:rsidRPr="00273077" w:rsidDel="00273077">
        <w:rPr>
          <w:b/>
        </w:rPr>
        <w:t xml:space="preserve"> </w:t>
      </w:r>
    </w:p>
    <w:p w14:paraId="59336868" w14:textId="77777777" w:rsidR="00280396" w:rsidRDefault="00280396" w:rsidP="00890FD5">
      <w:pPr>
        <w:ind w:firstLine="720"/>
      </w:pPr>
      <w:r>
        <w:t>G</w:t>
      </w:r>
      <w:r w:rsidR="009A373F">
        <w:t>over</w:t>
      </w:r>
      <w:r w:rsidR="00C21D7F">
        <w:t xml:space="preserve">ning </w:t>
      </w:r>
      <w:r w:rsidR="007836B0">
        <w:t>E-rate</w:t>
      </w:r>
      <w:r w:rsidR="00C21D7F">
        <w:t xml:space="preserve"> regulations require</w:t>
      </w:r>
      <w:r w:rsidR="009A373F" w:rsidRPr="009A373F">
        <w:t xml:space="preserve"> that schools and libraries select the most cost-effective service provider </w:t>
      </w:r>
      <w:r>
        <w:t xml:space="preserve">that submits a bid, but </w:t>
      </w:r>
      <w:r w:rsidR="00062015">
        <w:t>the regulations fail</w:t>
      </w:r>
      <w:r w:rsidR="00062015" w:rsidRPr="009A373F">
        <w:t xml:space="preserve"> </w:t>
      </w:r>
      <w:r w:rsidR="009A373F" w:rsidRPr="009A373F">
        <w:t xml:space="preserve">to define </w:t>
      </w:r>
      <w:r w:rsidR="00A900A0">
        <w:t xml:space="preserve">the term </w:t>
      </w:r>
      <w:r w:rsidR="009A373F" w:rsidRPr="009A373F">
        <w:t>“cost-effective.”</w:t>
      </w:r>
      <w:r w:rsidR="00C21D7F">
        <w:rPr>
          <w:rStyle w:val="FootnoteReference"/>
        </w:rPr>
        <w:footnoteReference w:id="53"/>
      </w:r>
      <w:r w:rsidR="00C21D7F">
        <w:t xml:space="preserve">  </w:t>
      </w:r>
      <w:r w:rsidR="0042752A">
        <w:t>The Commission has simply said that “[</w:t>
      </w:r>
      <w:proofErr w:type="spellStart"/>
      <w:r w:rsidR="0042752A">
        <w:t>i</w:t>
      </w:r>
      <w:proofErr w:type="spellEnd"/>
      <w:r w:rsidR="0042752A">
        <w:t>]</w:t>
      </w:r>
      <w:r w:rsidR="0042752A" w:rsidRPr="0042752A">
        <w:t xml:space="preserve">n determining which service </w:t>
      </w:r>
      <w:r w:rsidR="00493E04">
        <w:t>offering</w:t>
      </w:r>
      <w:r w:rsidR="00493E04" w:rsidRPr="0042752A">
        <w:t xml:space="preserve"> </w:t>
      </w:r>
      <w:r w:rsidR="0042752A" w:rsidRPr="0042752A">
        <w:t>is the most cost-effective, entities may consider relevant factors other than the pre-discount prices submitted by providers but price should be the primary factor considered</w:t>
      </w:r>
      <w:r w:rsidR="0076695A">
        <w:t>.</w:t>
      </w:r>
      <w:r w:rsidR="0042752A">
        <w:t>”</w:t>
      </w:r>
      <w:r w:rsidR="0042752A">
        <w:rPr>
          <w:rStyle w:val="FootnoteReference"/>
        </w:rPr>
        <w:footnoteReference w:id="54"/>
      </w:r>
      <w:r w:rsidR="0042752A">
        <w:t xml:space="preserve"> </w:t>
      </w:r>
    </w:p>
    <w:p w14:paraId="24395106" w14:textId="546AAEAA" w:rsidR="008E4E11" w:rsidRPr="003B1EE4" w:rsidRDefault="00B57BF0" w:rsidP="00C6187B">
      <w:pPr>
        <w:ind w:firstLine="720"/>
      </w:pPr>
      <w:r>
        <w:t xml:space="preserve">  </w:t>
      </w:r>
      <w:r w:rsidR="009A373F" w:rsidRPr="009A373F">
        <w:t>Earlier in the program’s administration, there was a presumption that whichever service applicants chose was cost</w:t>
      </w:r>
      <w:r w:rsidR="0015182D">
        <w:t xml:space="preserve"> </w:t>
      </w:r>
      <w:r w:rsidR="009A373F" w:rsidRPr="009A373F">
        <w:t>effective.</w:t>
      </w:r>
      <w:r w:rsidR="00280396">
        <w:t xml:space="preserve"> </w:t>
      </w:r>
      <w:r w:rsidR="009A373F" w:rsidRPr="009A373F">
        <w:t xml:space="preserve">The reasoning </w:t>
      </w:r>
      <w:r w:rsidR="00AB0FFB">
        <w:t>held</w:t>
      </w:r>
      <w:r w:rsidR="009A373F" w:rsidRPr="009A373F">
        <w:t xml:space="preserve"> that because the applicant was matching the investment with its own dollars, it had every incentive to select the most cost-effective bid. </w:t>
      </w:r>
      <w:r w:rsidR="00C21D7F">
        <w:t>That</w:t>
      </w:r>
      <w:r w:rsidR="00544BE1">
        <w:t xml:space="preserve"> was and remains good rea</w:t>
      </w:r>
      <w:r w:rsidR="00F41AA3">
        <w:t>soning</w:t>
      </w:r>
      <w:r w:rsidR="00801F23">
        <w:t>.</w:t>
      </w:r>
      <w:r w:rsidR="00F41AA3">
        <w:t xml:space="preserve"> </w:t>
      </w:r>
      <w:r w:rsidR="00801F23">
        <w:t>A</w:t>
      </w:r>
      <w:r w:rsidR="00F41AA3">
        <w:t xml:space="preserve">s the Schools, Health &amp; Libraries Broadband </w:t>
      </w:r>
      <w:r w:rsidR="00062015">
        <w:t xml:space="preserve">(SHLB) </w:t>
      </w:r>
      <w:r w:rsidR="00F41AA3">
        <w:t>Coalition</w:t>
      </w:r>
      <w:r w:rsidR="00544BE1">
        <w:t xml:space="preserve"> has explained to USAC</w:t>
      </w:r>
      <w:r w:rsidR="00C74C00">
        <w:t>,</w:t>
      </w:r>
      <w:r w:rsidR="00544BE1">
        <w:t xml:space="preserve"> “</w:t>
      </w:r>
      <w:r w:rsidR="00544BE1" w:rsidRPr="00544BE1">
        <w:t>In cases where the applicant has conducted a valid competitive bidding process, USAC and the Commission should — as they do with other eligible services — defer to the cost-effectiveness analysis of the school</w:t>
      </w:r>
      <w:r w:rsidR="00544BE1">
        <w:t>.”</w:t>
      </w:r>
      <w:r w:rsidR="00544BE1">
        <w:rPr>
          <w:rStyle w:val="FootnoteReference"/>
        </w:rPr>
        <w:footnoteReference w:id="55"/>
      </w:r>
      <w:r w:rsidR="003B1EE4">
        <w:t xml:space="preserve"> </w:t>
      </w:r>
      <w:r w:rsidR="00595846">
        <w:t>A</w:t>
      </w:r>
      <w:r w:rsidR="002C17EC">
        <w:t>nd a</w:t>
      </w:r>
      <w:r w:rsidR="00595846">
        <w:t xml:space="preserve">s the Commission </w:t>
      </w:r>
      <w:r w:rsidR="002C17EC">
        <w:t>itself explained</w:t>
      </w:r>
      <w:r w:rsidR="00595846">
        <w:t xml:space="preserve"> in </w:t>
      </w:r>
      <w:r w:rsidR="002C6C93">
        <w:t xml:space="preserve">the </w:t>
      </w:r>
      <w:r w:rsidR="00C6187B" w:rsidRPr="00625677">
        <w:rPr>
          <w:i/>
        </w:rPr>
        <w:t xml:space="preserve">Second </w:t>
      </w:r>
      <w:r w:rsidR="00C1049D" w:rsidRPr="00625677">
        <w:rPr>
          <w:i/>
        </w:rPr>
        <w:t>Modernization</w:t>
      </w:r>
      <w:r w:rsidR="00C6187B" w:rsidRPr="00625677">
        <w:rPr>
          <w:i/>
        </w:rPr>
        <w:t xml:space="preserve"> Order</w:t>
      </w:r>
      <w:r w:rsidR="00C6187B">
        <w:t>, “because applicants are responsible for paying the non-discounted portion of the services they purchase, we expect that this requirement will deter some applicants from undertaking expensive</w:t>
      </w:r>
      <w:r w:rsidR="002F0AEA">
        <w:t xml:space="preserve"> </w:t>
      </w:r>
      <w:r w:rsidR="00C6187B">
        <w:t>construction projects</w:t>
      </w:r>
      <w:r w:rsidR="003849BF">
        <w:t>,</w:t>
      </w:r>
      <w:r w:rsidR="002F0AEA">
        <w:t>”</w:t>
      </w:r>
      <w:r w:rsidR="00BF7A4A">
        <w:t xml:space="preserve"> and in the case of </w:t>
      </w:r>
      <w:r w:rsidR="00803610">
        <w:t>special construction</w:t>
      </w:r>
      <w:r w:rsidR="00BF7A4A">
        <w:t xml:space="preserve"> projects taking advantage of a state</w:t>
      </w:r>
      <w:r w:rsidR="00C4059A">
        <w:t>-</w:t>
      </w:r>
      <w:r w:rsidR="00BF7A4A">
        <w:t>matching program</w:t>
      </w:r>
      <w:r w:rsidR="002C6C93">
        <w:t>,</w:t>
      </w:r>
      <w:r w:rsidR="00BF7A4A">
        <w:t xml:space="preserve"> “the state itself will have an incentive to spend its funds wisely.”</w:t>
      </w:r>
      <w:r w:rsidR="00812401">
        <w:rPr>
          <w:rStyle w:val="FootnoteReference"/>
        </w:rPr>
        <w:footnoteReference w:id="56"/>
      </w:r>
    </w:p>
    <w:p w14:paraId="45E61498" w14:textId="08C21468" w:rsidR="00B94A49" w:rsidRDefault="008E4E11" w:rsidP="00B94A49">
      <w:pPr>
        <w:ind w:firstLine="720"/>
      </w:pPr>
      <w:r w:rsidRPr="003B1EE4">
        <w:t>But now, rather than allowin</w:t>
      </w:r>
      <w:r w:rsidR="00280396">
        <w:t>g the marketplace to define</w:t>
      </w:r>
      <w:r w:rsidRPr="003B1EE4">
        <w:t xml:space="preserve"> the </w:t>
      </w:r>
      <w:r w:rsidR="003801CE">
        <w:t>best</w:t>
      </w:r>
      <w:r w:rsidRPr="003B1EE4">
        <w:t xml:space="preserve"> price and thus most cost</w:t>
      </w:r>
      <w:r w:rsidR="00280396">
        <w:t xml:space="preserve">-effective option, </w:t>
      </w:r>
      <w:r w:rsidR="00AB0FFB">
        <w:t>USAC appears to be employing</w:t>
      </w:r>
      <w:r w:rsidRPr="003B1EE4">
        <w:t xml:space="preserve"> undisclosed metrics</w:t>
      </w:r>
      <w:r w:rsidR="00AB0FFB">
        <w:t xml:space="preserve"> and measuremen</w:t>
      </w:r>
      <w:r w:rsidR="00752734">
        <w:t>t</w:t>
      </w:r>
      <w:r w:rsidR="002C17EC">
        <w:t>s</w:t>
      </w:r>
      <w:r w:rsidRPr="003B1EE4">
        <w:t xml:space="preserve"> to decide </w:t>
      </w:r>
      <w:r w:rsidR="004D60BE">
        <w:t xml:space="preserve">(entirely or as a critical part of its process) </w:t>
      </w:r>
      <w:r w:rsidRPr="003B1EE4">
        <w:t>which bids are cost</w:t>
      </w:r>
      <w:r w:rsidR="000E0552">
        <w:t xml:space="preserve"> </w:t>
      </w:r>
      <w:r w:rsidRPr="003B1EE4">
        <w:t>effective</w:t>
      </w:r>
      <w:r w:rsidR="0042752A">
        <w:t xml:space="preserve">, and presumably to determine when the use of price, as the primary factor, is </w:t>
      </w:r>
      <w:r w:rsidR="00562A1E">
        <w:t>outweighed</w:t>
      </w:r>
      <w:r w:rsidR="0042752A">
        <w:t xml:space="preserve"> by other legitimate factors</w:t>
      </w:r>
      <w:r w:rsidRPr="003B1EE4">
        <w:t xml:space="preserve">. This lack of transparency </w:t>
      </w:r>
      <w:r w:rsidR="00273077">
        <w:t>has resulted in</w:t>
      </w:r>
      <w:r w:rsidRPr="003B1EE4">
        <w:t xml:space="preserve"> disproportionate denial rates</w:t>
      </w:r>
      <w:r w:rsidR="00273077">
        <w:t xml:space="preserve"> </w:t>
      </w:r>
      <w:r w:rsidRPr="003B1EE4">
        <w:t xml:space="preserve">of applicants seeking </w:t>
      </w:r>
      <w:r w:rsidR="00803610">
        <w:t>special construction</w:t>
      </w:r>
      <w:r w:rsidRPr="003B1EE4">
        <w:t>. And</w:t>
      </w:r>
      <w:r w:rsidR="002C6C93">
        <w:t>,</w:t>
      </w:r>
      <w:r w:rsidRPr="003B1EE4">
        <w:t xml:space="preserve"> as a result of these delays and denials, schools are often left paying for their legacy, expensive, and no</w:t>
      </w:r>
      <w:r w:rsidR="002C6C93">
        <w:t>-</w:t>
      </w:r>
      <w:r w:rsidRPr="003B1EE4">
        <w:t>longer</w:t>
      </w:r>
      <w:r w:rsidR="002C6C93">
        <w:t>-</w:t>
      </w:r>
      <w:r w:rsidRPr="003B1EE4">
        <w:t xml:space="preserve">cost-effective DSL, cable modem, and T1 lines as compared to </w:t>
      </w:r>
      <w:r w:rsidR="00AD2533">
        <w:t xml:space="preserve">the </w:t>
      </w:r>
      <w:r w:rsidR="00A900A0">
        <w:t>high-performance</w:t>
      </w:r>
      <w:r w:rsidR="00EE6BBD">
        <w:t>,</w:t>
      </w:r>
      <w:r w:rsidR="00A900A0">
        <w:t xml:space="preserve"> </w:t>
      </w:r>
      <w:r w:rsidR="008C4870">
        <w:t xml:space="preserve">scalable </w:t>
      </w:r>
      <w:r w:rsidRPr="003B1EE4">
        <w:t xml:space="preserve">fiber </w:t>
      </w:r>
      <w:r w:rsidR="00A900A0">
        <w:t xml:space="preserve">connections endorsed </w:t>
      </w:r>
      <w:r w:rsidR="0028739A">
        <w:t xml:space="preserve">by the Commission </w:t>
      </w:r>
      <w:r w:rsidR="00A900A0">
        <w:t xml:space="preserve">in </w:t>
      </w:r>
      <w:r w:rsidR="002C6C93">
        <w:t xml:space="preserve">the </w:t>
      </w:r>
      <w:r w:rsidR="00A900A0">
        <w:t>modernization orders.</w:t>
      </w:r>
    </w:p>
    <w:p w14:paraId="26B0D4A6" w14:textId="17C2A751" w:rsidR="003801CE" w:rsidRDefault="00483ECB" w:rsidP="00B94A49">
      <w:pPr>
        <w:ind w:firstLine="720"/>
      </w:pPr>
      <w:r w:rsidRPr="00483ECB">
        <w:lastRenderedPageBreak/>
        <w:t>It is no answer to assert that USAC must independently assess the cost-effectiveness of each and every application. Of course, applicants are required “to select the most-c</w:t>
      </w:r>
      <w:r>
        <w:t>ost effective service offering</w:t>
      </w:r>
      <w:r w:rsidR="00CB4264">
        <w:t>,</w:t>
      </w:r>
      <w:r>
        <w:t>”</w:t>
      </w:r>
      <w:r>
        <w:rPr>
          <w:rStyle w:val="FootnoteReference"/>
        </w:rPr>
        <w:footnoteReference w:id="57"/>
      </w:r>
      <w:r w:rsidRPr="00483ECB">
        <w:t xml:space="preserve"> and USAC </w:t>
      </w:r>
      <w:r w:rsidR="004D60BE">
        <w:t>can play a role in assuring cost-effectiveness</w:t>
      </w:r>
      <w:r w:rsidRPr="00483ECB">
        <w:t>.</w:t>
      </w:r>
      <w:r>
        <w:rPr>
          <w:rStyle w:val="FootnoteReference"/>
        </w:rPr>
        <w:footnoteReference w:id="58"/>
      </w:r>
      <w:r w:rsidRPr="00483ECB">
        <w:t xml:space="preserve"> But nothing in the Commission’s orders authorize USAC to admini</w:t>
      </w:r>
      <w:r>
        <w:t>ster its duties through a hidden</w:t>
      </w:r>
      <w:r w:rsidRPr="00483ECB">
        <w:t xml:space="preserve"> process, based on n</w:t>
      </w:r>
      <w:r>
        <w:t>on-transparent criteria, issuing</w:t>
      </w:r>
      <w:r w:rsidRPr="00483ECB">
        <w:t xml:space="preserve"> orders that fail to reveal the factual bases for USAC’s conclusions. </w:t>
      </w:r>
      <w:r w:rsidR="003801CE">
        <w:t>This is a recipe for arbitrary outcomes.</w:t>
      </w:r>
    </w:p>
    <w:p w14:paraId="68DABE71" w14:textId="6E7341DA" w:rsidR="00483ECB" w:rsidRDefault="00483ECB" w:rsidP="00B94A49">
      <w:pPr>
        <w:ind w:firstLine="720"/>
      </w:pPr>
      <w:r w:rsidRPr="00483ECB">
        <w:t>Moreover, the Commission has made plain, and USAC must respect, the conclusion that “the competitive bidding process</w:t>
      </w:r>
      <w:r w:rsidR="00DD15E1">
        <w:t xml:space="preserve"> …</w:t>
      </w:r>
      <w:r w:rsidRPr="00483ECB">
        <w:t xml:space="preserve"> is the E-rate program’s </w:t>
      </w:r>
      <w:r w:rsidRPr="00B72F6C">
        <w:rPr>
          <w:u w:val="single"/>
        </w:rPr>
        <w:t>primary</w:t>
      </w:r>
      <w:r w:rsidRPr="00483ECB">
        <w:t xml:space="preserve"> tool for ensuring schools and libraries select the most cost-effective option.”</w:t>
      </w:r>
      <w:r>
        <w:rPr>
          <w:rStyle w:val="FootnoteReference"/>
        </w:rPr>
        <w:footnoteReference w:id="59"/>
      </w:r>
      <w:r w:rsidRPr="00483ECB">
        <w:t xml:space="preserve"> I</w:t>
      </w:r>
      <w:r>
        <w:t>ndeed, the Commission has emphasized that it maximized</w:t>
      </w:r>
      <w:r w:rsidRPr="00483ECB">
        <w:t xml:space="preserve"> the “cost-effectiveness of E-rate supported purchases” by, </w:t>
      </w:r>
      <w:r w:rsidRPr="00B72F6C">
        <w:rPr>
          <w:i/>
        </w:rPr>
        <w:t>inter alia</w:t>
      </w:r>
      <w:r w:rsidRPr="00483ECB">
        <w:t>, “increasing competitive options, and thus lowering prices, for schools and libraries to meet their connectivity needs.</w:t>
      </w:r>
      <w:r>
        <w:t>”</w:t>
      </w:r>
      <w:r>
        <w:rPr>
          <w:rStyle w:val="FootnoteReference"/>
        </w:rPr>
        <w:footnoteReference w:id="60"/>
      </w:r>
      <w:r>
        <w:t xml:space="preserve"> </w:t>
      </w:r>
      <w:r w:rsidR="004D60BE">
        <w:t>And the Commission has expressly explained to USAC that “[w]e expect that we can generally rely on local and/or state procurement processes that include a competitive bid requirement as a means to ensure compliance with our competitive bid requirements.”</w:t>
      </w:r>
      <w:r w:rsidR="004D60BE">
        <w:rPr>
          <w:rStyle w:val="FootnoteReference"/>
        </w:rPr>
        <w:footnoteReference w:id="61"/>
      </w:r>
      <w:r w:rsidR="004D60BE">
        <w:t xml:space="preserve"> </w:t>
      </w:r>
      <w:r>
        <w:t xml:space="preserve">But </w:t>
      </w:r>
      <w:r w:rsidR="00F360D9">
        <w:t xml:space="preserve">with its current </w:t>
      </w:r>
      <w:r w:rsidR="00E151BE">
        <w:t xml:space="preserve">practices, </w:t>
      </w:r>
      <w:r>
        <w:t xml:space="preserve">USAC </w:t>
      </w:r>
      <w:r w:rsidR="007676FC">
        <w:t xml:space="preserve">fails to </w:t>
      </w:r>
      <w:proofErr w:type="gramStart"/>
      <w:r w:rsidR="007676FC">
        <w:t xml:space="preserve">respect </w:t>
      </w:r>
      <w:r>
        <w:t xml:space="preserve"> competitive</w:t>
      </w:r>
      <w:proofErr w:type="gramEnd"/>
      <w:r>
        <w:t xml:space="preserve"> processes, </w:t>
      </w:r>
      <w:r w:rsidR="006C0ABF">
        <w:t xml:space="preserve">too often relying on </w:t>
      </w:r>
      <w:r w:rsidR="00273077">
        <w:t>undisclosed</w:t>
      </w:r>
      <w:r w:rsidR="008F49AF">
        <w:t xml:space="preserve"> analysis</w:t>
      </w:r>
      <w:r w:rsidR="004D6872">
        <w:t xml:space="preserve"> </w:t>
      </w:r>
      <w:r w:rsidR="006C0ABF">
        <w:t>to second guess the market’s lowest bid</w:t>
      </w:r>
      <w:r w:rsidR="004D6872">
        <w:t xml:space="preserve">. </w:t>
      </w:r>
      <w:r w:rsidR="00DF24B1">
        <w:t>USAC</w:t>
      </w:r>
      <w:r w:rsidR="00562A1E">
        <w:t xml:space="preserve"> </w:t>
      </w:r>
      <w:r w:rsidR="006D1A18">
        <w:t xml:space="preserve">simply </w:t>
      </w:r>
      <w:r w:rsidR="00DF24B1">
        <w:t xml:space="preserve">is </w:t>
      </w:r>
      <w:r w:rsidR="00562A1E">
        <w:t>not permitted to do</w:t>
      </w:r>
      <w:r w:rsidR="00DF24B1">
        <w:t xml:space="preserve"> this</w:t>
      </w:r>
      <w:r w:rsidR="004D6872">
        <w:t>.</w:t>
      </w:r>
    </w:p>
    <w:p w14:paraId="2AC8E299" w14:textId="19934D43" w:rsidR="003B1EE4" w:rsidRDefault="00483ECB" w:rsidP="00B94A49">
      <w:pPr>
        <w:ind w:firstLine="720"/>
      </w:pPr>
      <w:r>
        <w:t xml:space="preserve">Indeed, </w:t>
      </w:r>
      <w:r w:rsidR="003B1EE4">
        <w:t>USAC c</w:t>
      </w:r>
      <w:r w:rsidR="004D6872">
        <w:t>ould</w:t>
      </w:r>
      <w:r w:rsidR="003B1EE4">
        <w:t xml:space="preserve"> play </w:t>
      </w:r>
      <w:r w:rsidR="00280396">
        <w:t xml:space="preserve">an important role </w:t>
      </w:r>
      <w:r w:rsidR="003B1EE4">
        <w:t>in helping schools navigate its administrative process</w:t>
      </w:r>
      <w:r w:rsidR="00273077">
        <w:t>.</w:t>
      </w:r>
      <w:r w:rsidR="003B1EE4">
        <w:t xml:space="preserve"> T</w:t>
      </w:r>
      <w:r w:rsidR="00544BE1">
        <w:t xml:space="preserve">he Commission </w:t>
      </w:r>
      <w:r w:rsidR="00AB0FFB">
        <w:t xml:space="preserve">has </w:t>
      </w:r>
      <w:r w:rsidR="00A31250">
        <w:t>specifically ordered USAC</w:t>
      </w:r>
      <w:r w:rsidR="004D60BE">
        <w:t xml:space="preserve"> </w:t>
      </w:r>
      <w:r w:rsidR="00463028">
        <w:t xml:space="preserve">to </w:t>
      </w:r>
      <w:r w:rsidR="004D60BE">
        <w:t>participate in the work</w:t>
      </w:r>
      <w:r w:rsidR="00A31250">
        <w:t xml:space="preserve"> </w:t>
      </w:r>
      <w:r w:rsidR="00A31250" w:rsidRPr="00A31250">
        <w:t xml:space="preserve">“to develop reference prices or other guidelines for </w:t>
      </w:r>
      <w:r w:rsidR="00A32C79">
        <w:t>E-</w:t>
      </w:r>
      <w:r w:rsidR="00A31250" w:rsidRPr="00A31250">
        <w:t>rate</w:t>
      </w:r>
      <w:r w:rsidR="00A32C79">
        <w:t xml:space="preserve"> </w:t>
      </w:r>
      <w:r w:rsidR="00A31250" w:rsidRPr="00A31250">
        <w:t>supported purchases t</w:t>
      </w:r>
      <w:r w:rsidR="008E4E11">
        <w:t>hat could provide guidance….</w:t>
      </w:r>
      <w:r w:rsidR="00A31250" w:rsidRPr="00A31250">
        <w:t>to applicants about prices that are likely to be considered cost-effective</w:t>
      </w:r>
      <w:r w:rsidR="00A31250">
        <w:t>.”</w:t>
      </w:r>
      <w:r w:rsidR="00A31250">
        <w:rPr>
          <w:rStyle w:val="FootnoteReference"/>
        </w:rPr>
        <w:footnoteReference w:id="62"/>
      </w:r>
      <w:r w:rsidR="00A31250">
        <w:t xml:space="preserve"> That guidance would eliminate the guessing game and provide applican</w:t>
      </w:r>
      <w:r w:rsidR="00A900A0">
        <w:t xml:space="preserve">ts with a basis to challenge USAC’s cost analysis if it seems </w:t>
      </w:r>
      <w:r w:rsidR="00A31250">
        <w:t>out of line with local economic</w:t>
      </w:r>
      <w:r w:rsidR="00562A1E">
        <w:t xml:space="preserve"> and competitive</w:t>
      </w:r>
      <w:r w:rsidR="00A31250">
        <w:t xml:space="preserve"> realities. </w:t>
      </w:r>
    </w:p>
    <w:p w14:paraId="77A9D07C" w14:textId="787D6D48" w:rsidR="00AB0FFB" w:rsidRDefault="00A31250" w:rsidP="00A900A0">
      <w:pPr>
        <w:ind w:firstLine="720"/>
      </w:pPr>
      <w:r w:rsidRPr="006B18FC">
        <w:t xml:space="preserve">USAC has </w:t>
      </w:r>
      <w:r w:rsidR="00273077">
        <w:t>yet to fulfill i</w:t>
      </w:r>
      <w:r w:rsidR="00096C33">
        <w:t xml:space="preserve">ts part </w:t>
      </w:r>
      <w:r w:rsidR="00273077">
        <w:t xml:space="preserve">in </w:t>
      </w:r>
      <w:r w:rsidR="00096C33">
        <w:t>implement</w:t>
      </w:r>
      <w:r w:rsidR="00273077">
        <w:t>ing</w:t>
      </w:r>
      <w:r w:rsidR="00096C33">
        <w:t xml:space="preserve"> </w:t>
      </w:r>
      <w:r w:rsidRPr="006B18FC">
        <w:t>this expl</w:t>
      </w:r>
      <w:r w:rsidR="006B18FC" w:rsidRPr="006B18FC">
        <w:t>icit Commission mandate</w:t>
      </w:r>
      <w:r w:rsidR="003B1EE4">
        <w:t>,</w:t>
      </w:r>
      <w:r w:rsidR="007F5DBB">
        <w:t xml:space="preserve"> perhaps</w:t>
      </w:r>
      <w:r w:rsidR="003B1EE4">
        <w:t xml:space="preserve"> </w:t>
      </w:r>
      <w:r w:rsidR="002C77A3">
        <w:t>in</w:t>
      </w:r>
      <w:r w:rsidR="003B1EE4">
        <w:t xml:space="preserve"> fear that too much guidance would allow “gaming” of the system. But that reasoning </w:t>
      </w:r>
      <w:r w:rsidR="002C17EC">
        <w:t>would be</w:t>
      </w:r>
      <w:r w:rsidR="003B1EE4">
        <w:t xml:space="preserve"> curious, at best, given the Commission’s use of transparent cost models in other settings.</w:t>
      </w:r>
      <w:r w:rsidR="00AB0FFB">
        <w:rPr>
          <w:rStyle w:val="FootnoteReference"/>
        </w:rPr>
        <w:footnoteReference w:id="63"/>
      </w:r>
      <w:r w:rsidR="00AB0FFB" w:rsidRPr="009A373F">
        <w:t xml:space="preserve"> </w:t>
      </w:r>
      <w:r w:rsidR="00AB0FFB" w:rsidRPr="00AB0FFB">
        <w:t xml:space="preserve"> </w:t>
      </w:r>
    </w:p>
    <w:p w14:paraId="48B01B22" w14:textId="77777777" w:rsidR="00090C65" w:rsidRDefault="00D65E52" w:rsidP="00090C65">
      <w:r>
        <w:tab/>
      </w:r>
      <w:r w:rsidR="00D37A24">
        <w:t xml:space="preserve">Consider how </w:t>
      </w:r>
      <w:r w:rsidR="009957A3">
        <w:t>the</w:t>
      </w:r>
      <w:r w:rsidR="002F0BF9">
        <w:t xml:space="preserve"> </w:t>
      </w:r>
      <w:r w:rsidR="009957A3">
        <w:t xml:space="preserve">E-rate </w:t>
      </w:r>
      <w:r w:rsidR="00D37A24">
        <w:t>application process proceeds.</w:t>
      </w:r>
      <w:r w:rsidR="00F865D6" w:rsidRPr="00F17178">
        <w:t xml:space="preserve"> </w:t>
      </w:r>
      <w:r w:rsidR="003B1EE4" w:rsidRPr="00F17178">
        <w:t xml:space="preserve">In </w:t>
      </w:r>
      <w:r w:rsidR="00090C65" w:rsidRPr="00F17178">
        <w:t xml:space="preserve">seeking funding to construct fiber or use dark fiber, </w:t>
      </w:r>
      <w:r w:rsidR="00562A1E" w:rsidRPr="00F17178">
        <w:t>each applicant is</w:t>
      </w:r>
      <w:r w:rsidR="00F2257A" w:rsidRPr="00F17178">
        <w:t xml:space="preserve"> required to file FCC </w:t>
      </w:r>
      <w:r w:rsidR="00AB0FFB" w:rsidRPr="00F17178">
        <w:t xml:space="preserve">Form </w:t>
      </w:r>
      <w:r w:rsidR="00F2257A" w:rsidRPr="00F17178">
        <w:t>470,</w:t>
      </w:r>
      <w:r w:rsidR="00F2257A">
        <w:t xml:space="preserve"> which seeks bids and information necessary to select a cost-effective approach, and then FCC Form 471, </w:t>
      </w:r>
      <w:r w:rsidR="009940AD">
        <w:t xml:space="preserve">which asks for </w:t>
      </w:r>
      <w:r w:rsidR="007836B0">
        <w:t>E-rate</w:t>
      </w:r>
      <w:r w:rsidR="009940AD">
        <w:t xml:space="preserve"> funding</w:t>
      </w:r>
      <w:r w:rsidR="008E4E11">
        <w:t xml:space="preserve"> at the conclusion of the competitive process</w:t>
      </w:r>
      <w:r w:rsidR="009940AD">
        <w:t>. USAC reviews</w:t>
      </w:r>
      <w:r w:rsidR="00942BD0">
        <w:t xml:space="preserve"> the completed Form 471</w:t>
      </w:r>
      <w:r w:rsidR="003C25FB">
        <w:t xml:space="preserve"> </w:t>
      </w:r>
      <w:r w:rsidR="009940AD">
        <w:t xml:space="preserve">and </w:t>
      </w:r>
      <w:r w:rsidR="00A900A0">
        <w:t xml:space="preserve">either poses </w:t>
      </w:r>
      <w:r w:rsidR="00A900A0">
        <w:lastRenderedPageBreak/>
        <w:t xml:space="preserve">questions (including through a questionnaire discussed below) or </w:t>
      </w:r>
      <w:r w:rsidR="009940AD">
        <w:t>provide</w:t>
      </w:r>
      <w:r w:rsidR="00A900A0">
        <w:t>s</w:t>
      </w:r>
      <w:r w:rsidR="009940AD">
        <w:t xml:space="preserve"> a response </w:t>
      </w:r>
      <w:r w:rsidR="009957A3">
        <w:t>that</w:t>
      </w:r>
      <w:r w:rsidR="009940AD">
        <w:t xml:space="preserve">, in requests for support of fiber-construction, </w:t>
      </w:r>
      <w:r w:rsidR="008E4E11">
        <w:t>have been disproportionately negative</w:t>
      </w:r>
      <w:r w:rsidR="00A509ED">
        <w:t xml:space="preserve"> </w:t>
      </w:r>
      <w:r w:rsidR="00A05FB1">
        <w:t>and</w:t>
      </w:r>
      <w:r w:rsidR="00A509ED">
        <w:t xml:space="preserve"> </w:t>
      </w:r>
      <w:r w:rsidR="00AB417F">
        <w:t>inconsistent</w:t>
      </w:r>
      <w:r w:rsidR="009940AD">
        <w:t>.</w:t>
      </w:r>
      <w:r w:rsidR="00C617AA">
        <w:rPr>
          <w:rStyle w:val="FootnoteReference"/>
        </w:rPr>
        <w:footnoteReference w:id="64"/>
      </w:r>
      <w:r w:rsidR="009940AD">
        <w:t xml:space="preserve"> </w:t>
      </w:r>
    </w:p>
    <w:p w14:paraId="270DCB62" w14:textId="3DBD5E9D" w:rsidR="00165BA6" w:rsidRDefault="00562A1E" w:rsidP="00890FD5">
      <w:pPr>
        <w:ind w:firstLine="720"/>
      </w:pPr>
      <w:r>
        <w:t>In fact, in</w:t>
      </w:r>
      <w:r w:rsidR="00165BA6">
        <w:t xml:space="preserve"> roughly </w:t>
      </w:r>
      <w:r w:rsidR="00165BA6" w:rsidRPr="00C837CE">
        <w:t>13% of</w:t>
      </w:r>
      <w:r w:rsidR="00F41AA3" w:rsidRPr="00C837CE">
        <w:t xml:space="preserve"> all denied fiber</w:t>
      </w:r>
      <w:r w:rsidR="00165BA6" w:rsidRPr="00C837CE">
        <w:t xml:space="preserve"> projects</w:t>
      </w:r>
      <w:r w:rsidR="0078650A" w:rsidRPr="00C837CE">
        <w:t xml:space="preserve"> (and 3% of all </w:t>
      </w:r>
      <w:r w:rsidR="00803610">
        <w:t>special construction</w:t>
      </w:r>
      <w:r w:rsidR="0078650A" w:rsidRPr="00C837CE">
        <w:t xml:space="preserve"> projects</w:t>
      </w:r>
      <w:r w:rsidR="0078650A">
        <w:t>)</w:t>
      </w:r>
      <w:r w:rsidR="00C837CE">
        <w:t xml:space="preserve"> at issue in 2016-17</w:t>
      </w:r>
      <w:r w:rsidR="00F1186E">
        <w:t>,</w:t>
      </w:r>
      <w:r w:rsidR="007676FC">
        <w:rPr>
          <w:rStyle w:val="FootnoteReference"/>
        </w:rPr>
        <w:footnoteReference w:id="65"/>
      </w:r>
      <w:r w:rsidR="00165BA6">
        <w:t xml:space="preserve"> USAC asserts that a request failed to reflect some calculation of reasonable costs. For example, USAC told schools that “[t]he </w:t>
      </w:r>
      <w:r w:rsidR="00FA3945">
        <w:t>special</w:t>
      </w:r>
      <w:r w:rsidR="00C9274D">
        <w:t xml:space="preserve"> </w:t>
      </w:r>
      <w:r w:rsidR="00FA3945">
        <w:t>construction</w:t>
      </w:r>
      <w:r w:rsidR="00165BA6">
        <w:t xml:space="preserve"> charges you requested were determined to be outside of the excepted [si</w:t>
      </w:r>
      <w:r w:rsidR="00280396">
        <w:t>c</w:t>
      </w:r>
      <w:r w:rsidR="00790041">
        <w:t>] range of construction costs</w:t>
      </w:r>
      <w:r w:rsidR="00165BA6">
        <w:t>”</w:t>
      </w:r>
      <w:r w:rsidR="00165BA6">
        <w:rPr>
          <w:rStyle w:val="FootnoteReference"/>
        </w:rPr>
        <w:footnoteReference w:id="66"/>
      </w:r>
      <w:r w:rsidR="00790041">
        <w:t xml:space="preserve"> or that “[t]he </w:t>
      </w:r>
      <w:r w:rsidR="00FA3945">
        <w:t>special</w:t>
      </w:r>
      <w:r w:rsidR="00C9274D">
        <w:t xml:space="preserve"> </w:t>
      </w:r>
      <w:r w:rsidR="00FA3945">
        <w:t>construction</w:t>
      </w:r>
      <w:r w:rsidR="00790041">
        <w:t xml:space="preserve"> charges related to this</w:t>
      </w:r>
      <w:r w:rsidR="00E848CE">
        <w:t xml:space="preserve"> </w:t>
      </w:r>
      <w:r>
        <w:t xml:space="preserve">[Funding Request Number] </w:t>
      </w:r>
      <w:r w:rsidR="00790041">
        <w:t xml:space="preserve">have been deemed as outside of the expected industry range of </w:t>
      </w:r>
      <w:r w:rsidR="00FA3945">
        <w:t>special</w:t>
      </w:r>
      <w:r w:rsidR="00C9274D">
        <w:t xml:space="preserve"> </w:t>
      </w:r>
      <w:r w:rsidR="00FA3945">
        <w:t>construction</w:t>
      </w:r>
      <w:r w:rsidR="00790041">
        <w:t xml:space="preserve"> charges</w:t>
      </w:r>
      <w:r w:rsidR="00564D4B">
        <w:t>.</w:t>
      </w:r>
      <w:r w:rsidR="00790041">
        <w:t>”</w:t>
      </w:r>
      <w:r w:rsidR="00790041">
        <w:rPr>
          <w:rStyle w:val="FootnoteReference"/>
        </w:rPr>
        <w:footnoteReference w:id="67"/>
      </w:r>
    </w:p>
    <w:p w14:paraId="574034E2" w14:textId="45D16708" w:rsidR="00790041" w:rsidRDefault="00790041" w:rsidP="00890FD5">
      <w:pPr>
        <w:ind w:firstLine="720"/>
      </w:pPr>
      <w:r>
        <w:t xml:space="preserve">These are comparative judgments. But to what </w:t>
      </w:r>
      <w:r w:rsidR="009957A3">
        <w:t>are the schools’ calculations</w:t>
      </w:r>
      <w:r>
        <w:t xml:space="preserve"> of </w:t>
      </w:r>
      <w:r w:rsidR="00803610">
        <w:t>special construction</w:t>
      </w:r>
      <w:r>
        <w:t xml:space="preserve"> costs being compared?</w:t>
      </w:r>
      <w:r w:rsidR="0078650A" w:rsidRPr="0078650A">
        <w:t xml:space="preserve"> </w:t>
      </w:r>
      <w:r w:rsidR="00280396" w:rsidRPr="00280396">
        <w:t xml:space="preserve">It appears that USAC is using a cost model created, and suited, for a very different purpose. </w:t>
      </w:r>
      <w:r w:rsidR="00AB0FFB">
        <w:t>T</w:t>
      </w:r>
      <w:r w:rsidR="00AB0FFB" w:rsidRPr="00AB0FFB">
        <w:t xml:space="preserve">he FCC </w:t>
      </w:r>
      <w:r w:rsidR="00AB0FFB">
        <w:t xml:space="preserve">uses </w:t>
      </w:r>
      <w:r w:rsidR="00AB0FFB" w:rsidRPr="00AB0FFB">
        <w:t>a forward-looking cost model</w:t>
      </w:r>
      <w:r w:rsidR="00AB0FFB">
        <w:t xml:space="preserve"> (</w:t>
      </w:r>
      <w:r w:rsidR="009C46EC">
        <w:t xml:space="preserve">Connect America Fund or </w:t>
      </w:r>
      <w:r w:rsidR="00AB0FFB">
        <w:t xml:space="preserve">CAF2 cost model) </w:t>
      </w:r>
      <w:r w:rsidR="00AB0FFB" w:rsidRPr="00AB0FFB">
        <w:t>to estimate the support necessary to serve rural areas</w:t>
      </w:r>
      <w:r w:rsidR="00EE6BBD">
        <w:t xml:space="preserve"> when it funds</w:t>
      </w:r>
      <w:r w:rsidR="00AB0FFB">
        <w:t xml:space="preserve"> build-out to rural</w:t>
      </w:r>
      <w:r w:rsidR="00A900A0">
        <w:t xml:space="preserve"> residences.</w:t>
      </w:r>
      <w:r w:rsidR="0098302A">
        <w:rPr>
          <w:rStyle w:val="FootnoteReference"/>
        </w:rPr>
        <w:footnoteReference w:id="68"/>
      </w:r>
      <w:r w:rsidR="0098302A">
        <w:t xml:space="preserve"> But use</w:t>
      </w:r>
      <w:r w:rsidR="00280396">
        <w:t xml:space="preserve"> of the CAF2 model </w:t>
      </w:r>
      <w:r w:rsidR="00AB0FFB">
        <w:t>(or any other undisclosed model</w:t>
      </w:r>
      <w:r w:rsidR="004E0870">
        <w:t xml:space="preserve"> or methodology</w:t>
      </w:r>
      <w:r w:rsidR="00AB0FFB">
        <w:t xml:space="preserve">) </w:t>
      </w:r>
      <w:r w:rsidR="00280396">
        <w:t xml:space="preserve">to assess </w:t>
      </w:r>
      <w:r w:rsidR="007836B0">
        <w:t>E-rate</w:t>
      </w:r>
      <w:r w:rsidR="00280396">
        <w:t xml:space="preserve"> applications spawns a series of errors.</w:t>
      </w:r>
    </w:p>
    <w:p w14:paraId="5539AA7A" w14:textId="288E8BF5" w:rsidR="002945DD" w:rsidRDefault="00D37A24" w:rsidP="00890FD5">
      <w:pPr>
        <w:ind w:firstLine="720"/>
      </w:pPr>
      <w:r>
        <w:t>First</w:t>
      </w:r>
      <w:r w:rsidR="00A80050">
        <w:t>, and as indicated by these concerns, the use of an</w:t>
      </w:r>
      <w:r w:rsidR="003B6069">
        <w:t>y</w:t>
      </w:r>
      <w:r w:rsidR="00A80050">
        <w:t xml:space="preserve"> cost</w:t>
      </w:r>
      <w:r w:rsidR="008317C5">
        <w:t xml:space="preserve"> </w:t>
      </w:r>
      <w:r w:rsidR="00A80050">
        <w:t>model</w:t>
      </w:r>
      <w:r w:rsidR="003B6069">
        <w:t xml:space="preserve"> or similar </w:t>
      </w:r>
      <w:r w:rsidR="00D65E52">
        <w:t>methodology is</w:t>
      </w:r>
      <w:r w:rsidR="00F41AA3">
        <w:t xml:space="preserve"> improper </w:t>
      </w:r>
      <w:r w:rsidR="00135DA4">
        <w:t xml:space="preserve">without a </w:t>
      </w:r>
      <w:r w:rsidR="00101CF0">
        <w:t xml:space="preserve">public, </w:t>
      </w:r>
      <w:r w:rsidR="00135DA4">
        <w:t>administrative process</w:t>
      </w:r>
      <w:r w:rsidR="00F41AA3">
        <w:t xml:space="preserve"> to decide its </w:t>
      </w:r>
      <w:r w:rsidR="003B6069">
        <w:t>usefulness</w:t>
      </w:r>
      <w:r w:rsidR="00F41AA3">
        <w:t>.</w:t>
      </w:r>
      <w:r w:rsidR="00135DA4">
        <w:t xml:space="preserve"> Schools have had no </w:t>
      </w:r>
      <w:r w:rsidR="002945DD">
        <w:t xml:space="preserve">prior ability to </w:t>
      </w:r>
      <w:r w:rsidR="00135DA4">
        <w:t>assess, question, challenge</w:t>
      </w:r>
      <w:r w:rsidR="00AF13DA">
        <w:t>,</w:t>
      </w:r>
      <w:r w:rsidR="00135DA4">
        <w:t xml:space="preserve"> or even affirm the structure of the model and </w:t>
      </w:r>
      <w:r w:rsidR="003B6069">
        <w:t>any</w:t>
      </w:r>
      <w:r w:rsidR="00135DA4">
        <w:t xml:space="preserve"> inputs that </w:t>
      </w:r>
      <w:r w:rsidR="003B6069">
        <w:t>are</w:t>
      </w:r>
      <w:r w:rsidR="00135DA4">
        <w:t xml:space="preserve"> used, in marked contrast to the open process that the Commission used to assess whether the CAF cost</w:t>
      </w:r>
      <w:r w:rsidR="005857CE">
        <w:t xml:space="preserve"> </w:t>
      </w:r>
      <w:r w:rsidR="00135DA4">
        <w:t xml:space="preserve">model should be used </w:t>
      </w:r>
      <w:r w:rsidR="002945DD">
        <w:t>to guide negotiations with incumbent carriers in rural areas</w:t>
      </w:r>
      <w:r w:rsidR="00135DA4">
        <w:t>.</w:t>
      </w:r>
      <w:r w:rsidR="00135DA4">
        <w:rPr>
          <w:rStyle w:val="FootnoteReference"/>
        </w:rPr>
        <w:footnoteReference w:id="69"/>
      </w:r>
      <w:r w:rsidR="00135DA4">
        <w:t xml:space="preserve"> Nor does USAC even </w:t>
      </w:r>
      <w:r w:rsidR="0006001F">
        <w:t xml:space="preserve">reveal </w:t>
      </w:r>
      <w:r w:rsidR="007473EE">
        <w:t>publicly</w:t>
      </w:r>
      <w:r w:rsidR="00101CF0">
        <w:t xml:space="preserve"> </w:t>
      </w:r>
      <w:r w:rsidR="0006001F">
        <w:t xml:space="preserve">the existence of the </w:t>
      </w:r>
      <w:r w:rsidR="003B6069">
        <w:t>cost-evaluation methodology it is using</w:t>
      </w:r>
      <w:r w:rsidR="0006001F">
        <w:t xml:space="preserve"> </w:t>
      </w:r>
      <w:r w:rsidR="00135DA4">
        <w:t xml:space="preserve">to justify its </w:t>
      </w:r>
      <w:r w:rsidR="00273077">
        <w:t>terse</w:t>
      </w:r>
      <w:r w:rsidR="00135DA4">
        <w:t xml:space="preserve"> conclusions. </w:t>
      </w:r>
    </w:p>
    <w:p w14:paraId="204DE523" w14:textId="669E5856" w:rsidR="00090C65" w:rsidRDefault="002945DD" w:rsidP="00890FD5">
      <w:pPr>
        <w:ind w:firstLine="720"/>
      </w:pPr>
      <w:r>
        <w:lastRenderedPageBreak/>
        <w:t>F</w:t>
      </w:r>
      <w:r w:rsidR="00B03427">
        <w:t>air process requires USAC</w:t>
      </w:r>
      <w:r w:rsidR="00135DA4">
        <w:t xml:space="preserve"> to "give interested persons an opportunity to</w:t>
      </w:r>
      <w:r w:rsidR="0078650A">
        <w:t xml:space="preserve"> participate…</w:t>
      </w:r>
      <w:r w:rsidR="00135DA4">
        <w:t>through submission of written data, views, or arguments."</w:t>
      </w:r>
      <w:r w:rsidR="00135DA4">
        <w:rPr>
          <w:rStyle w:val="FootnoteReference"/>
        </w:rPr>
        <w:footnoteReference w:id="70"/>
      </w:r>
      <w:r w:rsidR="0042752A">
        <w:t xml:space="preserve"> Notably, USAC has issued </w:t>
      </w:r>
      <w:r>
        <w:t>“</w:t>
      </w:r>
      <w:r w:rsidR="0042752A">
        <w:t>Administrative Procedures</w:t>
      </w:r>
      <w:r>
        <w:t xml:space="preserve">” for </w:t>
      </w:r>
      <w:r w:rsidR="0042752A">
        <w:t xml:space="preserve">the </w:t>
      </w:r>
      <w:r w:rsidR="007836B0">
        <w:t>E-rate</w:t>
      </w:r>
      <w:r w:rsidR="0042752A">
        <w:t xml:space="preserve"> </w:t>
      </w:r>
      <w:r w:rsidR="009C46EC">
        <w:t>program</w:t>
      </w:r>
      <w:r w:rsidR="0037495C">
        <w:t>,</w:t>
      </w:r>
      <w:r w:rsidR="009C46EC">
        <w:t xml:space="preserve"> </w:t>
      </w:r>
      <w:r w:rsidR="0042752A">
        <w:t xml:space="preserve">but </w:t>
      </w:r>
      <w:r>
        <w:t xml:space="preserve">that guidance </w:t>
      </w:r>
      <w:r w:rsidR="0042752A">
        <w:t>conspicuously fails to provide an</w:t>
      </w:r>
      <w:r>
        <w:t>y insight into the procedures USAC</w:t>
      </w:r>
      <w:r w:rsidR="0042752A">
        <w:t xml:space="preserve"> uses to assess the validity of prices established through a competitive-bidding process</w:t>
      </w:r>
      <w:r>
        <w:t xml:space="preserve">. </w:t>
      </w:r>
      <w:r w:rsidRPr="00B72F6C">
        <w:t xml:space="preserve">Nor does it </w:t>
      </w:r>
      <w:r w:rsidR="007F5DBB" w:rsidRPr="00B72F6C">
        <w:t xml:space="preserve">even publicly </w:t>
      </w:r>
      <w:r w:rsidR="00BC5F76" w:rsidRPr="00B72F6C">
        <w:t>acknowledge the use of a cost</w:t>
      </w:r>
      <w:r w:rsidR="000C355D">
        <w:t xml:space="preserve"> </w:t>
      </w:r>
      <w:r w:rsidR="00BC5F76" w:rsidRPr="00B72F6C">
        <w:t>model or other mechanism to make such decisions</w:t>
      </w:r>
      <w:r w:rsidR="00BC5F76" w:rsidRPr="00B72F6C">
        <w:rPr>
          <w:rStyle w:val="FootnoteReference"/>
        </w:rPr>
        <w:footnoteReference w:id="71"/>
      </w:r>
      <w:r w:rsidR="00BC5F76" w:rsidRPr="00B72F6C">
        <w:t xml:space="preserve"> – a</w:t>
      </w:r>
      <w:r w:rsidR="00FF413D">
        <w:t>n</w:t>
      </w:r>
      <w:r w:rsidR="00BC5F76" w:rsidRPr="00B72F6C">
        <w:t xml:space="preserve"> omission</w:t>
      </w:r>
      <w:r w:rsidR="00B03427" w:rsidRPr="00B72F6C">
        <w:t xml:space="preserve"> that further</w:t>
      </w:r>
      <w:r w:rsidR="008F49AF">
        <w:t>s</w:t>
      </w:r>
      <w:r w:rsidR="00B03427" w:rsidRPr="00B72F6C">
        <w:t xml:space="preserve"> the conclusion that</w:t>
      </w:r>
      <w:r w:rsidR="00B03427">
        <w:t xml:space="preserve"> </w:t>
      </w:r>
      <w:r w:rsidR="002B2B0F">
        <w:t>USAC is intentionally employing</w:t>
      </w:r>
      <w:r w:rsidR="00B03427">
        <w:t xml:space="preserve"> </w:t>
      </w:r>
      <w:r w:rsidR="005A565E">
        <w:t>undisclosed criteria</w:t>
      </w:r>
      <w:r w:rsidR="00B03427">
        <w:t xml:space="preserve"> </w:t>
      </w:r>
      <w:r w:rsidR="002B2B0F">
        <w:t xml:space="preserve">in a manner that is </w:t>
      </w:r>
      <w:r w:rsidR="00B03427">
        <w:t>impermissible and beyond the scope of USAC’s authority.</w:t>
      </w:r>
    </w:p>
    <w:p w14:paraId="675C28E2" w14:textId="0A3879CB" w:rsidR="000F0635" w:rsidRDefault="00D37A24" w:rsidP="00890FD5">
      <w:pPr>
        <w:ind w:firstLine="720"/>
      </w:pPr>
      <w:r>
        <w:t>The need for process is heightened because</w:t>
      </w:r>
      <w:r w:rsidR="007A7BE5">
        <w:t xml:space="preserve"> </w:t>
      </w:r>
      <w:r w:rsidR="000F0635">
        <w:t>the use of th</w:t>
      </w:r>
      <w:r w:rsidR="00AC0A64">
        <w:t>is</w:t>
      </w:r>
      <w:r w:rsidR="000F0635">
        <w:t xml:space="preserve"> cost</w:t>
      </w:r>
      <w:r w:rsidR="00E53C48">
        <w:t xml:space="preserve"> </w:t>
      </w:r>
      <w:r w:rsidR="000F0635">
        <w:t>model to</w:t>
      </w:r>
      <w:r w:rsidR="00D65E52">
        <w:t xml:space="preserve"> review </w:t>
      </w:r>
      <w:r w:rsidR="007836B0">
        <w:t>E-rate</w:t>
      </w:r>
      <w:r w:rsidR="00D65E52">
        <w:t xml:space="preserve"> applications is </w:t>
      </w:r>
      <w:r>
        <w:t>significantly</w:t>
      </w:r>
      <w:r w:rsidR="003203F9">
        <w:t xml:space="preserve"> </w:t>
      </w:r>
      <w:r w:rsidR="000F0635">
        <w:t>different from its use in the CAF context. After all, a carrier is free to decline the CAF support</w:t>
      </w:r>
      <w:r w:rsidR="00D65E52">
        <w:t xml:space="preserve"> that is generated</w:t>
      </w:r>
      <w:r w:rsidR="002945DD">
        <w:t xml:space="preserve"> by the CAF2 model’s estimate</w:t>
      </w:r>
      <w:r w:rsidR="000F0635">
        <w:t xml:space="preserve">; in other words, the CAF2 model was designed to generate an offer that might be accepted or declined based on an “estimate” of the necessary support.  </w:t>
      </w:r>
      <w:r w:rsidR="0098302A">
        <w:t>If a carrier declines, the model is not used</w:t>
      </w:r>
      <w:r w:rsidR="00AF13DA">
        <w:t>;</w:t>
      </w:r>
      <w:r w:rsidR="0098302A">
        <w:t xml:space="preserve"> rather the Commission turns to competitive bidding.</w:t>
      </w:r>
      <w:r w:rsidR="0098302A">
        <w:rPr>
          <w:rStyle w:val="FootnoteReference"/>
        </w:rPr>
        <w:footnoteReference w:id="72"/>
      </w:r>
    </w:p>
    <w:p w14:paraId="559956A5" w14:textId="49F09B81" w:rsidR="00D65E52" w:rsidRDefault="000F0635" w:rsidP="00101CF0">
      <w:pPr>
        <w:ind w:firstLine="720"/>
      </w:pPr>
      <w:r>
        <w:t>But, of course</w:t>
      </w:r>
      <w:r w:rsidR="009C46EC">
        <w:t>,</w:t>
      </w:r>
      <w:r>
        <w:t xml:space="preserve"> </w:t>
      </w:r>
      <w:r w:rsidR="005B5126">
        <w:t xml:space="preserve">the process of </w:t>
      </w:r>
      <w:r w:rsidR="003A13D2">
        <w:t xml:space="preserve">funding </w:t>
      </w:r>
      <w:r>
        <w:t xml:space="preserve">construction to schools is very different. </w:t>
      </w:r>
      <w:r w:rsidR="00101CF0">
        <w:t>To the extent that USAC uses the cost</w:t>
      </w:r>
      <w:r w:rsidR="0054588F">
        <w:t xml:space="preserve"> </w:t>
      </w:r>
      <w:r w:rsidR="00101CF0">
        <w:t>m</w:t>
      </w:r>
      <w:r w:rsidR="00F93DB1">
        <w:t>o</w:t>
      </w:r>
      <w:r w:rsidR="00101CF0">
        <w:t xml:space="preserve">del to judge the cost-effectiveness of an application, compliance with the model has become </w:t>
      </w:r>
      <w:r>
        <w:t xml:space="preserve">mandatory for any school district that seeks </w:t>
      </w:r>
      <w:r w:rsidR="002945DD">
        <w:t xml:space="preserve">needed </w:t>
      </w:r>
      <w:r w:rsidR="007836B0">
        <w:t>E-rate</w:t>
      </w:r>
      <w:r w:rsidR="00781753">
        <w:t xml:space="preserve"> </w:t>
      </w:r>
      <w:r w:rsidR="00803610">
        <w:t>special construction</w:t>
      </w:r>
      <w:r w:rsidR="002945DD">
        <w:t xml:space="preserve"> funding</w:t>
      </w:r>
      <w:r w:rsidR="00D65E52">
        <w:t xml:space="preserve">. </w:t>
      </w:r>
      <w:r w:rsidR="002945DD">
        <w:t xml:space="preserve">And USAC denials are </w:t>
      </w:r>
      <w:r>
        <w:t>not part of any negotiation process</w:t>
      </w:r>
      <w:r w:rsidR="002945DD">
        <w:t>, do</w:t>
      </w:r>
      <w:r w:rsidR="0098302A">
        <w:t xml:space="preserve"> not lead to an alternative market-based approach,</w:t>
      </w:r>
      <w:r w:rsidR="002945DD">
        <w:t xml:space="preserve"> and are</w:t>
      </w:r>
      <w:r>
        <w:t xml:space="preserve"> being applied to non-profit school districts</w:t>
      </w:r>
      <w:r w:rsidR="0098302A">
        <w:t xml:space="preserve"> that</w:t>
      </w:r>
      <w:r w:rsidR="00AF13DA">
        <w:t>,</w:t>
      </w:r>
      <w:r w:rsidR="0098302A">
        <w:t xml:space="preserve"> by in large</w:t>
      </w:r>
      <w:r w:rsidR="00AF13DA">
        <w:t>,</w:t>
      </w:r>
      <w:r w:rsidR="0098302A">
        <w:t xml:space="preserve"> are not experts on the deployment of broadband networks</w:t>
      </w:r>
      <w:r w:rsidR="007B77EF">
        <w:t>.</w:t>
      </w:r>
      <w:r>
        <w:t xml:space="preserve"> But </w:t>
      </w:r>
      <w:r w:rsidR="009957A3">
        <w:t>USAC has failed to establish that</w:t>
      </w:r>
      <w:r>
        <w:t xml:space="preserve"> the CAF2 cost model has the requisite degree of accuracy to be applied in this very different context.</w:t>
      </w:r>
      <w:r w:rsidR="006E6710">
        <w:rPr>
          <w:rStyle w:val="FootnoteReference"/>
        </w:rPr>
        <w:footnoteReference w:id="73"/>
      </w:r>
      <w:r>
        <w:t xml:space="preserve"> </w:t>
      </w:r>
    </w:p>
    <w:p w14:paraId="769DCB09" w14:textId="5FC067AA" w:rsidR="00DA1493" w:rsidRPr="002245BF" w:rsidRDefault="000F0635" w:rsidP="00890FD5">
      <w:pPr>
        <w:ind w:firstLine="720"/>
      </w:pPr>
      <w:r>
        <w:t xml:space="preserve">Particularly disturbing is USAC’s suggestion that an applicant is outside an acceptable “range” of costs. But what is that range? Even if it is a range that spans costs on both sides of an estimate, how is the breadth of the range calculated? On what basis has USAC concluded that </w:t>
      </w:r>
      <w:r w:rsidR="00F75C4F">
        <w:t>its</w:t>
      </w:r>
      <w:r>
        <w:t xml:space="preserve"> estimate is</w:t>
      </w:r>
      <w:r w:rsidR="00D65E52">
        <w:t xml:space="preserve"> reliable enough to support overturning the result of a competitive bidding process</w:t>
      </w:r>
      <w:r>
        <w:t>?</w:t>
      </w:r>
      <w:r w:rsidR="007B77EF">
        <w:rPr>
          <w:rStyle w:val="FootnoteReference"/>
        </w:rPr>
        <w:footnoteReference w:id="74"/>
      </w:r>
    </w:p>
    <w:p w14:paraId="1E8302F8" w14:textId="3863C2C0" w:rsidR="00A80050" w:rsidRDefault="00D37A24" w:rsidP="00890FD5">
      <w:pPr>
        <w:ind w:firstLine="720"/>
      </w:pPr>
      <w:r>
        <w:t>Second</w:t>
      </w:r>
      <w:r w:rsidR="00A80050">
        <w:t xml:space="preserve">, the CAF model is constructed </w:t>
      </w:r>
      <w:r w:rsidR="00D65E52" w:rsidRPr="00D65E52">
        <w:t xml:space="preserve">to assess the cost of an “economically efficient network </w:t>
      </w:r>
      <w:r w:rsidR="002945DD">
        <w:t xml:space="preserve">[that] </w:t>
      </w:r>
      <w:r w:rsidR="00D65E52" w:rsidRPr="00D65E52">
        <w:t xml:space="preserve">would cover all or most locations in a given service territory, rather than only serving a small </w:t>
      </w:r>
      <w:r w:rsidR="00D65E52" w:rsidRPr="00D65E52">
        <w:lastRenderedPageBreak/>
        <w:t>subset of locations that lack broadband.”</w:t>
      </w:r>
      <w:r w:rsidR="00D65E52">
        <w:rPr>
          <w:rStyle w:val="FootnoteReference"/>
        </w:rPr>
        <w:footnoteReference w:id="75"/>
      </w:r>
      <w:r w:rsidR="00D65E52" w:rsidRPr="00D65E52">
        <w:t xml:space="preserve"> </w:t>
      </w:r>
      <w:r w:rsidR="00A80050">
        <w:t xml:space="preserve">But residential construction has very different characteristics than the construction of </w:t>
      </w:r>
      <w:r w:rsidR="00F1186E">
        <w:t xml:space="preserve">basically </w:t>
      </w:r>
      <w:r w:rsidR="00A80050">
        <w:t>point-to-point school networks</w:t>
      </w:r>
      <w:r w:rsidR="009C46EC">
        <w:t>. U</w:t>
      </w:r>
      <w:r w:rsidR="00C21D7F">
        <w:t xml:space="preserve">nder the </w:t>
      </w:r>
      <w:r w:rsidR="007836B0">
        <w:t>E-rate</w:t>
      </w:r>
      <w:r w:rsidR="00C21D7F">
        <w:t xml:space="preserve"> program</w:t>
      </w:r>
      <w:r w:rsidR="003531FB">
        <w:t>,</w:t>
      </w:r>
      <w:r w:rsidR="00C21D7F">
        <w:t xml:space="preserve"> the eligibility of funding focuses on the “costs necessary to get the fiber to the school</w:t>
      </w:r>
      <w:r w:rsidR="009C46EC">
        <w:t>.</w:t>
      </w:r>
      <w:r w:rsidR="00C21D7F">
        <w:t>”</w:t>
      </w:r>
      <w:r w:rsidR="00C21D7F">
        <w:rPr>
          <w:rStyle w:val="FootnoteReference"/>
        </w:rPr>
        <w:footnoteReference w:id="76"/>
      </w:r>
      <w:r w:rsidR="00EE6BBD">
        <w:t xml:space="preserve"> </w:t>
      </w:r>
      <w:r w:rsidR="00A80050">
        <w:t xml:space="preserve">For example, common costs amortized over a host of residential locations may produce economies of scale that are not present in </w:t>
      </w:r>
      <w:r w:rsidR="007836B0">
        <w:t>E-rate</w:t>
      </w:r>
      <w:r w:rsidR="00A80050">
        <w:t xml:space="preserve"> construction.</w:t>
      </w:r>
      <w:r w:rsidR="00D912AA">
        <w:t xml:space="preserve"> In 2013, the Commission provided a Connect America Cos</w:t>
      </w:r>
      <w:r w:rsidR="00B03427">
        <w:t>t Model Overview emphasizing</w:t>
      </w:r>
      <w:r w:rsidR="00D912AA">
        <w:t xml:space="preserve"> that network facilities must pass every location and that in deploying neighborhood connec</w:t>
      </w:r>
      <w:r w:rsidR="00B03427">
        <w:t>tions a critical outcome is</w:t>
      </w:r>
      <w:r w:rsidR="00D912AA">
        <w:t xml:space="preserve"> to determine </w:t>
      </w:r>
      <w:r w:rsidR="006F34A7">
        <w:t xml:space="preserve">– for </w:t>
      </w:r>
      <w:r w:rsidR="00D912AA">
        <w:t>every block or street segment</w:t>
      </w:r>
      <w:r w:rsidR="006F34A7">
        <w:t xml:space="preserve"> – the</w:t>
      </w:r>
      <w:r w:rsidR="00D912AA">
        <w:t xml:space="preserve"> precise location of neighborhood pedestals.</w:t>
      </w:r>
      <w:r w:rsidR="00D912AA">
        <w:rPr>
          <w:rStyle w:val="FootnoteReference"/>
        </w:rPr>
        <w:footnoteReference w:id="77"/>
      </w:r>
      <w:r w:rsidR="00D912AA">
        <w:t xml:space="preserve"> USAC has not explained how the analysis of</w:t>
      </w:r>
      <w:r w:rsidR="003B6069">
        <w:t xml:space="preserve"> </w:t>
      </w:r>
      <w:r w:rsidR="00251312">
        <w:t>that kind of</w:t>
      </w:r>
      <w:r w:rsidR="00D912AA">
        <w:t xml:space="preserve"> network topology applies to the different goals of </w:t>
      </w:r>
      <w:r w:rsidR="0006001F">
        <w:t>a</w:t>
      </w:r>
      <w:r w:rsidR="004E0870">
        <w:t>n essentially</w:t>
      </w:r>
      <w:r w:rsidR="00A35068">
        <w:t xml:space="preserve"> </w:t>
      </w:r>
      <w:r w:rsidR="0006001F">
        <w:t xml:space="preserve">point-to-point school network or how a cost model used to estimate the costs of a residential network can account for the </w:t>
      </w:r>
      <w:r w:rsidR="00251312">
        <w:t xml:space="preserve">distinct </w:t>
      </w:r>
      <w:r w:rsidR="0006001F">
        <w:t>circumstances of school construction.</w:t>
      </w:r>
      <w:r w:rsidR="002B2523">
        <w:t xml:space="preserve"> Moreover, CAF-supported networks are required merely to deliver download speeds of 10 Mbps</w:t>
      </w:r>
      <w:r w:rsidR="002945DD">
        <w:t xml:space="preserve">, much less than </w:t>
      </w:r>
      <w:r w:rsidR="00251312">
        <w:t>the</w:t>
      </w:r>
      <w:r w:rsidR="004E0870">
        <w:t xml:space="preserve"> long-term </w:t>
      </w:r>
      <w:r w:rsidR="00251312">
        <w:t xml:space="preserve">goal of 1 </w:t>
      </w:r>
      <w:proofErr w:type="spellStart"/>
      <w:r w:rsidR="00251312">
        <w:t>Gbps</w:t>
      </w:r>
      <w:proofErr w:type="spellEnd"/>
      <w:r w:rsidR="00251312">
        <w:t xml:space="preserve"> per 1,000 students established by the FCC,</w:t>
      </w:r>
      <w:r w:rsidR="003B6069">
        <w:t xml:space="preserve"> which is a</w:t>
      </w:r>
      <w:r w:rsidR="002945DD">
        <w:t xml:space="preserve"> critical difference in network</w:t>
      </w:r>
      <w:r w:rsidR="003B6069">
        <w:t xml:space="preserve"> construction and deployment.</w:t>
      </w:r>
      <w:r w:rsidR="002B2523">
        <w:rPr>
          <w:rStyle w:val="FootnoteReference"/>
        </w:rPr>
        <w:footnoteReference w:id="78"/>
      </w:r>
    </w:p>
    <w:p w14:paraId="2315B0BF" w14:textId="23896631" w:rsidR="00F151BD" w:rsidRDefault="00D37A24" w:rsidP="00890FD5">
      <w:pPr>
        <w:ind w:firstLine="720"/>
      </w:pPr>
      <w:r>
        <w:t xml:space="preserve">Third, </w:t>
      </w:r>
      <w:r w:rsidR="00F151BD" w:rsidRPr="00DA1493">
        <w:t>USAC’s approach to scrutinizing costs</w:t>
      </w:r>
      <w:r w:rsidR="00885526">
        <w:t xml:space="preserve"> </w:t>
      </w:r>
      <w:r w:rsidR="00F151BD" w:rsidRPr="00DA1493">
        <w:t xml:space="preserve">appears to be one-sided. When a school applies for funding of </w:t>
      </w:r>
      <w:r w:rsidR="00DA1493">
        <w:t xml:space="preserve">on-going subscription costs, which are charged much in the manner of a monthly bill sent to a consumer for residential broadband, </w:t>
      </w:r>
      <w:r w:rsidR="00F151BD" w:rsidRPr="00DA1493">
        <w:t>USAC does not appear to apply any cost</w:t>
      </w:r>
      <w:r w:rsidR="00921569">
        <w:t xml:space="preserve"> </w:t>
      </w:r>
      <w:r w:rsidR="00F151BD" w:rsidRPr="00DA1493">
        <w:t xml:space="preserve">model to </w:t>
      </w:r>
      <w:r>
        <w:t xml:space="preserve">review the application, even if </w:t>
      </w:r>
      <w:r w:rsidR="00803610">
        <w:t>special construction</w:t>
      </w:r>
      <w:r w:rsidR="00F151BD" w:rsidRPr="00DA1493">
        <w:t xml:space="preserve"> </w:t>
      </w:r>
      <w:r w:rsidR="00DA1493">
        <w:t xml:space="preserve">costs </w:t>
      </w:r>
      <w:r>
        <w:t>are included within the monthly charges.</w:t>
      </w:r>
      <w:r w:rsidR="00DA1493">
        <w:t xml:space="preserve"> But USAC</w:t>
      </w:r>
      <w:r w:rsidR="009A6017" w:rsidRPr="00DA1493">
        <w:t xml:space="preserve"> does single out applications</w:t>
      </w:r>
      <w:r w:rsidR="00DA1493">
        <w:t xml:space="preserve"> </w:t>
      </w:r>
      <w:r>
        <w:t xml:space="preserve">that seek upfront funding for </w:t>
      </w:r>
      <w:r w:rsidR="00803610">
        <w:t>special construction</w:t>
      </w:r>
      <w:r>
        <w:t>.</w:t>
      </w:r>
      <w:r w:rsidR="009A6017">
        <w:t xml:space="preserve"> </w:t>
      </w:r>
      <w:r w:rsidR="009A6017" w:rsidRPr="009A6017">
        <w:t>The inevitable effect of USAC</w:t>
      </w:r>
      <w:r w:rsidR="009C46EC">
        <w:t>’s</w:t>
      </w:r>
      <w:r w:rsidR="009A6017" w:rsidRPr="009A6017">
        <w:t xml:space="preserve"> selective approach is to drive school districts toward less</w:t>
      </w:r>
      <w:r w:rsidR="009C46EC">
        <w:t>-</w:t>
      </w:r>
      <w:r w:rsidR="009A6017" w:rsidRPr="009A6017">
        <w:t xml:space="preserve">cost-effective alternatives – a result entirely at odds with the purposes of the </w:t>
      </w:r>
      <w:r w:rsidR="007836B0">
        <w:t>E-rate</w:t>
      </w:r>
      <w:r w:rsidR="009A6017" w:rsidRPr="009A6017">
        <w:t xml:space="preserve"> program.</w:t>
      </w:r>
      <w:r w:rsidR="009A6017">
        <w:t xml:space="preserve"> Indeed, </w:t>
      </w:r>
      <w:r w:rsidR="009A6017" w:rsidRPr="00230902">
        <w:t>the CENIC analysis described above is a real-life example</w:t>
      </w:r>
      <w:r w:rsidR="00DF24B1">
        <w:t>:</w:t>
      </w:r>
      <w:r w:rsidR="00DF24B1" w:rsidRPr="00230902">
        <w:t xml:space="preserve"> </w:t>
      </w:r>
      <w:r w:rsidR="009A6017" w:rsidRPr="00230902">
        <w:t xml:space="preserve">the </w:t>
      </w:r>
      <w:r w:rsidR="00EF6019" w:rsidRPr="00230902">
        <w:t xml:space="preserve">next </w:t>
      </w:r>
      <w:r w:rsidR="00230902" w:rsidRPr="00625677">
        <w:t>lo</w:t>
      </w:r>
      <w:r w:rsidR="00230902">
        <w:t>w</w:t>
      </w:r>
      <w:r w:rsidR="00230902" w:rsidRPr="00625677">
        <w:t>est</w:t>
      </w:r>
      <w:r w:rsidR="00230902" w:rsidRPr="00230902">
        <w:t xml:space="preserve"> </w:t>
      </w:r>
      <w:r w:rsidR="00EF6019" w:rsidRPr="00230902">
        <w:t xml:space="preserve">bid was about 2.7 times the </w:t>
      </w:r>
      <w:r w:rsidR="009A6017" w:rsidRPr="00230902">
        <w:t xml:space="preserve">total five-year cost of a </w:t>
      </w:r>
      <w:r w:rsidR="00803610">
        <w:t>special construction</w:t>
      </w:r>
      <w:r w:rsidR="009A6017" w:rsidRPr="00230902">
        <w:t xml:space="preserve"> bid</w:t>
      </w:r>
      <w:r w:rsidR="00EF6019" w:rsidRPr="00230902">
        <w:t>.</w:t>
      </w:r>
      <w:r w:rsidR="00230902">
        <w:rPr>
          <w:rStyle w:val="FootnoteReference"/>
        </w:rPr>
        <w:footnoteReference w:id="79"/>
      </w:r>
      <w:r w:rsidR="00EF6019">
        <w:t xml:space="preserve"> </w:t>
      </w:r>
      <w:r w:rsidR="00F151BD">
        <w:t>Moreover, the state matching grant programs that are in effect apply only to the special</w:t>
      </w:r>
      <w:r w:rsidR="000966BE">
        <w:t xml:space="preserve"> </w:t>
      </w:r>
      <w:r w:rsidR="00F151BD">
        <w:t>constr</w:t>
      </w:r>
      <w:r w:rsidR="000966BE">
        <w:t>u</w:t>
      </w:r>
      <w:r w:rsidR="00F151BD">
        <w:t>ction applications, not those based on on-going subscriptions, which means that those</w:t>
      </w:r>
      <w:r w:rsidR="00AF13DA">
        <w:t xml:space="preserve"> state</w:t>
      </w:r>
      <w:r w:rsidR="00F151BD">
        <w:t xml:space="preserve"> funds are sacrificed when </w:t>
      </w:r>
      <w:r w:rsidR="00803610">
        <w:t>special construction</w:t>
      </w:r>
      <w:r w:rsidR="00F151BD">
        <w:t xml:space="preserve"> is singled out for disparate treatment. </w:t>
      </w:r>
      <w:r w:rsidR="0025723D">
        <w:t>In instance</w:t>
      </w:r>
      <w:r w:rsidR="00C827B0">
        <w:t xml:space="preserve">s </w:t>
      </w:r>
      <w:r w:rsidR="00E87C81">
        <w:t xml:space="preserve">featuring </w:t>
      </w:r>
      <w:r w:rsidR="00A226B9">
        <w:t xml:space="preserve">costs </w:t>
      </w:r>
      <w:r w:rsidR="00C827B0">
        <w:t xml:space="preserve">that </w:t>
      </w:r>
      <w:r w:rsidR="004263BE">
        <w:t xml:space="preserve">are otherwise </w:t>
      </w:r>
      <w:r w:rsidR="00A226B9">
        <w:t xml:space="preserve">comparable </w:t>
      </w:r>
      <w:r w:rsidR="00E241C4">
        <w:t xml:space="preserve">between </w:t>
      </w:r>
      <w:r w:rsidR="00B22844">
        <w:t xml:space="preserve">on-going subscription projects </w:t>
      </w:r>
      <w:r w:rsidR="004263BE">
        <w:t xml:space="preserve">and special projects </w:t>
      </w:r>
      <w:r w:rsidR="00167754">
        <w:t>eligible for state grants</w:t>
      </w:r>
      <w:r w:rsidR="00B22844">
        <w:t>,</w:t>
      </w:r>
      <w:r w:rsidR="00CA5592">
        <w:t xml:space="preserve"> this </w:t>
      </w:r>
      <w:r w:rsidR="0013451A">
        <w:t xml:space="preserve">approach </w:t>
      </w:r>
      <w:r w:rsidR="00CA32A8">
        <w:t>not only blocks the less costly option</w:t>
      </w:r>
      <w:r w:rsidR="00DF24B1">
        <w:t xml:space="preserve">, </w:t>
      </w:r>
      <w:r w:rsidR="00CA32A8">
        <w:t xml:space="preserve">it also </w:t>
      </w:r>
      <w:r w:rsidR="00071AEF">
        <w:t xml:space="preserve">frustrates the states’ </w:t>
      </w:r>
      <w:r w:rsidR="00071AEF">
        <w:lastRenderedPageBreak/>
        <w:t xml:space="preserve">preferences toward developing </w:t>
      </w:r>
      <w:r w:rsidR="001E036A">
        <w:t xml:space="preserve">longer-term infrastructure to support their schools. </w:t>
      </w:r>
      <w:r w:rsidR="00810D6D">
        <w:t>The combined effect</w:t>
      </w:r>
      <w:r w:rsidR="007659C9">
        <w:t xml:space="preserve"> is</w:t>
      </w:r>
      <w:r w:rsidR="00DA1493">
        <w:t xml:space="preserve"> </w:t>
      </w:r>
      <w:r w:rsidR="00810D6D">
        <w:t xml:space="preserve">to drive schools away from </w:t>
      </w:r>
      <w:r w:rsidR="009C46EC">
        <w:t>less-</w:t>
      </w:r>
      <w:r w:rsidR="00810D6D">
        <w:t>expensive</w:t>
      </w:r>
      <w:r w:rsidR="009957A3">
        <w:t xml:space="preserve"> </w:t>
      </w:r>
      <w:r w:rsidR="00810D6D">
        <w:t>alternatives.</w:t>
      </w:r>
      <w:r w:rsidR="00810D6D" w:rsidRPr="00810D6D">
        <w:t xml:space="preserve"> </w:t>
      </w:r>
    </w:p>
    <w:p w14:paraId="122A6243" w14:textId="1169BD34" w:rsidR="00BF66A4" w:rsidRDefault="009C46EC" w:rsidP="003A5678">
      <w:pPr>
        <w:spacing w:before="360"/>
      </w:pPr>
      <w:r>
        <w:rPr>
          <w:b/>
        </w:rPr>
        <w:t>I</w:t>
      </w:r>
      <w:r w:rsidR="006F42DB">
        <w:rPr>
          <w:b/>
        </w:rPr>
        <w:t>V</w:t>
      </w:r>
      <w:r w:rsidR="00BF66A4" w:rsidRPr="003E5F4B">
        <w:rPr>
          <w:b/>
        </w:rPr>
        <w:t xml:space="preserve">. </w:t>
      </w:r>
      <w:r>
        <w:rPr>
          <w:b/>
        </w:rPr>
        <w:t xml:space="preserve">USAC’s </w:t>
      </w:r>
      <w:r w:rsidR="00B94A49">
        <w:rPr>
          <w:b/>
        </w:rPr>
        <w:t xml:space="preserve">Inappropriate </w:t>
      </w:r>
      <w:r w:rsidR="003E5F4B" w:rsidRPr="003E5F4B">
        <w:rPr>
          <w:b/>
        </w:rPr>
        <w:t xml:space="preserve">Use of An </w:t>
      </w:r>
      <w:r w:rsidR="007F706C">
        <w:rPr>
          <w:b/>
        </w:rPr>
        <w:t>Unapproved</w:t>
      </w:r>
      <w:r w:rsidR="00BF66A4" w:rsidRPr="004A725A">
        <w:rPr>
          <w:b/>
        </w:rPr>
        <w:t xml:space="preserve"> Questionnaire</w:t>
      </w:r>
    </w:p>
    <w:p w14:paraId="7F0853C4" w14:textId="52C072AC" w:rsidR="00183882" w:rsidRDefault="004D7DF7" w:rsidP="00890FD5">
      <w:pPr>
        <w:ind w:firstLine="720"/>
      </w:pPr>
      <w:r>
        <w:t>Whil</w:t>
      </w:r>
      <w:r w:rsidR="00A20FA4">
        <w:t>e an application is pending</w:t>
      </w:r>
      <w:r>
        <w:t>, USAC operates a compliance review process, known as Program Integrity Assurance (PIA)</w:t>
      </w:r>
      <w:r w:rsidR="00EF6019">
        <w:t>,</w:t>
      </w:r>
      <w:r>
        <w:t xml:space="preserve"> to review Forms 471 in advance of making funding commitments.</w:t>
      </w:r>
      <w:r>
        <w:rPr>
          <w:rStyle w:val="FootnoteReference"/>
        </w:rPr>
        <w:footnoteReference w:id="80"/>
      </w:r>
      <w:r>
        <w:t xml:space="preserve"> As part of its PIA process, USAC </w:t>
      </w:r>
      <w:r w:rsidR="00183882">
        <w:t xml:space="preserve">seeks information </w:t>
      </w:r>
      <w:r w:rsidR="00BF66A4">
        <w:t>in order “to review applications for compliance with program rules and policies.”</w:t>
      </w:r>
      <w:r w:rsidR="00BF66A4">
        <w:rPr>
          <w:rStyle w:val="FootnoteReference"/>
        </w:rPr>
        <w:footnoteReference w:id="81"/>
      </w:r>
    </w:p>
    <w:p w14:paraId="7D828594" w14:textId="76431139" w:rsidR="00DA1493" w:rsidRDefault="00183882" w:rsidP="00183882">
      <w:pPr>
        <w:ind w:firstLine="720"/>
      </w:pPr>
      <w:r>
        <w:t xml:space="preserve">But USAC </w:t>
      </w:r>
      <w:r w:rsidR="00273077">
        <w:t>has required</w:t>
      </w:r>
      <w:r>
        <w:t xml:space="preserve"> </w:t>
      </w:r>
      <w:r w:rsidR="00803610">
        <w:t>special construction</w:t>
      </w:r>
      <w:r>
        <w:t xml:space="preserve"> applicants to complete a novel, detailed, unrealistic</w:t>
      </w:r>
      <w:r w:rsidR="009C46EC">
        <w:t>,</w:t>
      </w:r>
      <w:r>
        <w:t xml:space="preserve"> and unauthorized questionnaire</w:t>
      </w:r>
      <w:r w:rsidR="0064158E">
        <w:t>.</w:t>
      </w:r>
      <w:r w:rsidR="00A20FA4">
        <w:t xml:space="preserve"> </w:t>
      </w:r>
      <w:r>
        <w:t xml:space="preserve">Appendix A to this memorandum contains the text of </w:t>
      </w:r>
      <w:r w:rsidR="00463028">
        <w:t xml:space="preserve">three </w:t>
      </w:r>
      <w:r>
        <w:t>form</w:t>
      </w:r>
      <w:r w:rsidR="00463028">
        <w:t>s</w:t>
      </w:r>
      <w:r>
        <w:t xml:space="preserve"> of the questionnaire sent to multipl</w:t>
      </w:r>
      <w:r w:rsidR="008318A5">
        <w:t xml:space="preserve">e </w:t>
      </w:r>
      <w:r>
        <w:t>applicant</w:t>
      </w:r>
      <w:r w:rsidR="00273077">
        <w:t>s.</w:t>
      </w:r>
    </w:p>
    <w:p w14:paraId="134B76E1" w14:textId="2DF9E254" w:rsidR="00DA1493" w:rsidRDefault="00DA1493" w:rsidP="00162F82">
      <w:pPr>
        <w:spacing w:after="120"/>
        <w:ind w:firstLine="720"/>
      </w:pPr>
      <w:r>
        <w:t xml:space="preserve">CENIC’s experience is telling. Ten months after the award of its contract to Time Warner, USAC “began to issue very detailed and specific questions to the </w:t>
      </w:r>
      <w:r w:rsidRPr="00625677">
        <w:t xml:space="preserve">Applicant regarding the component costs of the lit fiber </w:t>
      </w:r>
      <w:r w:rsidR="00803610">
        <w:t>special construction</w:t>
      </w:r>
      <w:r w:rsidRPr="00625677">
        <w:t>.”</w:t>
      </w:r>
      <w:r w:rsidR="00B772ED" w:rsidRPr="00625677">
        <w:rPr>
          <w:rStyle w:val="FootnoteReference"/>
        </w:rPr>
        <w:footnoteReference w:id="82"/>
      </w:r>
      <w:r w:rsidRPr="00625677">
        <w:t xml:space="preserve">  Among the inquiries USAC directed to </w:t>
      </w:r>
      <w:r w:rsidRPr="00F10208">
        <w:t>CENIC</w:t>
      </w:r>
      <w:r w:rsidRPr="00625677">
        <w:t xml:space="preserve"> were instructions to provide:</w:t>
      </w:r>
    </w:p>
    <w:p w14:paraId="511C4FCF" w14:textId="77777777" w:rsidR="00DA1493" w:rsidRDefault="00DA1493" w:rsidP="003E0F50">
      <w:pPr>
        <w:ind w:left="1440" w:hanging="720"/>
      </w:pPr>
      <w:r>
        <w:t>•</w:t>
      </w:r>
      <w:r>
        <w:tab/>
        <w:t xml:space="preserve">“details of the fiber route(s) being constructed and the cost breakdown of the Network Equipment and Labor,” </w:t>
      </w:r>
    </w:p>
    <w:p w14:paraId="462E8946" w14:textId="77777777" w:rsidR="00DA1493" w:rsidRDefault="00DA1493" w:rsidP="00DA1493">
      <w:pPr>
        <w:ind w:firstLine="720"/>
      </w:pPr>
      <w:r>
        <w:t>•</w:t>
      </w:r>
      <w:r>
        <w:tab/>
        <w:t xml:space="preserve">“a detailed Map and a Network Diagram of the fiber route being constructed,” </w:t>
      </w:r>
    </w:p>
    <w:p w14:paraId="02550A71" w14:textId="77777777" w:rsidR="00DA1493" w:rsidRDefault="00DA1493" w:rsidP="00DA1493">
      <w:pPr>
        <w:ind w:firstLine="720"/>
      </w:pPr>
      <w:r>
        <w:t>•</w:t>
      </w:r>
      <w:r>
        <w:tab/>
        <w:t>“the average cost of the Fiber Material per foot,”</w:t>
      </w:r>
    </w:p>
    <w:p w14:paraId="137E3385" w14:textId="77777777" w:rsidR="00DA1493" w:rsidRDefault="00DA1493" w:rsidP="00DA1493">
      <w:pPr>
        <w:ind w:firstLine="720"/>
      </w:pPr>
      <w:r>
        <w:t>•</w:t>
      </w:r>
      <w:r>
        <w:tab/>
        <w:t>“the average cost of the Fiber Placement per foot,”</w:t>
      </w:r>
    </w:p>
    <w:p w14:paraId="6B8B3E12" w14:textId="77777777" w:rsidR="00DA1493" w:rsidRDefault="00DA1493" w:rsidP="00DA1493">
      <w:pPr>
        <w:ind w:firstLine="720"/>
      </w:pPr>
      <w:r>
        <w:t>•</w:t>
      </w:r>
      <w:r>
        <w:tab/>
        <w:t>“the average cost of the Structure Placement per foot,” and</w:t>
      </w:r>
    </w:p>
    <w:p w14:paraId="57D937B1" w14:textId="77777777" w:rsidR="00DA1493" w:rsidRDefault="00DA1493" w:rsidP="00DA1493">
      <w:pPr>
        <w:ind w:firstLine="720"/>
      </w:pPr>
      <w:r>
        <w:t>•</w:t>
      </w:r>
      <w:r>
        <w:tab/>
        <w:t>“the average cost of the Structure Material per foot.”</w:t>
      </w:r>
      <w:r w:rsidR="00FD4E85">
        <w:rPr>
          <w:rStyle w:val="FootnoteReference"/>
        </w:rPr>
        <w:footnoteReference w:id="83"/>
      </w:r>
    </w:p>
    <w:p w14:paraId="433A6495" w14:textId="6C1041B9" w:rsidR="0064158E" w:rsidRPr="00B72F6C" w:rsidRDefault="00DA1493" w:rsidP="00B72F6C">
      <w:pPr>
        <w:ind w:firstLine="720"/>
      </w:pPr>
      <w:r w:rsidRPr="00E32E5F">
        <w:t>As CENIC explained</w:t>
      </w:r>
      <w:r>
        <w:t xml:space="preserve"> to USAC, “[t]</w:t>
      </w:r>
      <w:proofErr w:type="spellStart"/>
      <w:r>
        <w:t>hese</w:t>
      </w:r>
      <w:proofErr w:type="spellEnd"/>
      <w:r>
        <w:t xml:space="preserve"> questions had never been experienced before by the applicant or service provider communities, and had never been addressed by USAC in training or other outreach vehicles.”</w:t>
      </w:r>
      <w:r w:rsidR="00B772ED">
        <w:rPr>
          <w:rStyle w:val="FootnoteReference"/>
        </w:rPr>
        <w:footnoteReference w:id="84"/>
      </w:r>
      <w:r>
        <w:t xml:space="preserve">  And, not surprisingly, they were not answered to USAC’s satisfaction. Twenty-two months after the award of cont</w:t>
      </w:r>
      <w:r w:rsidR="002158F9">
        <w:t>r</w:t>
      </w:r>
      <w:r>
        <w:t>act, USAC simply said, without any further explanation, that “[d]</w:t>
      </w:r>
      <w:proofErr w:type="spellStart"/>
      <w:r>
        <w:t>ocumentation</w:t>
      </w:r>
      <w:proofErr w:type="spellEnd"/>
      <w:r>
        <w:t xml:space="preserve"> was not provided to determine the eligibility of the </w:t>
      </w:r>
      <w:r w:rsidR="00803610">
        <w:t>special construction</w:t>
      </w:r>
      <w:r>
        <w:t xml:space="preserve"> charges.”</w:t>
      </w:r>
      <w:r w:rsidR="00E32E5F">
        <w:rPr>
          <w:rStyle w:val="FootnoteReference"/>
        </w:rPr>
        <w:footnoteReference w:id="85"/>
      </w:r>
      <w:r>
        <w:t xml:space="preserve"> </w:t>
      </w:r>
      <w:r>
        <w:lastRenderedPageBreak/>
        <w:t>But that terse explanation fails to explain either why the inquiries were justified or, just as importantly, why CENIC’s answers were found lacking.</w:t>
      </w:r>
    </w:p>
    <w:p w14:paraId="32317575" w14:textId="32261562" w:rsidR="002A57E4" w:rsidRDefault="00A67687" w:rsidP="00625677">
      <w:pPr>
        <w:ind w:firstLine="720"/>
      </w:pPr>
      <w:r w:rsidRPr="00A67687">
        <w:t>USAC</w:t>
      </w:r>
      <w:r w:rsidR="00DC6C6E">
        <w:t xml:space="preserve"> is not simply </w:t>
      </w:r>
      <w:r w:rsidR="005F11DB">
        <w:t xml:space="preserve">using </w:t>
      </w:r>
      <w:r>
        <w:t xml:space="preserve">a </w:t>
      </w:r>
      <w:r w:rsidRPr="00A67687">
        <w:t>questionnaire</w:t>
      </w:r>
      <w:r w:rsidR="00DE58C6">
        <w:t>;</w:t>
      </w:r>
      <w:r w:rsidR="00183882">
        <w:t xml:space="preserve"> it appears to be using </w:t>
      </w:r>
      <w:r w:rsidR="00C72696">
        <w:t>a</w:t>
      </w:r>
      <w:r w:rsidR="00183882">
        <w:t xml:space="preserve"> </w:t>
      </w:r>
      <w:r w:rsidR="006D56FD">
        <w:t>questionnaire to apply new criteria that have not been subject to public comment</w:t>
      </w:r>
      <w:r w:rsidR="00183882">
        <w:t xml:space="preserve"> or any governmental approval</w:t>
      </w:r>
      <w:r w:rsidR="00183882" w:rsidRPr="000D2CF3">
        <w:t xml:space="preserve">. </w:t>
      </w:r>
      <w:r w:rsidR="00183882" w:rsidRPr="0023025C">
        <w:t xml:space="preserve">For example, the focus in the questions above on whether alternative routes had been explored </w:t>
      </w:r>
      <w:r w:rsidR="00DA1493">
        <w:t xml:space="preserve">attacks </w:t>
      </w:r>
      <w:r w:rsidR="00D45358">
        <w:t xml:space="preserve">the </w:t>
      </w:r>
      <w:r w:rsidR="00183882" w:rsidRPr="0023025C">
        <w:t>purpose of the competitive bidding process</w:t>
      </w:r>
      <w:r w:rsidR="000D2CF3" w:rsidRPr="0023025C">
        <w:t>, which is to seek the best outcome</w:t>
      </w:r>
      <w:r w:rsidR="009C46EC">
        <w:t>.</w:t>
      </w:r>
      <w:r w:rsidR="000D2CF3" w:rsidRPr="0023025C">
        <w:t xml:space="preserve"> </w:t>
      </w:r>
      <w:r w:rsidR="008B2E4F">
        <w:t>It would be one thing for USAC to ensure that a competitive process was actually implemented</w:t>
      </w:r>
      <w:r w:rsidR="00B969EF">
        <w:t>;</w:t>
      </w:r>
      <w:r w:rsidR="008B2E4F">
        <w:t xml:space="preserve"> it is entirely another thing for USAC to review </w:t>
      </w:r>
      <w:r w:rsidR="00DA1493" w:rsidRPr="00B72F6C">
        <w:rPr>
          <w:i/>
        </w:rPr>
        <w:t>ab initio</w:t>
      </w:r>
      <w:r w:rsidR="00DA1493">
        <w:t xml:space="preserve"> </w:t>
      </w:r>
      <w:r w:rsidR="008B2E4F">
        <w:t xml:space="preserve">the outcome of competitive processes on the basis of undisclosed criteria, while it gathers information in a manner that appears overly burdensome and unnecessary. </w:t>
      </w:r>
      <w:r w:rsidR="00810D6D">
        <w:t xml:space="preserve">The manner in which USAC is </w:t>
      </w:r>
      <w:r w:rsidR="00273077">
        <w:t>questioning</w:t>
      </w:r>
      <w:r w:rsidR="00810D6D">
        <w:t xml:space="preserve"> competitive outcomes is an unjustified burden, not a benefit, to the </w:t>
      </w:r>
      <w:r w:rsidR="007836B0">
        <w:t>E-rate</w:t>
      </w:r>
      <w:r w:rsidR="00810D6D">
        <w:t xml:space="preserve"> program.</w:t>
      </w:r>
    </w:p>
    <w:p w14:paraId="2E73CE5D" w14:textId="77777777" w:rsidR="005F11DB" w:rsidRDefault="00DA1493" w:rsidP="00890FD5">
      <w:pPr>
        <w:ind w:firstLine="720"/>
      </w:pPr>
      <w:r>
        <w:t>The dilemma faced by CENIC</w:t>
      </w:r>
      <w:r w:rsidR="005F11DB">
        <w:t xml:space="preserve"> is not an isolated example. </w:t>
      </w:r>
      <w:r w:rsidR="00DF24B1">
        <w:t xml:space="preserve">The </w:t>
      </w:r>
      <w:r w:rsidR="005F11DB">
        <w:t xml:space="preserve">SHLB </w:t>
      </w:r>
      <w:r w:rsidR="00DF24B1">
        <w:t xml:space="preserve">Coalition </w:t>
      </w:r>
      <w:r w:rsidR="005F11DB">
        <w:t>has told</w:t>
      </w:r>
      <w:r w:rsidR="00A20FA4">
        <w:t xml:space="preserve"> USA</w:t>
      </w:r>
      <w:r w:rsidR="004D231C">
        <w:t>C</w:t>
      </w:r>
      <w:r w:rsidR="00A20FA4">
        <w:t xml:space="preserve"> that </w:t>
      </w:r>
      <w:r w:rsidR="005F11DB">
        <w:t xml:space="preserve">“[t]he lack of clarity about the reasons for denial create an impression that decisions are being made on an </w:t>
      </w:r>
      <w:r w:rsidR="005F11DB" w:rsidRPr="00B72F6C">
        <w:rPr>
          <w:i/>
        </w:rPr>
        <w:t>ad hoc</w:t>
      </w:r>
      <w:r w:rsidR="005F11DB">
        <w:t xml:space="preserve"> basis, or that the reviewers are using criteria for evaluating applications that are not made available to applicants beforehand.”</w:t>
      </w:r>
      <w:r w:rsidR="00B74EB6">
        <w:rPr>
          <w:rStyle w:val="FootnoteReference"/>
        </w:rPr>
        <w:footnoteReference w:id="86"/>
      </w:r>
      <w:r w:rsidR="005F11DB">
        <w:t xml:space="preserve"> </w:t>
      </w:r>
      <w:r w:rsidR="00C837CE">
        <w:t>For example, USAC questions the allocation of costs between used and un-used strands of fiber on a basis that is confusing and unclear.</w:t>
      </w:r>
      <w:r w:rsidR="00C837CE">
        <w:rPr>
          <w:rStyle w:val="FootnoteReference"/>
        </w:rPr>
        <w:footnoteReference w:id="87"/>
      </w:r>
    </w:p>
    <w:p w14:paraId="2BC09CDA" w14:textId="7A0F1947" w:rsidR="005F11DB" w:rsidRPr="007F488C" w:rsidRDefault="00B74EB6" w:rsidP="00890FD5">
      <w:pPr>
        <w:ind w:firstLine="720"/>
        <w:rPr>
          <w:highlight w:val="yellow"/>
        </w:rPr>
      </w:pPr>
      <w:r>
        <w:t>In addition</w:t>
      </w:r>
      <w:r w:rsidR="005F11DB">
        <w:t>, USAC insists that broadband providers submit proprietary information that is not needed for its review. A good – if sobering – example concerns</w:t>
      </w:r>
      <w:r w:rsidR="00183882">
        <w:t xml:space="preserve"> </w:t>
      </w:r>
      <w:r w:rsidR="00137B01">
        <w:t xml:space="preserve">a </w:t>
      </w:r>
      <w:r w:rsidR="00183882">
        <w:t xml:space="preserve">school in Woodman, </w:t>
      </w:r>
      <w:proofErr w:type="gramStart"/>
      <w:r w:rsidR="009957A3">
        <w:t>Montana</w:t>
      </w:r>
      <w:r w:rsidR="00DF24B1">
        <w:t>,</w:t>
      </w:r>
      <w:r w:rsidR="009957A3">
        <w:t xml:space="preserve"> that</w:t>
      </w:r>
      <w:proofErr w:type="gramEnd"/>
      <w:r w:rsidR="005F11DB">
        <w:t xml:space="preserve"> </w:t>
      </w:r>
      <w:r>
        <w:t>was</w:t>
      </w:r>
      <w:r w:rsidR="005F11DB">
        <w:t xml:space="preserve"> working with its local provider, CenturyLink. When confronted with a series of detailed, technical questions that the school district was unable to answer</w:t>
      </w:r>
      <w:r w:rsidR="00D2070F">
        <w:t xml:space="preserve">, the </w:t>
      </w:r>
      <w:r w:rsidR="005F11DB">
        <w:t>school turned to its provider</w:t>
      </w:r>
      <w:r w:rsidR="002417D2">
        <w:t xml:space="preserve"> for the answers</w:t>
      </w:r>
      <w:r w:rsidR="00137B01">
        <w:t>.</w:t>
      </w:r>
      <w:r w:rsidR="005F11DB">
        <w:t xml:space="preserve"> </w:t>
      </w:r>
      <w:r w:rsidR="00137B01">
        <w:t>CenturyLink</w:t>
      </w:r>
      <w:r w:rsidR="00137B01" w:rsidDel="00137B01">
        <w:t xml:space="preserve"> </w:t>
      </w:r>
      <w:r w:rsidR="005F11DB">
        <w:t xml:space="preserve">explained that the information </w:t>
      </w:r>
      <w:r>
        <w:t>USAC</w:t>
      </w:r>
      <w:r w:rsidR="008318A5">
        <w:t xml:space="preserve"> </w:t>
      </w:r>
      <w:r w:rsidR="005F11DB">
        <w:t xml:space="preserve">sought </w:t>
      </w:r>
      <w:r>
        <w:t>was</w:t>
      </w:r>
      <w:r w:rsidR="005F11DB">
        <w:t xml:space="preserve"> both </w:t>
      </w:r>
      <w:r w:rsidR="00221762">
        <w:t xml:space="preserve">inapplicable </w:t>
      </w:r>
      <w:r w:rsidR="00D56B47">
        <w:t>and “effectively unanswerable.”</w:t>
      </w:r>
      <w:r w:rsidR="003E5F4B">
        <w:rPr>
          <w:rStyle w:val="FootnoteReference"/>
        </w:rPr>
        <w:footnoteReference w:id="88"/>
      </w:r>
      <w:r w:rsidR="005F11DB">
        <w:t xml:space="preserve"> As Governor Bullock of Montana explained to USAC, the “questionnaire asks for </w:t>
      </w:r>
      <w:r w:rsidR="005F11DB" w:rsidRPr="00463028">
        <w:t>excessive information that is difficult for companies and small school districts to deliver to the FCC.”</w:t>
      </w:r>
      <w:r w:rsidR="00B74F91" w:rsidRPr="00463028">
        <w:rPr>
          <w:rStyle w:val="FootnoteReference"/>
        </w:rPr>
        <w:footnoteReference w:id="89"/>
      </w:r>
      <w:r w:rsidR="005F11DB" w:rsidRPr="00463028">
        <w:t xml:space="preserve">  </w:t>
      </w:r>
      <w:r w:rsidR="007F488C" w:rsidRPr="00463028">
        <w:t>Schools in Arizona</w:t>
      </w:r>
      <w:r w:rsidR="005F11DB" w:rsidRPr="00463028">
        <w:t>, Massachusetts, Minnesota, Missouri, Montana, New Jersey, New Mexico, and Texas have similarly found themselves caught in this maze.</w:t>
      </w:r>
      <w:r w:rsidR="00B11C9C" w:rsidRPr="00463028">
        <w:rPr>
          <w:rStyle w:val="FootnoteReference"/>
        </w:rPr>
        <w:footnoteReference w:id="90"/>
      </w:r>
    </w:p>
    <w:p w14:paraId="174E3396" w14:textId="77777777" w:rsidR="007E7394" w:rsidRDefault="003E5F4B" w:rsidP="00890FD5">
      <w:pPr>
        <w:ind w:firstLine="720"/>
      </w:pPr>
      <w:r>
        <w:lastRenderedPageBreak/>
        <w:t xml:space="preserve">Of course, </w:t>
      </w:r>
      <w:r w:rsidR="004D7DF7">
        <w:t>federal agencies need in</w:t>
      </w:r>
      <w:r>
        <w:t>formation</w:t>
      </w:r>
      <w:r w:rsidR="004D7DF7">
        <w:t>, but Congress passed t</w:t>
      </w:r>
      <w:r w:rsidR="00785DA3">
        <w:t xml:space="preserve">he Paperwork Reduction Act </w:t>
      </w:r>
      <w:r w:rsidR="004D7DF7">
        <w:t>(PRA) to establish standards</w:t>
      </w:r>
      <w:r w:rsidR="00A20FA4">
        <w:t xml:space="preserve"> under which </w:t>
      </w:r>
      <w:r w:rsidR="00627BF7">
        <w:t xml:space="preserve">agencies are permitted to gather </w:t>
      </w:r>
      <w:r w:rsidR="009957A3">
        <w:t xml:space="preserve">that </w:t>
      </w:r>
      <w:r w:rsidR="00A20FA4">
        <w:t>information. The PRA applies to any</w:t>
      </w:r>
      <w:r w:rsidR="00785DA3">
        <w:t xml:space="preserve"> </w:t>
      </w:r>
      <w:r w:rsidR="006E46CB">
        <w:t>“</w:t>
      </w:r>
      <w:r w:rsidR="00785DA3">
        <w:t>collection of information</w:t>
      </w:r>
      <w:r w:rsidR="00137B01">
        <w:t>,</w:t>
      </w:r>
      <w:r w:rsidR="006E46CB">
        <w:t>”</w:t>
      </w:r>
      <w:r w:rsidR="00785DA3">
        <w:t xml:space="preserve"> which includes “</w:t>
      </w:r>
      <w:r w:rsidR="00785DA3" w:rsidRPr="00785DA3">
        <w:t>answers to identical questions posed to, or identical reporting or recordkeeping requirements imposed on, ten or more persons, other than agencies, instrumentalities, or employees of the United States</w:t>
      </w:r>
      <w:r w:rsidR="00785DA3">
        <w:t>.”</w:t>
      </w:r>
      <w:r w:rsidR="00785DA3">
        <w:rPr>
          <w:rStyle w:val="FootnoteReference"/>
        </w:rPr>
        <w:footnoteReference w:id="91"/>
      </w:r>
      <w:r w:rsidR="00785DA3">
        <w:t xml:space="preserve"> </w:t>
      </w:r>
      <w:r w:rsidR="004D7DF7">
        <w:t>The PRA</w:t>
      </w:r>
      <w:r w:rsidR="006E46CB">
        <w:t xml:space="preserve"> bars an agency from collecting such information unless the agency has followed the prescribed public process for seeking approval from the </w:t>
      </w:r>
      <w:r w:rsidR="00FF1B03">
        <w:t>OMB</w:t>
      </w:r>
      <w:r w:rsidR="00627BF7">
        <w:t xml:space="preserve"> after interested parties have had the opportunity to comment</w:t>
      </w:r>
      <w:r w:rsidR="00FD0CC7">
        <w:t>; a process that</w:t>
      </w:r>
      <w:r w:rsidR="0021278B">
        <w:t>, as explained below,</w:t>
      </w:r>
      <w:r w:rsidR="00FD0CC7">
        <w:t xml:space="preserve"> has been followed</w:t>
      </w:r>
      <w:r w:rsidR="0021278B">
        <w:t xml:space="preserve"> in connection with universal-service programs administered by USAC</w:t>
      </w:r>
      <w:r w:rsidR="00FD0CC7">
        <w:t>.</w:t>
      </w:r>
      <w:r w:rsidR="006E46CB">
        <w:rPr>
          <w:rStyle w:val="FootnoteReference"/>
        </w:rPr>
        <w:footnoteReference w:id="92"/>
      </w:r>
      <w:r w:rsidR="006E46CB">
        <w:t xml:space="preserve"> The </w:t>
      </w:r>
      <w:r w:rsidR="00627BF7">
        <w:t>PRA</w:t>
      </w:r>
      <w:r w:rsidR="006E46CB">
        <w:t xml:space="preserve"> applies to applications</w:t>
      </w:r>
      <w:r w:rsidR="00957E2D">
        <w:t xml:space="preserve"> and other techniques “used to monitor compliance with agency requirements</w:t>
      </w:r>
      <w:r w:rsidR="00627BF7">
        <w:t>,</w:t>
      </w:r>
      <w:r w:rsidR="00957E2D">
        <w:t>”</w:t>
      </w:r>
      <w:r w:rsidR="00957E2D">
        <w:rPr>
          <w:rStyle w:val="FootnoteReference"/>
        </w:rPr>
        <w:footnoteReference w:id="93"/>
      </w:r>
      <w:r w:rsidR="006E46CB">
        <w:t xml:space="preserve"> </w:t>
      </w:r>
      <w:r w:rsidR="00627BF7">
        <w:t xml:space="preserve">which fully describes USAC’s PIA process. </w:t>
      </w:r>
    </w:p>
    <w:p w14:paraId="2E1DB38C" w14:textId="77777777" w:rsidR="007A76A6" w:rsidRDefault="00A20FA4" w:rsidP="00890FD5">
      <w:pPr>
        <w:ind w:firstLine="720"/>
      </w:pPr>
      <w:r>
        <w:t xml:space="preserve">An important part of the PRA process is the requirement that </w:t>
      </w:r>
      <w:r w:rsidR="009957A3">
        <w:t>an agency provides</w:t>
      </w:r>
      <w:r w:rsidR="00137B01">
        <w:t xml:space="preserve"> </w:t>
      </w:r>
      <w:r>
        <w:t xml:space="preserve">public notice and </w:t>
      </w:r>
      <w:r w:rsidR="00137B01">
        <w:t>seek</w:t>
      </w:r>
      <w:r w:rsidR="009957A3">
        <w:t>s</w:t>
      </w:r>
      <w:r w:rsidR="00137B01">
        <w:t xml:space="preserve"> </w:t>
      </w:r>
      <w:r>
        <w:t>comment on its proposed questions.</w:t>
      </w:r>
      <w:r>
        <w:rPr>
          <w:rStyle w:val="FootnoteReference"/>
        </w:rPr>
        <w:footnoteReference w:id="94"/>
      </w:r>
      <w:r w:rsidR="00FD1230">
        <w:t xml:space="preserve"> </w:t>
      </w:r>
      <w:r>
        <w:t xml:space="preserve">One purpose </w:t>
      </w:r>
      <w:r w:rsidR="007E7394" w:rsidRPr="007E7394">
        <w:t xml:space="preserve">is to ensure that the information collected is necessary to the administration of the corresponding agency program. </w:t>
      </w:r>
      <w:r w:rsidR="00900BD9">
        <w:t>I</w:t>
      </w:r>
      <w:r>
        <w:t xml:space="preserve">n addition, the law </w:t>
      </w:r>
      <w:r w:rsidR="00900BD9">
        <w:t xml:space="preserve">also </w:t>
      </w:r>
      <w:r>
        <w:t>recognizes that confusing or impractical</w:t>
      </w:r>
      <w:r w:rsidR="007E7394">
        <w:t xml:space="preserve"> </w:t>
      </w:r>
      <w:r>
        <w:t xml:space="preserve">(or impossible) </w:t>
      </w:r>
      <w:r w:rsidR="007E7394">
        <w:t>question</w:t>
      </w:r>
      <w:r>
        <w:t xml:space="preserve">s </w:t>
      </w:r>
      <w:r w:rsidR="007A76A6">
        <w:t xml:space="preserve">do not further the effective administration of administrative programs like </w:t>
      </w:r>
      <w:r w:rsidR="007836B0">
        <w:t>E-rate</w:t>
      </w:r>
      <w:r w:rsidR="007A76A6">
        <w:t xml:space="preserve">. </w:t>
      </w:r>
      <w:r w:rsidR="007E7394">
        <w:t xml:space="preserve"> </w:t>
      </w:r>
    </w:p>
    <w:p w14:paraId="447DC239" w14:textId="494E5CC4" w:rsidR="004A725A" w:rsidRDefault="00A653A9" w:rsidP="00890FD5">
      <w:pPr>
        <w:ind w:firstLine="720"/>
      </w:pPr>
      <w:r>
        <w:t>T</w:t>
      </w:r>
      <w:r w:rsidR="0053064A">
        <w:t>o accomplish its purpose, t</w:t>
      </w:r>
      <w:r w:rsidR="00557DE6" w:rsidRPr="00557DE6">
        <w:t>he PRA imposes procedural requirements</w:t>
      </w:r>
      <w:r w:rsidR="009957A3">
        <w:t xml:space="preserve"> on</w:t>
      </w:r>
      <w:r w:rsidR="00557DE6" w:rsidRPr="00557DE6">
        <w:t xml:space="preserve"> information </w:t>
      </w:r>
      <w:r w:rsidR="00D37A24">
        <w:t xml:space="preserve">collections. </w:t>
      </w:r>
      <w:r w:rsidR="00557DE6" w:rsidRPr="00557DE6">
        <w:t xml:space="preserve"> Section 2506(a) requires </w:t>
      </w:r>
      <w:r w:rsidR="00FD0CC7">
        <w:t xml:space="preserve">consideration of </w:t>
      </w:r>
      <w:r w:rsidR="00557DE6" w:rsidRPr="00557DE6">
        <w:t>the “practical utility” of the propose</w:t>
      </w:r>
      <w:r w:rsidR="00557DE6">
        <w:t>d collection.</w:t>
      </w:r>
      <w:r w:rsidR="00557DE6">
        <w:rPr>
          <w:rStyle w:val="FootnoteReference"/>
        </w:rPr>
        <w:footnoteReference w:id="95"/>
      </w:r>
      <w:r w:rsidR="00557DE6" w:rsidRPr="00557DE6">
        <w:t xml:space="preserve"> Section 3507 covers the procedure</w:t>
      </w:r>
      <w:r w:rsidR="007A76A6">
        <w:t xml:space="preserve"> required prior</w:t>
      </w:r>
      <w:r w:rsidR="008318A5">
        <w:t xml:space="preserve"> to </w:t>
      </w:r>
      <w:r w:rsidR="00557DE6" w:rsidRPr="00557DE6">
        <w:t xml:space="preserve">information collection, </w:t>
      </w:r>
      <w:r w:rsidR="007A76A6">
        <w:t xml:space="preserve">including that an agency must </w:t>
      </w:r>
      <w:r w:rsidR="008318A5">
        <w:t>conduct</w:t>
      </w:r>
      <w:r w:rsidR="00557DE6" w:rsidRPr="00557DE6">
        <w:t xml:space="preserve"> an internal review of the desired information </w:t>
      </w:r>
      <w:r w:rsidR="007A76A6">
        <w:t>as well as provide public notice and gather public comment on the proposed information collection.</w:t>
      </w:r>
      <w:r w:rsidR="00557DE6">
        <w:rPr>
          <w:rStyle w:val="FootnoteReference"/>
        </w:rPr>
        <w:footnoteReference w:id="96"/>
      </w:r>
      <w:r w:rsidR="00FD0CC7">
        <w:t xml:space="preserve"> </w:t>
      </w:r>
      <w:r w:rsidR="00FD0CC7" w:rsidRPr="00FD0CC7">
        <w:t>USAC</w:t>
      </w:r>
      <w:r w:rsidR="00FD0CC7">
        <w:t>’s actions are covered by the PRA because it</w:t>
      </w:r>
      <w:r w:rsidR="00FD0CC7" w:rsidRPr="00FD0CC7">
        <w:t xml:space="preserve"> acts only </w:t>
      </w:r>
      <w:r w:rsidR="00FD0CC7">
        <w:t>as an agent of the Commission</w:t>
      </w:r>
      <w:r w:rsidR="00E6280B">
        <w:t>;</w:t>
      </w:r>
      <w:r w:rsidR="00D37A24">
        <w:rPr>
          <w:rStyle w:val="FootnoteReference"/>
        </w:rPr>
        <w:footnoteReference w:id="97"/>
      </w:r>
      <w:r w:rsidR="00FD0CC7">
        <w:t xml:space="preserve"> any contrary contention</w:t>
      </w:r>
      <w:r w:rsidR="00FD0CC7" w:rsidRPr="00FD0CC7">
        <w:t xml:space="preserve"> would be flatly </w:t>
      </w:r>
      <w:r w:rsidR="00FD0CC7" w:rsidRPr="00FD0CC7">
        <w:lastRenderedPageBreak/>
        <w:t>inconsistent with the Commission’s consistent practice of seeking OMB approvals for information collections that pertain to USAC’s activities, such as with Form 470 itself.</w:t>
      </w:r>
      <w:r w:rsidR="00FD0CC7" w:rsidRPr="00FD0CC7">
        <w:rPr>
          <w:rStyle w:val="FootnoteReference"/>
        </w:rPr>
        <w:t xml:space="preserve"> </w:t>
      </w:r>
      <w:r w:rsidR="00FD0CC7">
        <w:rPr>
          <w:rStyle w:val="FootnoteReference"/>
        </w:rPr>
        <w:footnoteReference w:id="98"/>
      </w:r>
      <w:r w:rsidR="00FD0CC7" w:rsidRPr="00FD0CC7">
        <w:t xml:space="preserve">   </w:t>
      </w:r>
    </w:p>
    <w:p w14:paraId="2790DFAC" w14:textId="77777777" w:rsidR="00FF1B03" w:rsidRDefault="0040426A" w:rsidP="00890FD5">
      <w:pPr>
        <w:ind w:firstLine="720"/>
      </w:pPr>
      <w:r>
        <w:t>USAC’s use of this questionnaire</w:t>
      </w:r>
      <w:r w:rsidR="00557DE6">
        <w:t xml:space="preserve"> thus </w:t>
      </w:r>
      <w:r>
        <w:t>implicates at least two</w:t>
      </w:r>
      <w:r w:rsidR="00FD0CC7">
        <w:t xml:space="preserve"> independent</w:t>
      </w:r>
      <w:r>
        <w:t xml:space="preserve"> legal requirements.</w:t>
      </w:r>
      <w:r w:rsidR="00F5460B">
        <w:t xml:space="preserve"> </w:t>
      </w:r>
    </w:p>
    <w:p w14:paraId="7BE19097" w14:textId="41E02610" w:rsidR="0040426A" w:rsidRDefault="0040426A" w:rsidP="00890FD5">
      <w:pPr>
        <w:ind w:firstLine="720"/>
      </w:pPr>
      <w:r>
        <w:t>First</w:t>
      </w:r>
      <w:r w:rsidR="00FD0CC7">
        <w:t>, without regard to the PRA, USAC</w:t>
      </w:r>
      <w:r w:rsidRPr="003319D2">
        <w:t xml:space="preserve"> lacks authority to make substantive changes in </w:t>
      </w:r>
      <w:r w:rsidR="00FD0CC7">
        <w:t xml:space="preserve">the </w:t>
      </w:r>
      <w:r w:rsidRPr="003319D2">
        <w:t>standards for approval</w:t>
      </w:r>
      <w:r w:rsidR="00FD0CC7">
        <w:t xml:space="preserve"> of E-rate applications</w:t>
      </w:r>
      <w:r>
        <w:t>. As noted above, USAC is expressly prohibited from making “policy</w:t>
      </w:r>
      <w:r w:rsidR="00137B01">
        <w:t>;</w:t>
      </w:r>
      <w:r>
        <w:t xml:space="preserve">” rather it has been instructed to “seek guidance from the Commission” where any governing legal authority is unclear. The decision as to what information is relevant to a legal determination is clearly a policy decision. But </w:t>
      </w:r>
      <w:r w:rsidR="008318A5">
        <w:t xml:space="preserve">in USAC’s hands the questionnaire </w:t>
      </w:r>
      <w:r w:rsidR="00273077">
        <w:t xml:space="preserve">seems to engender unexplained and/or arbitrary outcomes. </w:t>
      </w:r>
      <w:r>
        <w:t>As CENIC has explained</w:t>
      </w:r>
      <w:r w:rsidR="002A57E4">
        <w:t>, “[w]</w:t>
      </w:r>
      <w:r w:rsidRPr="0040426A">
        <w:t>hat is especially egregious in this case is the complete lack of transpare</w:t>
      </w:r>
      <w:r w:rsidR="008318A5">
        <w:t>ncy as to the purpose of these ‘new’</w:t>
      </w:r>
      <w:r w:rsidRPr="0040426A">
        <w:t xml:space="preserve"> types of inquiries</w:t>
      </w:r>
      <w:r w:rsidR="009469B7">
        <w:t>.”</w:t>
      </w:r>
      <w:r>
        <w:rPr>
          <w:rStyle w:val="FootnoteReference"/>
        </w:rPr>
        <w:footnoteReference w:id="99"/>
      </w:r>
    </w:p>
    <w:p w14:paraId="1774D929" w14:textId="77777777" w:rsidR="0040426A" w:rsidRDefault="0040426A" w:rsidP="00890FD5">
      <w:pPr>
        <w:ind w:firstLine="720"/>
      </w:pPr>
      <w:r>
        <w:t>Second, the available information sugge</w:t>
      </w:r>
      <w:r w:rsidR="00A20FA4">
        <w:t xml:space="preserve">sts that the use of this </w:t>
      </w:r>
      <w:r>
        <w:t>questionnaire violates th</w:t>
      </w:r>
      <w:r w:rsidR="008318A5">
        <w:t>e Paperwork Reduction Act (PRA).</w:t>
      </w:r>
      <w:r>
        <w:rPr>
          <w:rStyle w:val="FootnoteReference"/>
        </w:rPr>
        <w:footnoteReference w:id="100"/>
      </w:r>
      <w:r>
        <w:t xml:space="preserve"> </w:t>
      </w:r>
      <w:r w:rsidR="00B94A49">
        <w:t xml:space="preserve">Its use </w:t>
      </w:r>
      <w:r>
        <w:t>implicates</w:t>
      </w:r>
      <w:r w:rsidR="009469B7">
        <w:t xml:space="preserve"> each of the PRA’s concerns, including</w:t>
      </w:r>
      <w:r>
        <w:t xml:space="preserve"> the burden</w:t>
      </w:r>
      <w:r w:rsidR="00B94A49">
        <w:t xml:space="preserve"> on parties</w:t>
      </w:r>
      <w:r>
        <w:t xml:space="preserve"> </w:t>
      </w:r>
      <w:r w:rsidR="009469B7">
        <w:t>created by the obligation to provide information,</w:t>
      </w:r>
      <w:r>
        <w:t xml:space="preserve"> the</w:t>
      </w:r>
      <w:r w:rsidR="00FD0CC7">
        <w:t xml:space="preserve"> question as to whether</w:t>
      </w:r>
      <w:r>
        <w:t xml:space="preserve"> benefits </w:t>
      </w:r>
      <w:r w:rsidR="00FD0CC7">
        <w:t xml:space="preserve">are </w:t>
      </w:r>
      <w:r>
        <w:t xml:space="preserve">gained </w:t>
      </w:r>
      <w:r w:rsidR="00B94A49">
        <w:t xml:space="preserve">from the information collection, </w:t>
      </w:r>
      <w:r>
        <w:t>and the</w:t>
      </w:r>
      <w:r w:rsidR="00FD0CC7">
        <w:t xml:space="preserve"> separate issue of whether</w:t>
      </w:r>
      <w:r>
        <w:t xml:space="preserve"> </w:t>
      </w:r>
      <w:r w:rsidR="009469B7">
        <w:t xml:space="preserve">the </w:t>
      </w:r>
      <w:r>
        <w:t>quality of governmental decision-making</w:t>
      </w:r>
      <w:r w:rsidR="009469B7">
        <w:t xml:space="preserve"> </w:t>
      </w:r>
      <w:r w:rsidR="00FD0CC7">
        <w:t>would be improved by the sought-after information.</w:t>
      </w:r>
      <w:r>
        <w:rPr>
          <w:rStyle w:val="FootnoteReference"/>
        </w:rPr>
        <w:footnoteReference w:id="101"/>
      </w:r>
      <w:r w:rsidRPr="002D2CDC">
        <w:t xml:space="preserve"> </w:t>
      </w:r>
      <w:r w:rsidR="009469B7">
        <w:t xml:space="preserve">In other words, the collection of information must be </w:t>
      </w:r>
      <w:r w:rsidRPr="002D2CDC">
        <w:t>necessary to the administration of the corresponding agency program.</w:t>
      </w:r>
      <w:r w:rsidR="009469B7">
        <w:t xml:space="preserve"> But there has been no discussion and, as far as the public record demonstrates, no decision as to whether the questionnaire and its contents</w:t>
      </w:r>
      <w:r w:rsidR="00B94A49">
        <w:t xml:space="preserve"> </w:t>
      </w:r>
      <w:r w:rsidR="00A20FA4">
        <w:t>are, in fact,</w:t>
      </w:r>
      <w:r w:rsidRPr="002D2CDC">
        <w:t xml:space="preserve"> necessary to </w:t>
      </w:r>
      <w:r w:rsidR="009469B7">
        <w:t xml:space="preserve">USAC’s review of </w:t>
      </w:r>
      <w:r w:rsidR="007836B0">
        <w:t>E-rate</w:t>
      </w:r>
      <w:r w:rsidR="009469B7">
        <w:t xml:space="preserve"> applications. </w:t>
      </w:r>
    </w:p>
    <w:p w14:paraId="78BBA75F" w14:textId="77777777" w:rsidR="0040426A" w:rsidRDefault="00B94A49" w:rsidP="00890FD5">
      <w:pPr>
        <w:ind w:firstLine="720"/>
      </w:pPr>
      <w:r>
        <w:t xml:space="preserve">The requirements of the PRA are not </w:t>
      </w:r>
      <w:r w:rsidR="0040426A">
        <w:t>new to either the FCC or USAC. The FCC regularly submits its public information collection requests to OMB for approval; over 400 have been approved or are pending.</w:t>
      </w:r>
      <w:r w:rsidR="0040426A">
        <w:rPr>
          <w:rStyle w:val="FootnoteReference"/>
        </w:rPr>
        <w:footnoteReference w:id="102"/>
      </w:r>
      <w:r>
        <w:t xml:space="preserve">  The FCC </w:t>
      </w:r>
      <w:r w:rsidR="0040426A" w:rsidRPr="003A2608">
        <w:t xml:space="preserve">acknowledges OMB submission and approval as a </w:t>
      </w:r>
      <w:r>
        <w:t>requirement for new collections,</w:t>
      </w:r>
      <w:r w:rsidR="0040426A">
        <w:rPr>
          <w:rStyle w:val="FootnoteReference"/>
        </w:rPr>
        <w:footnoteReference w:id="103"/>
      </w:r>
      <w:r>
        <w:t xml:space="preserve"> and </w:t>
      </w:r>
      <w:r w:rsidR="0040426A" w:rsidRPr="003A2608">
        <w:t>publishes lists of approved and pending information collections on its website.</w:t>
      </w:r>
      <w:r w:rsidR="0040426A">
        <w:rPr>
          <w:rStyle w:val="FootnoteReference"/>
        </w:rPr>
        <w:footnoteReference w:id="104"/>
      </w:r>
      <w:r w:rsidR="0040426A" w:rsidRPr="003A2608">
        <w:t xml:space="preserve">  </w:t>
      </w:r>
    </w:p>
    <w:p w14:paraId="5210F187" w14:textId="7F831D55" w:rsidR="00E255C2" w:rsidRDefault="008835DD" w:rsidP="00890FD5">
      <w:pPr>
        <w:ind w:firstLine="720"/>
      </w:pPr>
      <w:r>
        <w:t xml:space="preserve">Indeed, </w:t>
      </w:r>
      <w:r w:rsidR="0040426A">
        <w:t xml:space="preserve">USAC </w:t>
      </w:r>
      <w:r w:rsidR="00D37A24">
        <w:t>could not operate without</w:t>
      </w:r>
      <w:r w:rsidR="0040426A">
        <w:t xml:space="preserve"> PRA </w:t>
      </w:r>
      <w:r w:rsidR="00D37A24">
        <w:t xml:space="preserve">approvals. </w:t>
      </w:r>
      <w:r w:rsidR="00B94A49">
        <w:t xml:space="preserve"> Consider, for example, the historic treatment of Form 470, which schools use to initiat</w:t>
      </w:r>
      <w:r w:rsidR="00FF1B03">
        <w:t>e</w:t>
      </w:r>
      <w:r w:rsidR="00B94A49">
        <w:t xml:space="preserve"> an </w:t>
      </w:r>
      <w:r w:rsidR="007836B0">
        <w:t>E-rate</w:t>
      </w:r>
      <w:r w:rsidR="00B94A49">
        <w:t xml:space="preserve"> application and that must be filed before initiation of a competitive bidding process. That form has been approved by OMB</w:t>
      </w:r>
      <w:r w:rsidR="00B94A49">
        <w:rPr>
          <w:rStyle w:val="FootnoteReference"/>
        </w:rPr>
        <w:footnoteReference w:id="105"/>
      </w:r>
      <w:r w:rsidR="00B94A49">
        <w:t xml:space="preserve"> and the FCC </w:t>
      </w:r>
      <w:r w:rsidR="00283CE1">
        <w:t xml:space="preserve">has </w:t>
      </w:r>
      <w:r w:rsidR="00283CE1">
        <w:lastRenderedPageBreak/>
        <w:t>sought</w:t>
      </w:r>
      <w:r w:rsidR="00B94A49">
        <w:t xml:space="preserve"> renewed approval.</w:t>
      </w:r>
      <w:r w:rsidR="00B94A49">
        <w:rPr>
          <w:rStyle w:val="FootnoteReference"/>
        </w:rPr>
        <w:footnoteReference w:id="106"/>
      </w:r>
      <w:r w:rsidR="00B94A49">
        <w:t xml:space="preserve"> </w:t>
      </w:r>
      <w:r w:rsidR="00A11533">
        <w:t xml:space="preserve">Similarly, </w:t>
      </w:r>
      <w:r w:rsidR="00B94A49">
        <w:t xml:space="preserve">OMB </w:t>
      </w:r>
      <w:r w:rsidR="00283CE1">
        <w:t xml:space="preserve">review </w:t>
      </w:r>
      <w:r w:rsidR="00FD27B0">
        <w:t xml:space="preserve">was </w:t>
      </w:r>
      <w:r w:rsidR="00283CE1">
        <w:t xml:space="preserve">sought </w:t>
      </w:r>
      <w:r w:rsidR="009A04BE">
        <w:t>for</w:t>
      </w:r>
      <w:r w:rsidR="00283CE1">
        <w:t xml:space="preserve"> </w:t>
      </w:r>
      <w:r w:rsidR="00940CD5">
        <w:t xml:space="preserve">the form </w:t>
      </w:r>
      <w:r w:rsidR="00D37A24">
        <w:t>USAC</w:t>
      </w:r>
      <w:r w:rsidR="00B94A49">
        <w:t xml:space="preserve"> uses </w:t>
      </w:r>
      <w:r w:rsidR="00940CD5">
        <w:t xml:space="preserve">to solicit </w:t>
      </w:r>
      <w:r w:rsidR="0040426A">
        <w:t xml:space="preserve">business-process outsourcing services to be provided to the </w:t>
      </w:r>
      <w:r w:rsidR="007836B0">
        <w:t>E-rate</w:t>
      </w:r>
      <w:r w:rsidR="0040426A">
        <w:t xml:space="preserve"> program</w:t>
      </w:r>
      <w:r w:rsidR="00D37A24">
        <w:t>, as it has a variety of other forms used by USAC</w:t>
      </w:r>
      <w:r w:rsidR="0040426A">
        <w:t>.</w:t>
      </w:r>
      <w:r w:rsidR="0040426A">
        <w:rPr>
          <w:rStyle w:val="FootnoteReference"/>
        </w:rPr>
        <w:footnoteReference w:id="107"/>
      </w:r>
      <w:r w:rsidR="0040426A">
        <w:t xml:space="preserve"> </w:t>
      </w:r>
      <w:r w:rsidR="004D32C9">
        <w:t>In addition, USAC knows that the</w:t>
      </w:r>
      <w:r w:rsidR="0040426A">
        <w:t xml:space="preserve"> PRA governs the form under which subscribers must annually certify their eligibility for Lifeline</w:t>
      </w:r>
      <w:r w:rsidR="00DF24B1">
        <w:t xml:space="preserve">, </w:t>
      </w:r>
      <w:r w:rsidR="0040426A">
        <w:t>information that is “</w:t>
      </w:r>
      <w:r w:rsidR="0040426A" w:rsidRPr="006B6903">
        <w:t>used by USAC to verify the applicant’s continued el</w:t>
      </w:r>
      <w:r w:rsidR="0040426A">
        <w:t>igibility for Lifeline services</w:t>
      </w:r>
      <w:r w:rsidR="00FF1B03">
        <w:t>,</w:t>
      </w:r>
      <w:r w:rsidR="0040426A">
        <w:t>”</w:t>
      </w:r>
      <w:r w:rsidR="0040426A">
        <w:rPr>
          <w:rStyle w:val="FootnoteReference"/>
        </w:rPr>
        <w:footnoteReference w:id="108"/>
      </w:r>
      <w:r w:rsidR="0040426A">
        <w:t xml:space="preserve"> much as the new questionnaire is used to verify a school’s eligibility to receive </w:t>
      </w:r>
      <w:r w:rsidR="007836B0">
        <w:t>E-rate</w:t>
      </w:r>
      <w:r w:rsidR="0040426A">
        <w:t xml:space="preserve"> support</w:t>
      </w:r>
      <w:r>
        <w:t xml:space="preserve"> for its proposed project</w:t>
      </w:r>
      <w:r w:rsidR="0040426A">
        <w:t>.</w:t>
      </w:r>
      <w:r w:rsidR="004D32C9">
        <w:rPr>
          <w:rStyle w:val="FootnoteReference"/>
        </w:rPr>
        <w:footnoteReference w:id="109"/>
      </w:r>
      <w:r w:rsidR="00E255C2">
        <w:t xml:space="preserve"> </w:t>
      </w:r>
    </w:p>
    <w:p w14:paraId="6F0EB85C" w14:textId="77777777" w:rsidR="0040426A" w:rsidRDefault="00F623E2" w:rsidP="00890FD5">
      <w:pPr>
        <w:ind w:firstLine="720"/>
      </w:pPr>
      <w:r>
        <w:t xml:space="preserve">There is more. </w:t>
      </w:r>
      <w:r w:rsidR="0040426A">
        <w:t xml:space="preserve">As </w:t>
      </w:r>
      <w:r w:rsidR="00B94A49">
        <w:t>the Commission explained</w:t>
      </w:r>
      <w:r w:rsidR="0040426A">
        <w:t xml:space="preserve"> forthrightly in the notice seeking public comment as part of the OMB approval process:</w:t>
      </w:r>
    </w:p>
    <w:p w14:paraId="22C385FA" w14:textId="77777777" w:rsidR="0040426A" w:rsidRDefault="0040426A" w:rsidP="0040426A">
      <w:pPr>
        <w:spacing w:line="240" w:lineRule="auto"/>
        <w:ind w:left="720"/>
      </w:pPr>
      <w:r>
        <w:t>The Commission may not conduct or sponsor a collection of information unless it displays a currently valid Office of Management and Budget (OMB) control number. No person shall be subject to any penalty for failing to comply with a collection of information subject to the PRA that does not display a valid OMB control number.</w:t>
      </w:r>
      <w:r>
        <w:rPr>
          <w:rStyle w:val="FootnoteReference"/>
        </w:rPr>
        <w:footnoteReference w:id="110"/>
      </w:r>
    </w:p>
    <w:p w14:paraId="41F798AB" w14:textId="7AF0FBA4" w:rsidR="0040426A" w:rsidRDefault="0040426A" w:rsidP="0040426A">
      <w:r w:rsidRPr="00625677">
        <w:t>But the questionnaire now being used by USAC does not</w:t>
      </w:r>
      <w:r w:rsidR="008835DD">
        <w:t xml:space="preserve"> appear to</w:t>
      </w:r>
      <w:r w:rsidRPr="00625677">
        <w:t xml:space="preserve"> bear </w:t>
      </w:r>
      <w:r w:rsidR="00DF24B1">
        <w:t>a valid</w:t>
      </w:r>
      <w:r w:rsidRPr="00625677">
        <w:t xml:space="preserve"> OMB control number</w:t>
      </w:r>
      <w:r w:rsidR="00F7441E">
        <w:t>,</w:t>
      </w:r>
      <w:r w:rsidRPr="00625677">
        <w:t xml:space="preserve"> and yet it is being used to deprive applicants of the ability to obtain </w:t>
      </w:r>
      <w:r w:rsidR="007836B0" w:rsidRPr="00625677">
        <w:t>E-rate</w:t>
      </w:r>
      <w:r w:rsidRPr="00625677">
        <w:t xml:space="preserve"> funding “for failing to comply” with its directions.</w:t>
      </w:r>
      <w:r>
        <w:t xml:space="preserve"> Th</w:t>
      </w:r>
      <w:r w:rsidR="007F706C">
        <w:t>e absence of OM</w:t>
      </w:r>
      <w:r w:rsidR="001F0349">
        <w:t>B</w:t>
      </w:r>
      <w:r w:rsidR="007F706C">
        <w:t xml:space="preserve"> approval </w:t>
      </w:r>
      <w:r w:rsidR="00D37A24">
        <w:t>appears to provide</w:t>
      </w:r>
      <w:r>
        <w:t xml:space="preserve"> any </w:t>
      </w:r>
      <w:r w:rsidR="007836B0">
        <w:t>E-rate</w:t>
      </w:r>
      <w:r>
        <w:t xml:space="preserve"> applicant with a </w:t>
      </w:r>
      <w:r>
        <w:lastRenderedPageBreak/>
        <w:t>complete, statutory defense</w:t>
      </w:r>
      <w:r w:rsidR="00557DE6">
        <w:t xml:space="preserve"> to any agency action</w:t>
      </w:r>
      <w:r>
        <w:t>.</w:t>
      </w:r>
      <w:r w:rsidR="0088013B">
        <w:t xml:space="preserve"> </w:t>
      </w:r>
      <w:r w:rsidRPr="003A2608">
        <w:rPr>
          <w:i/>
        </w:rPr>
        <w:t>See Saco River Cellular v. FCC</w:t>
      </w:r>
      <w:r>
        <w:t>, 133 F.3d 25, 32 (D.C. Cir.1998</w:t>
      </w:r>
      <w:proofErr w:type="gramStart"/>
      <w:r>
        <w:t>)(</w:t>
      </w:r>
      <w:proofErr w:type="gramEnd"/>
      <w:r>
        <w:t>“</w:t>
      </w:r>
      <w:r w:rsidRPr="00851CD2">
        <w:t>the PRA must protect a member of the public when the agency impos</w:t>
      </w:r>
      <w:r>
        <w:t>es the paperwork burden upon it”); 44 U.S.C. § 3512(b)(</w:t>
      </w:r>
      <w:r w:rsidRPr="00851CD2">
        <w:t xml:space="preserve">“[t]he protection provided by this section may be raised in the form of a </w:t>
      </w:r>
      <w:r w:rsidRPr="000B5CE8">
        <w:rPr>
          <w:u w:val="single"/>
        </w:rPr>
        <w:t>complete defense</w:t>
      </w:r>
      <w:r w:rsidRPr="00851CD2">
        <w:t>, bar, or otherwise at any time during the agency administrative process or judicial action applicable thereto.”</w:t>
      </w:r>
      <w:r w:rsidR="00F623E2">
        <w:t>)</w:t>
      </w:r>
      <w:r w:rsidR="007F706C">
        <w:t>(</w:t>
      </w:r>
      <w:proofErr w:type="gramStart"/>
      <w:r w:rsidR="007F706C">
        <w:t>emphasis</w:t>
      </w:r>
      <w:proofErr w:type="gramEnd"/>
      <w:r w:rsidR="007F706C">
        <w:t xml:space="preserve"> added).</w:t>
      </w:r>
      <w:r>
        <w:t xml:space="preserve"> </w:t>
      </w:r>
    </w:p>
    <w:p w14:paraId="52A8B196" w14:textId="0C1E6765" w:rsidR="00DF29EB" w:rsidRDefault="005F11DB" w:rsidP="00B94A49">
      <w:pPr>
        <w:ind w:firstLine="720"/>
      </w:pPr>
      <w:r w:rsidRPr="005F11DB">
        <w:t xml:space="preserve">All of these problems could have been avoided had USAC followed </w:t>
      </w:r>
      <w:r w:rsidR="00AF6D19">
        <w:t>the needed</w:t>
      </w:r>
      <w:r w:rsidRPr="005F11DB">
        <w:t xml:space="preserve"> fair, public process to determine whether the new questionnaire </w:t>
      </w:r>
      <w:r w:rsidR="00B94A49">
        <w:t xml:space="preserve">should be used. </w:t>
      </w:r>
      <w:r w:rsidRPr="005F11DB">
        <w:t>Schools and broadband providers could have commented on the practicality and burden of the information request. USAC could have better determined the need for specific categories of information.</w:t>
      </w:r>
      <w:r w:rsidR="00557DE6">
        <w:t xml:space="preserve"> </w:t>
      </w:r>
      <w:r w:rsidR="00B94A49">
        <w:t>And, as beneficiaries of a more efficient process, s</w:t>
      </w:r>
      <w:r w:rsidR="00557DE6">
        <w:t>tudents would now be using</w:t>
      </w:r>
      <w:r w:rsidR="003E5F4B">
        <w:t xml:space="preserve"> the better broadband connections they need</w:t>
      </w:r>
      <w:r w:rsidR="00AF6D19">
        <w:t>.</w:t>
      </w:r>
    </w:p>
    <w:p w14:paraId="2CB19CB0" w14:textId="721BD030" w:rsidR="00A5620F" w:rsidRDefault="00547695" w:rsidP="00A5620F">
      <w:r>
        <w:rPr>
          <w:b/>
        </w:rPr>
        <w:t>V</w:t>
      </w:r>
      <w:r w:rsidR="00A5620F" w:rsidRPr="003E5F4B">
        <w:rPr>
          <w:b/>
        </w:rPr>
        <w:t xml:space="preserve">. </w:t>
      </w:r>
      <w:r>
        <w:rPr>
          <w:b/>
        </w:rPr>
        <w:t xml:space="preserve">The </w:t>
      </w:r>
      <w:r w:rsidR="007F706C">
        <w:rPr>
          <w:b/>
        </w:rPr>
        <w:t>Uncertainty</w:t>
      </w:r>
      <w:r>
        <w:rPr>
          <w:b/>
        </w:rPr>
        <w:t xml:space="preserve"> of the </w:t>
      </w:r>
      <w:r w:rsidR="00A5620F" w:rsidRPr="003E5F4B">
        <w:rPr>
          <w:b/>
        </w:rPr>
        <w:t>Cardinal</w:t>
      </w:r>
      <w:r w:rsidR="00F13FA8">
        <w:rPr>
          <w:b/>
        </w:rPr>
        <w:t xml:space="preserve"> Change</w:t>
      </w:r>
      <w:r w:rsidR="00A5620F" w:rsidRPr="00A5620F">
        <w:rPr>
          <w:b/>
        </w:rPr>
        <w:t xml:space="preserve"> Rule </w:t>
      </w:r>
    </w:p>
    <w:p w14:paraId="34D4D392" w14:textId="35C46587" w:rsidR="00B77E48" w:rsidRDefault="00A5620F" w:rsidP="00A5620F">
      <w:pPr>
        <w:ind w:firstLine="720"/>
      </w:pPr>
      <w:r>
        <w:t xml:space="preserve">Applicants for </w:t>
      </w:r>
      <w:r w:rsidR="007836B0">
        <w:t>E-rate</w:t>
      </w:r>
      <w:r>
        <w:t xml:space="preserve"> discounts must adhere to competitive bidding requirements </w:t>
      </w:r>
      <w:r w:rsidR="00AF6D19">
        <w:t>that include</w:t>
      </w:r>
      <w:r>
        <w:t xml:space="preserve"> submitting FCC Form 470 to initiate the </w:t>
      </w:r>
      <w:r w:rsidR="00AF6D19">
        <w:t xml:space="preserve">competitive </w:t>
      </w:r>
      <w:r>
        <w:t xml:space="preserve">bidding process. </w:t>
      </w:r>
      <w:r w:rsidR="00AF73CE">
        <w:t xml:space="preserve">USAC </w:t>
      </w:r>
      <w:r w:rsidR="00AF6D19">
        <w:t xml:space="preserve">has </w:t>
      </w:r>
      <w:r w:rsidR="00AF73CE">
        <w:t xml:space="preserve">informed applicants that </w:t>
      </w:r>
      <w:r>
        <w:t>if an applicant makes one or more significant (</w:t>
      </w:r>
      <w:r w:rsidR="00F5460B">
        <w:t xml:space="preserve">so-called </w:t>
      </w:r>
      <w:r w:rsidR="00AF6D19">
        <w:t>“</w:t>
      </w:r>
      <w:r w:rsidR="00F5460B">
        <w:t>cardinal</w:t>
      </w:r>
      <w:r w:rsidR="00AF6D19">
        <w:t>”</w:t>
      </w:r>
      <w:r>
        <w:t>) changes that are outside the s</w:t>
      </w:r>
      <w:r w:rsidR="00557DE6">
        <w:t>cope of the original bid, it</w:t>
      </w:r>
      <w:r w:rsidR="00AF73CE">
        <w:t xml:space="preserve"> should file a new FCC Form 470, which starts the application </w:t>
      </w:r>
      <w:r w:rsidR="00B77E48">
        <w:t xml:space="preserve">process </w:t>
      </w:r>
      <w:r w:rsidR="00AF73CE">
        <w:t>anew.</w:t>
      </w:r>
      <w:r w:rsidR="00AF73CE">
        <w:rPr>
          <w:rStyle w:val="FootnoteReference"/>
        </w:rPr>
        <w:footnoteReference w:id="111"/>
      </w:r>
      <w:r>
        <w:t xml:space="preserve"> </w:t>
      </w:r>
      <w:r w:rsidR="00B77E48">
        <w:t>USAC has told applicants that “[a]</w:t>
      </w:r>
      <w:r w:rsidR="00B77E48" w:rsidRPr="00B77E48">
        <w:t xml:space="preserve"> cardinal change is a change that is outside of the scope of your original project, and is significant enough that bids submitted in response to your original submission would not adequately address the change in scope.</w:t>
      </w:r>
      <w:r w:rsidR="00B77E48">
        <w:t>”</w:t>
      </w:r>
      <w:r w:rsidR="00B77E48">
        <w:rPr>
          <w:rStyle w:val="FootnoteReference"/>
        </w:rPr>
        <w:footnoteReference w:id="112"/>
      </w:r>
      <w:r w:rsidR="00B77E48">
        <w:t xml:space="preserve"> Outside of the </w:t>
      </w:r>
      <w:r w:rsidR="007836B0">
        <w:t>E-rate</w:t>
      </w:r>
      <w:r w:rsidR="00B77E48">
        <w:t xml:space="preserve"> context, USAC has said that “[</w:t>
      </w:r>
      <w:proofErr w:type="spellStart"/>
      <w:r w:rsidR="00B77E48">
        <w:t>i</w:t>
      </w:r>
      <w:proofErr w:type="spellEnd"/>
      <w:r w:rsidR="00B77E48">
        <w:t>]</w:t>
      </w:r>
      <w:r w:rsidR="00B77E48" w:rsidRPr="00B77E48">
        <w:t>n assessing whether a change is considered to be minor or a cardinal change, USAC takes into consideration the extent of changes in the type of work, performance period, and cost terms as a result of the modification.</w:t>
      </w:r>
      <w:r w:rsidR="00B77E48">
        <w:t>”</w:t>
      </w:r>
      <w:r w:rsidR="00B77E48">
        <w:rPr>
          <w:rStyle w:val="FootnoteReference"/>
        </w:rPr>
        <w:footnoteReference w:id="113"/>
      </w:r>
    </w:p>
    <w:p w14:paraId="63C55464" w14:textId="77777777" w:rsidR="005213B2" w:rsidRDefault="00B77E48" w:rsidP="00A5620F">
      <w:pPr>
        <w:ind w:firstLine="720"/>
      </w:pPr>
      <w:r>
        <w:t>The</w:t>
      </w:r>
      <w:r w:rsidR="00A5620F">
        <w:t xml:space="preserve"> cons</w:t>
      </w:r>
      <w:r>
        <w:t>eq</w:t>
      </w:r>
      <w:r w:rsidR="005213B2">
        <w:t xml:space="preserve">uences </w:t>
      </w:r>
      <w:r w:rsidR="00AF6D19">
        <w:t xml:space="preserve">of </w:t>
      </w:r>
      <w:r w:rsidR="00A5620F">
        <w:t>non-compliance are stark.  Submitting a new form means restarting the 28-day clock that must expire before an applicant can choose a service provider and contract for services. Failing to submit a new form after a cardinal change can mean denial.</w:t>
      </w:r>
    </w:p>
    <w:p w14:paraId="24435DB1" w14:textId="2F5861F6" w:rsidR="005213B2" w:rsidRDefault="005213B2" w:rsidP="00A5620F">
      <w:pPr>
        <w:ind w:firstLine="720"/>
      </w:pPr>
      <w:r>
        <w:t xml:space="preserve">The difficulty </w:t>
      </w:r>
      <w:r w:rsidR="00AF6D19">
        <w:t xml:space="preserve">faced by schools </w:t>
      </w:r>
      <w:r>
        <w:t>is that USAC has provided no guidance to help applicants understand what kinds of changes are “cardinal</w:t>
      </w:r>
      <w:r w:rsidR="00547695">
        <w:t>,</w:t>
      </w:r>
      <w:r>
        <w:t>” and it is difficult, perhaps even impossible, for an applicant to therefore conform its conduct to USAC’s view in advance of a denial.</w:t>
      </w:r>
      <w:r w:rsidR="00BC5F76">
        <w:t xml:space="preserve"> Indeed, the newly-issued Administrative Processes that govern administration of the </w:t>
      </w:r>
      <w:r w:rsidR="007836B0">
        <w:t>E-rate</w:t>
      </w:r>
      <w:r w:rsidR="00BC5F76">
        <w:t xml:space="preserve"> program fail even to note the cardinal</w:t>
      </w:r>
      <w:r w:rsidR="00056131">
        <w:t xml:space="preserve"> </w:t>
      </w:r>
      <w:r w:rsidR="005D7B9A">
        <w:t>change</w:t>
      </w:r>
      <w:r w:rsidR="00BC5F76">
        <w:t xml:space="preserve"> requirement, </w:t>
      </w:r>
      <w:r w:rsidR="00AF6D19">
        <w:t xml:space="preserve">much </w:t>
      </w:r>
      <w:r w:rsidR="00BC5F76">
        <w:t>less explain it.</w:t>
      </w:r>
      <w:r w:rsidR="00BC5F76">
        <w:rPr>
          <w:rStyle w:val="FootnoteReference"/>
        </w:rPr>
        <w:footnoteReference w:id="114"/>
      </w:r>
      <w:r w:rsidR="00BC5F76">
        <w:t xml:space="preserve">  </w:t>
      </w:r>
    </w:p>
    <w:p w14:paraId="476E0F37" w14:textId="570D6624" w:rsidR="00E255C2" w:rsidRDefault="00505A95" w:rsidP="003E5F4B">
      <w:pPr>
        <w:ind w:firstLine="720"/>
      </w:pPr>
      <w:r w:rsidRPr="0030236C">
        <w:lastRenderedPageBreak/>
        <w:t>So, for example, in 2016</w:t>
      </w:r>
      <w:r w:rsidR="006E657B" w:rsidRPr="0030236C">
        <w:t>,</w:t>
      </w:r>
      <w:r w:rsidRPr="0030236C">
        <w:t xml:space="preserve"> USAC required the </w:t>
      </w:r>
      <w:proofErr w:type="spellStart"/>
      <w:r w:rsidRPr="0030236C">
        <w:t>DeSoto</w:t>
      </w:r>
      <w:proofErr w:type="spellEnd"/>
      <w:r w:rsidRPr="0030236C">
        <w:t xml:space="preserve"> County School District in Florida to restart its </w:t>
      </w:r>
      <w:r w:rsidR="00803610">
        <w:t>special construction</w:t>
      </w:r>
      <w:r w:rsidRPr="0030236C">
        <w:t xml:space="preserve"> application</w:t>
      </w:r>
      <w:r w:rsidR="00AF6D19" w:rsidRPr="0030236C">
        <w:t xml:space="preserve">, which sought </w:t>
      </w:r>
      <w:r w:rsidR="007836B0" w:rsidRPr="0030236C">
        <w:t>E-rate</w:t>
      </w:r>
      <w:r w:rsidR="00AF6D19" w:rsidRPr="0030236C">
        <w:t xml:space="preserve"> support</w:t>
      </w:r>
      <w:r w:rsidRPr="0030236C">
        <w:t xml:space="preserve"> to build a fiber link from a local provider’s end office to an early childhood center and </w:t>
      </w:r>
      <w:r w:rsidR="00F623E2" w:rsidRPr="0030236C">
        <w:t xml:space="preserve">to </w:t>
      </w:r>
      <w:r w:rsidRPr="0030236C">
        <w:t xml:space="preserve">an elementary school. </w:t>
      </w:r>
      <w:r w:rsidR="00283CE1">
        <w:rPr>
          <w:caps/>
        </w:rPr>
        <w:t>A</w:t>
      </w:r>
      <w:r w:rsidR="00283CE1">
        <w:t xml:space="preserve">s </w:t>
      </w:r>
      <w:proofErr w:type="spellStart"/>
      <w:r w:rsidR="00C228CF">
        <w:t>EducationSuperHighway</w:t>
      </w:r>
      <w:proofErr w:type="spellEnd"/>
      <w:r w:rsidR="00283CE1">
        <w:t xml:space="preserve"> has determined, </w:t>
      </w:r>
      <w:proofErr w:type="spellStart"/>
      <w:r w:rsidR="00283CE1">
        <w:t>De</w:t>
      </w:r>
      <w:r w:rsidRPr="0030236C">
        <w:t>Soto</w:t>
      </w:r>
      <w:proofErr w:type="spellEnd"/>
      <w:r w:rsidRPr="0030236C">
        <w:t xml:space="preserve"> County had listed only the end office on its submitted request for proposals, but then, at the local provider’s request, updated the pricing sheet to include the addresses of the </w:t>
      </w:r>
      <w:r w:rsidR="00E255C2" w:rsidRPr="0030236C">
        <w:t xml:space="preserve">early </w:t>
      </w:r>
      <w:r w:rsidRPr="0030236C">
        <w:t>child</w:t>
      </w:r>
      <w:r w:rsidR="00E255C2" w:rsidRPr="0030236C">
        <w:t>hood</w:t>
      </w:r>
      <w:r w:rsidRPr="0030236C">
        <w:t xml:space="preserve"> center and elementary school, which had already been included in the application. USAC denied the application, claiming </w:t>
      </w:r>
      <w:r w:rsidR="00E255C2" w:rsidRPr="0030236C">
        <w:t xml:space="preserve">the existence of </w:t>
      </w:r>
      <w:r w:rsidRPr="0030236C">
        <w:t>a “cardinal” change even though the very same information had b</w:t>
      </w:r>
      <w:r w:rsidR="00AF6D19" w:rsidRPr="0030236C">
        <w:t>een included in the application</w:t>
      </w:r>
      <w:r w:rsidR="006E657B" w:rsidRPr="0030236C">
        <w:t>.</w:t>
      </w:r>
      <w:r w:rsidR="00AF6D19" w:rsidRPr="0030236C">
        <w:t xml:space="preserve"> </w:t>
      </w:r>
      <w:r w:rsidR="006E657B" w:rsidRPr="0030236C">
        <w:t>(I</w:t>
      </w:r>
      <w:r w:rsidR="00AF6D19" w:rsidRPr="0030236C">
        <w:t>t is difficult to imagine that bidders could have been confused about the locations of the school district buildings to be served.</w:t>
      </w:r>
      <w:r w:rsidR="006E657B" w:rsidRPr="0030236C">
        <w:t>)</w:t>
      </w:r>
      <w:r w:rsidR="00C2691F" w:rsidRPr="0030236C">
        <w:rPr>
          <w:rStyle w:val="FootnoteReference"/>
        </w:rPr>
        <w:footnoteReference w:id="115"/>
      </w:r>
      <w:r w:rsidR="00AF6D19">
        <w:t xml:space="preserve"> </w:t>
      </w:r>
    </w:p>
    <w:p w14:paraId="644A887F" w14:textId="1A90B38F" w:rsidR="00A11533" w:rsidRDefault="00E255C2" w:rsidP="00F623E2">
      <w:pPr>
        <w:ind w:firstLine="720"/>
      </w:pPr>
      <w:r>
        <w:t>USAC is on notice of the problem</w:t>
      </w:r>
      <w:r w:rsidR="00547695">
        <w:t>,</w:t>
      </w:r>
      <w:r>
        <w:t xml:space="preserve"> but has failed to fix it. For example, </w:t>
      </w:r>
      <w:r w:rsidR="00DE17B2">
        <w:t>in 2018</w:t>
      </w:r>
      <w:r w:rsidR="00B74F91">
        <w:t xml:space="preserve"> </w:t>
      </w:r>
      <w:proofErr w:type="spellStart"/>
      <w:r w:rsidR="00B74F91">
        <w:t>Education</w:t>
      </w:r>
      <w:r w:rsidR="005213B2">
        <w:t>SuperHighway</w:t>
      </w:r>
      <w:proofErr w:type="spellEnd"/>
      <w:r w:rsidR="005213B2">
        <w:t xml:space="preserve"> suggested that USAC simpl</w:t>
      </w:r>
      <w:r w:rsidR="00AF6D19">
        <w:t>y</w:t>
      </w:r>
      <w:r w:rsidR="005213B2">
        <w:t xml:space="preserve"> publish </w:t>
      </w:r>
      <w:r w:rsidR="005213B2" w:rsidRPr="005213B2">
        <w:t>all previous examples of what</w:t>
      </w:r>
      <w:r>
        <w:t xml:space="preserve"> </w:t>
      </w:r>
      <w:r w:rsidR="002A6107">
        <w:t xml:space="preserve">USAC </w:t>
      </w:r>
      <w:r>
        <w:t xml:space="preserve">has </w:t>
      </w:r>
      <w:r w:rsidR="00A3139F">
        <w:t xml:space="preserve">previously </w:t>
      </w:r>
      <w:r>
        <w:t xml:space="preserve">considered to be </w:t>
      </w:r>
      <w:r w:rsidR="005213B2" w:rsidRPr="005213B2">
        <w:t xml:space="preserve">a cardinal change. </w:t>
      </w:r>
      <w:r w:rsidR="005213B2">
        <w:t>That would not be as helpful as forward-looking guidance</w:t>
      </w:r>
      <w:r w:rsidR="00547695">
        <w:t>,</w:t>
      </w:r>
      <w:r w:rsidR="005213B2">
        <w:t xml:space="preserve"> but it would</w:t>
      </w:r>
      <w:r w:rsidR="00547695">
        <w:t>,</w:t>
      </w:r>
      <w:r w:rsidR="005213B2">
        <w:t xml:space="preserve"> at least</w:t>
      </w:r>
      <w:r w:rsidR="00547695">
        <w:t>,</w:t>
      </w:r>
      <w:r w:rsidR="005213B2">
        <w:t xml:space="preserve"> allow applicants to avoid crossing lines that USAC has (rightly or wrongly) already drawn. </w:t>
      </w:r>
      <w:r w:rsidR="00AF6D19">
        <w:t xml:space="preserve">As of </w:t>
      </w:r>
      <w:r w:rsidR="00DE17B2">
        <w:t>now,</w:t>
      </w:r>
      <w:r w:rsidR="00AF6D19">
        <w:t xml:space="preserve"> </w:t>
      </w:r>
      <w:r w:rsidR="005213B2">
        <w:t>USAC ha</w:t>
      </w:r>
      <w:r w:rsidR="00DE17B2">
        <w:t>s</w:t>
      </w:r>
      <w:r w:rsidR="005213B2">
        <w:t xml:space="preserve"> not responded to that suggestion</w:t>
      </w:r>
      <w:r w:rsidR="00AF6D19">
        <w:t xml:space="preserve">. </w:t>
      </w:r>
      <w:r w:rsidR="005213B2">
        <w:t xml:space="preserve"> </w:t>
      </w:r>
    </w:p>
    <w:p w14:paraId="1A634FF9" w14:textId="77777777" w:rsidR="00E93F0B" w:rsidRDefault="006E657B">
      <w:pPr>
        <w:rPr>
          <w:b/>
        </w:rPr>
      </w:pPr>
      <w:r>
        <w:rPr>
          <w:b/>
        </w:rPr>
        <w:t>V</w:t>
      </w:r>
      <w:r w:rsidR="006F42DB">
        <w:rPr>
          <w:b/>
        </w:rPr>
        <w:t>I</w:t>
      </w:r>
      <w:r>
        <w:rPr>
          <w:b/>
        </w:rPr>
        <w:t xml:space="preserve">. </w:t>
      </w:r>
      <w:r w:rsidR="00E93F0B">
        <w:rPr>
          <w:b/>
        </w:rPr>
        <w:t xml:space="preserve">Amortization: An Old Problem </w:t>
      </w:r>
      <w:r w:rsidR="0019521E">
        <w:rPr>
          <w:b/>
        </w:rPr>
        <w:t>Should Be Permanently Resolved</w:t>
      </w:r>
    </w:p>
    <w:p w14:paraId="6EFFC325" w14:textId="13D53169" w:rsidR="00E03A5C" w:rsidRDefault="00E93F0B" w:rsidP="00B72F6C">
      <w:pPr>
        <w:ind w:firstLine="720"/>
      </w:pPr>
      <w:r w:rsidRPr="00B72F6C">
        <w:t xml:space="preserve">In its </w:t>
      </w:r>
      <w:r w:rsidRPr="00625677">
        <w:rPr>
          <w:i/>
        </w:rPr>
        <w:t>Second Modernization Order</w:t>
      </w:r>
      <w:r>
        <w:t>, the Commission determined (contrary to pre-existing practice) to permit schools</w:t>
      </w:r>
      <w:r w:rsidR="00DA7C42">
        <w:t xml:space="preserve"> (and libraries)</w:t>
      </w:r>
      <w:r>
        <w:t xml:space="preserve"> to seek funding for the upfront costs of </w:t>
      </w:r>
      <w:r w:rsidR="00803610">
        <w:t>special construction</w:t>
      </w:r>
      <w:r>
        <w:t xml:space="preserve"> in the first year of E-rate funding, rather than being forced to amortize those one-time costs over a period of years.</w:t>
      </w:r>
      <w:r>
        <w:rPr>
          <w:rStyle w:val="FootnoteReference"/>
        </w:rPr>
        <w:footnoteReference w:id="116"/>
      </w:r>
      <w:r w:rsidR="00295A2F">
        <w:t xml:space="preserve"> </w:t>
      </w:r>
      <w:r w:rsidR="00E03A5C">
        <w:t xml:space="preserve">Unlike the payment of monthly or annual subscription costs to a broadband provider, </w:t>
      </w:r>
      <w:r w:rsidR="00803610">
        <w:t>special construction</w:t>
      </w:r>
      <w:r w:rsidR="00F623E2">
        <w:t xml:space="preserve"> projects </w:t>
      </w:r>
      <w:r w:rsidR="00E03A5C">
        <w:t>will often include initial, one-time costs whose</w:t>
      </w:r>
      <w:r w:rsidR="005054D5">
        <w:t xml:space="preserve"> value is spread over a number of years</w:t>
      </w:r>
      <w:r w:rsidR="00E03A5C">
        <w:t xml:space="preserve">, such as installing equipment to “light” dark fiber or paying for the actual deployment of new fiber. </w:t>
      </w:r>
    </w:p>
    <w:p w14:paraId="64EE4B6A" w14:textId="3699EDDF" w:rsidR="00DA7C42" w:rsidRDefault="00295A2F" w:rsidP="00B72F6C">
      <w:pPr>
        <w:ind w:firstLine="720"/>
      </w:pPr>
      <w:r>
        <w:t>As the Commission explained, payment of cost-effective, upfront costs can reduce the total cost of deployment (by eliminating financing costs)</w:t>
      </w:r>
      <w:r w:rsidR="0039642A">
        <w:t xml:space="preserve"> while providing a more </w:t>
      </w:r>
      <w:r>
        <w:t xml:space="preserve">certain path for reimbursement, </w:t>
      </w:r>
      <w:r w:rsidR="00F623E2">
        <w:t>which</w:t>
      </w:r>
      <w:r w:rsidR="0039642A">
        <w:t xml:space="preserve"> incentivizes schools and libraries to launch </w:t>
      </w:r>
      <w:r w:rsidR="00803610">
        <w:t>special construction</w:t>
      </w:r>
      <w:r w:rsidR="00E03A5C">
        <w:t xml:space="preserve"> projects.</w:t>
      </w:r>
      <w:r>
        <w:rPr>
          <w:rStyle w:val="FootnoteReference"/>
        </w:rPr>
        <w:footnoteReference w:id="117"/>
      </w:r>
      <w:r>
        <w:t xml:space="preserve"> </w:t>
      </w:r>
    </w:p>
    <w:p w14:paraId="24D00DC8" w14:textId="1D461D8D" w:rsidR="00E93F0B" w:rsidRDefault="00E93F0B" w:rsidP="00B72F6C">
      <w:pPr>
        <w:ind w:firstLine="720"/>
      </w:pPr>
      <w:r>
        <w:t>But</w:t>
      </w:r>
      <w:r w:rsidR="0039642A">
        <w:t>, with an eye towards the possibility that reimbursement of upfront costs would strain the E-rate program’s financial resources,</w:t>
      </w:r>
      <w:r>
        <w:t xml:space="preserve"> the Commission put this policy in effect only through funding year 2018</w:t>
      </w:r>
      <w:r w:rsidR="00501BFC">
        <w:t>.</w:t>
      </w:r>
      <w:r w:rsidR="00501BFC">
        <w:rPr>
          <w:rStyle w:val="FootnoteReference"/>
        </w:rPr>
        <w:footnoteReference w:id="118"/>
      </w:r>
      <w:r w:rsidR="00501BFC">
        <w:t xml:space="preserve"> </w:t>
      </w:r>
      <w:r w:rsidR="00CB1422">
        <w:t xml:space="preserve">The </w:t>
      </w:r>
      <w:r w:rsidR="00FC2E05">
        <w:t xml:space="preserve">policy </w:t>
      </w:r>
      <w:r w:rsidR="0019521E">
        <w:t>expired</w:t>
      </w:r>
      <w:r w:rsidR="00FC2E05">
        <w:t xml:space="preserve">, but </w:t>
      </w:r>
      <w:r w:rsidR="00BC4402">
        <w:t xml:space="preserve">education and library communities </w:t>
      </w:r>
      <w:r w:rsidR="00102A32">
        <w:t xml:space="preserve">highlighted the confusion and </w:t>
      </w:r>
      <w:r w:rsidR="00102A32">
        <w:lastRenderedPageBreak/>
        <w:t xml:space="preserve">problems likely to </w:t>
      </w:r>
      <w:r w:rsidR="003E1B7B">
        <w:t>occur as a result of this lapse</w:t>
      </w:r>
      <w:r w:rsidR="0019521E">
        <w:t>.</w:t>
      </w:r>
      <w:r w:rsidR="003E1B7B">
        <w:t xml:space="preserve"> </w:t>
      </w:r>
      <w:r w:rsidR="0019521E">
        <w:t>T</w:t>
      </w:r>
      <w:r w:rsidR="003B6974">
        <w:t xml:space="preserve">he </w:t>
      </w:r>
      <w:r w:rsidR="00501BFC">
        <w:t xml:space="preserve">Commission </w:t>
      </w:r>
      <w:r w:rsidR="00386CFE">
        <w:t xml:space="preserve">recently </w:t>
      </w:r>
      <w:r w:rsidR="00386CFE" w:rsidRPr="00386CFE">
        <w:t>grant</w:t>
      </w:r>
      <w:r w:rsidR="00386CFE">
        <w:t>ed</w:t>
      </w:r>
      <w:r w:rsidR="00386CFE" w:rsidRPr="00386CFE">
        <w:t xml:space="preserve"> a temporary waiver of the requirement </w:t>
      </w:r>
      <w:r w:rsidR="00F037CF">
        <w:t xml:space="preserve">two weeks into the 2019 </w:t>
      </w:r>
      <w:r w:rsidR="00D3346A">
        <w:t>funding application cycle</w:t>
      </w:r>
      <w:r w:rsidR="00CF5A95">
        <w:t>.</w:t>
      </w:r>
      <w:r w:rsidR="00D15716">
        <w:rPr>
          <w:rStyle w:val="FootnoteReference"/>
        </w:rPr>
        <w:footnoteReference w:id="119"/>
      </w:r>
      <w:r w:rsidR="00D3346A">
        <w:t xml:space="preserve"> </w:t>
      </w:r>
      <w:r w:rsidR="0019521E">
        <w:t xml:space="preserve">Now, </w:t>
      </w:r>
      <w:r w:rsidR="0019521E" w:rsidRPr="00236DBE">
        <w:t xml:space="preserve">the Commission </w:t>
      </w:r>
      <w:r w:rsidR="0019521E">
        <w:t xml:space="preserve">should permanently eliminate the requirement that schools and libraries amortize over three years upfront, non-recurring charges of $500,000 or more. </w:t>
      </w:r>
      <w:r w:rsidR="00DC2346" w:rsidRPr="00DC2346">
        <w:t>“</w:t>
      </w:r>
      <w:r w:rsidR="0019521E">
        <w:t>[A]</w:t>
      </w:r>
      <w:r w:rsidR="00DC2346" w:rsidRPr="00DC2346">
        <w:t>t least 40% of the K-12 public schools that require fiber construction will need builds in excess of $500,000.”</w:t>
      </w:r>
      <w:r w:rsidR="00DC2346">
        <w:rPr>
          <w:rStyle w:val="FootnoteReference"/>
        </w:rPr>
        <w:footnoteReference w:id="120"/>
      </w:r>
    </w:p>
    <w:p w14:paraId="5CAD7730" w14:textId="7B8207AD" w:rsidR="00501BFC" w:rsidRDefault="00501BFC" w:rsidP="004E1E39">
      <w:pPr>
        <w:ind w:firstLine="720"/>
      </w:pPr>
      <w:r>
        <w:t xml:space="preserve">Without </w:t>
      </w:r>
      <w:r w:rsidR="004F761D">
        <w:t xml:space="preserve">permanent </w:t>
      </w:r>
      <w:r w:rsidR="007474EE">
        <w:t>resolution of this issue</w:t>
      </w:r>
      <w:r>
        <w:t xml:space="preserve">, </w:t>
      </w:r>
      <w:r w:rsidR="00A642EC">
        <w:t xml:space="preserve">the ability of </w:t>
      </w:r>
      <w:r>
        <w:t xml:space="preserve">schools and libraries to initiate </w:t>
      </w:r>
      <w:r w:rsidR="00803610">
        <w:t>special construction</w:t>
      </w:r>
      <w:r>
        <w:t xml:space="preserve"> projects will be threatened</w:t>
      </w:r>
      <w:r w:rsidR="00CB24B6">
        <w:t xml:space="preserve"> in future years</w:t>
      </w:r>
      <w:r>
        <w:t>, and USAC will be forced to administer an amortization policy that the Commission has already concluded was based on unfounded concerns.</w:t>
      </w:r>
      <w:r>
        <w:rPr>
          <w:rStyle w:val="FootnoteReference"/>
        </w:rPr>
        <w:footnoteReference w:id="121"/>
      </w:r>
      <w:r>
        <w:t xml:space="preserve"> </w:t>
      </w:r>
      <w:r w:rsidR="00BD39BA">
        <w:t xml:space="preserve">In the </w:t>
      </w:r>
      <w:r w:rsidR="00E0675E">
        <w:t>recent</w:t>
      </w:r>
      <w:r w:rsidR="00BE5939">
        <w:t xml:space="preserve"> NPRM</w:t>
      </w:r>
      <w:r w:rsidR="00E0675E">
        <w:t xml:space="preserve"> </w:t>
      </w:r>
      <w:r w:rsidR="008A3E89">
        <w:t xml:space="preserve">and </w:t>
      </w:r>
      <w:r w:rsidR="00A051C2">
        <w:t xml:space="preserve">temporary waiver, the Commission </w:t>
      </w:r>
      <w:r w:rsidR="00C56C34">
        <w:t xml:space="preserve">explained that </w:t>
      </w:r>
      <w:r w:rsidR="00A15EF5">
        <w:t xml:space="preserve">the upfront costs without </w:t>
      </w:r>
      <w:r w:rsidR="00183E25">
        <w:t xml:space="preserve">amortization would not have drained the fund over the past </w:t>
      </w:r>
      <w:r w:rsidR="0060261D">
        <w:t xml:space="preserve">four years, with </w:t>
      </w:r>
      <w:r w:rsidR="00532573">
        <w:t xml:space="preserve">projects that would have faced the amortization </w:t>
      </w:r>
      <w:r w:rsidR="00292BC2">
        <w:t>requirement</w:t>
      </w:r>
      <w:r w:rsidR="00532573">
        <w:t xml:space="preserve"> comprising less than 5% of all</w:t>
      </w:r>
      <w:r w:rsidR="00292BC2">
        <w:t xml:space="preserve"> E-rate funding </w:t>
      </w:r>
      <w:r w:rsidR="004E1E39">
        <w:t>commitments</w:t>
      </w:r>
      <w:r w:rsidR="00292BC2">
        <w:t xml:space="preserve"> between </w:t>
      </w:r>
      <w:r w:rsidR="004E1E39">
        <w:t>funding years 2015 and 2017.</w:t>
      </w:r>
      <w:r w:rsidR="004E1E39">
        <w:rPr>
          <w:rStyle w:val="FootnoteReference"/>
        </w:rPr>
        <w:footnoteReference w:id="122"/>
      </w:r>
      <w:r w:rsidR="004E1E39">
        <w:t xml:space="preserve"> </w:t>
      </w:r>
      <w:r w:rsidR="006959D3">
        <w:t>R</w:t>
      </w:r>
      <w:r>
        <w:t>ecent experience supports that conclusion: “</w:t>
      </w:r>
      <w:r w:rsidRPr="00501BFC">
        <w:t xml:space="preserve">E-rate applicants have entered into numerous </w:t>
      </w:r>
      <w:r w:rsidR="00803610">
        <w:t>special construction</w:t>
      </w:r>
      <w:r w:rsidRPr="00501BFC">
        <w:t xml:space="preserve"> projects in the past four years and funding the one-time upfront costs did not put a strain on the fund. Indeed, overall E-rate demand last year was less than it was in 2014.</w:t>
      </w:r>
      <w:r>
        <w:t>”</w:t>
      </w:r>
      <w:r>
        <w:rPr>
          <w:rStyle w:val="FootnoteReference"/>
        </w:rPr>
        <w:footnoteReference w:id="123"/>
      </w:r>
      <w:r w:rsidR="00DC2346">
        <w:t xml:space="preserve"> S</w:t>
      </w:r>
      <w:r w:rsidR="00A642EC">
        <w:t xml:space="preserve">ince the </w:t>
      </w:r>
      <w:r w:rsidR="00A642EC" w:rsidRPr="00625677">
        <w:rPr>
          <w:i/>
        </w:rPr>
        <w:t>Second Modernization Order</w:t>
      </w:r>
      <w:r w:rsidR="00A642EC">
        <w:t>, “requests for E-rate funds have been lower than the program cap every year.”</w:t>
      </w:r>
      <w:r w:rsidR="00A642EC">
        <w:rPr>
          <w:rStyle w:val="FootnoteReference"/>
        </w:rPr>
        <w:footnoteReference w:id="124"/>
      </w:r>
    </w:p>
    <w:p w14:paraId="05C25BDC" w14:textId="6DE03C48" w:rsidR="00A642EC" w:rsidRDefault="00501BFC" w:rsidP="00B72F6C">
      <w:pPr>
        <w:ind w:firstLine="720"/>
      </w:pPr>
      <w:r>
        <w:t xml:space="preserve">By contrast, </w:t>
      </w:r>
      <w:r w:rsidR="003608D9">
        <w:t xml:space="preserve">a </w:t>
      </w:r>
      <w:r>
        <w:t>return to the</w:t>
      </w:r>
      <w:r w:rsidR="00A642EC">
        <w:t xml:space="preserve"> requirement that upfront or non-recurring costs above $500,000 be amortized would threaten </w:t>
      </w:r>
      <w:r>
        <w:t xml:space="preserve">cost-effective </w:t>
      </w:r>
      <w:r w:rsidR="00803610">
        <w:t>special construction</w:t>
      </w:r>
      <w:r>
        <w:t xml:space="preserve"> efforts</w:t>
      </w:r>
      <w:r w:rsidR="00BE5939">
        <w:t xml:space="preserve"> like the ones</w:t>
      </w:r>
      <w:r>
        <w:t xml:space="preserve"> that are underway or being planned in</w:t>
      </w:r>
      <w:r w:rsidR="009B7E3F">
        <w:t xml:space="preserve"> states that include</w:t>
      </w:r>
      <w:r>
        <w:t xml:space="preserve"> Arizona, California, Colorado, Illinois, Nevada, North Carolina</w:t>
      </w:r>
      <w:r w:rsidR="003939D8">
        <w:t>,</w:t>
      </w:r>
      <w:r>
        <w:t xml:space="preserve"> and Texas (</w:t>
      </w:r>
      <w:r w:rsidR="009B7E3F">
        <w:t>where at least ten projects are under consideration).</w:t>
      </w:r>
      <w:r w:rsidR="009B7E3F">
        <w:rPr>
          <w:rStyle w:val="FootnoteReference"/>
        </w:rPr>
        <w:footnoteReference w:id="125"/>
      </w:r>
      <w:r w:rsidR="009B7E3F">
        <w:t xml:space="preserve"> </w:t>
      </w:r>
      <w:r w:rsidR="00AD1A86">
        <w:t xml:space="preserve">If required to comply with </w:t>
      </w:r>
      <w:r w:rsidR="009B7E3F">
        <w:t>a new requirement of amortization</w:t>
      </w:r>
      <w:r w:rsidR="00D4567F">
        <w:t xml:space="preserve"> </w:t>
      </w:r>
      <w:r w:rsidR="00BE5939">
        <w:t>in the future</w:t>
      </w:r>
      <w:r w:rsidR="009B7E3F">
        <w:t>, schools and libraries will face (</w:t>
      </w:r>
      <w:proofErr w:type="spellStart"/>
      <w:r w:rsidR="009B7E3F">
        <w:t>i</w:t>
      </w:r>
      <w:proofErr w:type="spellEnd"/>
      <w:r w:rsidR="009B7E3F">
        <w:t xml:space="preserve">) greater costs, such as the cost of financing </w:t>
      </w:r>
      <w:r w:rsidR="00620A96">
        <w:t>recognized</w:t>
      </w:r>
      <w:r w:rsidR="009B7E3F">
        <w:t xml:space="preserve"> in the </w:t>
      </w:r>
      <w:r w:rsidR="009B7E3F" w:rsidRPr="00625677">
        <w:rPr>
          <w:i/>
        </w:rPr>
        <w:t>Second Modernization Order</w:t>
      </w:r>
      <w:r w:rsidR="009B7E3F">
        <w:t xml:space="preserve">; (ii) the risk that approval in year </w:t>
      </w:r>
      <w:r w:rsidR="00302D7B">
        <w:t>one</w:t>
      </w:r>
      <w:r w:rsidR="009B7E3F">
        <w:t xml:space="preserve"> of a project will not be followed by approval in the following years, which could discourage schools, libraries and broadband providers</w:t>
      </w:r>
      <w:r w:rsidR="00302D7B">
        <w:t xml:space="preserve"> from launching a multi-year project</w:t>
      </w:r>
      <w:r w:rsidR="009B7E3F">
        <w:t>; and (iii) the potential loss of state</w:t>
      </w:r>
      <w:r w:rsidR="005C3A81">
        <w:t>-</w:t>
      </w:r>
      <w:r w:rsidR="009B7E3F">
        <w:t>matching funds.</w:t>
      </w:r>
    </w:p>
    <w:p w14:paraId="0C4ABE39" w14:textId="77777777" w:rsidR="00E93F0B" w:rsidRPr="00B72F6C" w:rsidRDefault="009B7E3F" w:rsidP="00B72F6C">
      <w:pPr>
        <w:ind w:firstLine="720"/>
      </w:pPr>
      <w:r>
        <w:t xml:space="preserve"> The </w:t>
      </w:r>
      <w:r w:rsidR="00BE5939">
        <w:t xml:space="preserve">Commission should eliminate the amortization requirement. </w:t>
      </w:r>
    </w:p>
    <w:p w14:paraId="2A704622" w14:textId="77777777" w:rsidR="00333A8F" w:rsidRPr="00B10196" w:rsidRDefault="00E93F0B">
      <w:pPr>
        <w:rPr>
          <w:b/>
        </w:rPr>
      </w:pPr>
      <w:r>
        <w:rPr>
          <w:b/>
        </w:rPr>
        <w:t>VI</w:t>
      </w:r>
      <w:r w:rsidR="006F42DB">
        <w:rPr>
          <w:b/>
        </w:rPr>
        <w:t>I</w:t>
      </w:r>
      <w:r>
        <w:rPr>
          <w:b/>
        </w:rPr>
        <w:t xml:space="preserve">. </w:t>
      </w:r>
      <w:r w:rsidR="00BC5F76" w:rsidRPr="00B10196">
        <w:rPr>
          <w:b/>
        </w:rPr>
        <w:t>Conclusion</w:t>
      </w:r>
    </w:p>
    <w:p w14:paraId="078889F0" w14:textId="0DC313DE" w:rsidR="00233D88" w:rsidRDefault="001D4558">
      <w:pPr>
        <w:ind w:firstLine="720"/>
      </w:pPr>
      <w:r>
        <w:t xml:space="preserve">The Commission’s </w:t>
      </w:r>
      <w:r w:rsidR="00301371">
        <w:t xml:space="preserve">expansion of options for </w:t>
      </w:r>
      <w:r w:rsidR="00BB432F">
        <w:t xml:space="preserve">the construction </w:t>
      </w:r>
      <w:r w:rsidR="002E0D2F">
        <w:t xml:space="preserve">and purchase </w:t>
      </w:r>
      <w:r w:rsidR="00BB432F">
        <w:t xml:space="preserve">of </w:t>
      </w:r>
      <w:r w:rsidR="00301371">
        <w:t>affordable high-speed broadband connectivity</w:t>
      </w:r>
      <w:r w:rsidR="00DE4243">
        <w:rPr>
          <w:rStyle w:val="FootnoteReference"/>
        </w:rPr>
        <w:footnoteReference w:id="126"/>
      </w:r>
      <w:r w:rsidR="00F846B5">
        <w:t xml:space="preserve"> </w:t>
      </w:r>
      <w:r w:rsidR="00B56433">
        <w:t>and development of a state</w:t>
      </w:r>
      <w:r w:rsidR="001F7F4E">
        <w:t>-</w:t>
      </w:r>
      <w:r w:rsidR="00B56433">
        <w:t xml:space="preserve">matching fund to </w:t>
      </w:r>
      <w:r w:rsidR="009B3203">
        <w:t>incentiviz</w:t>
      </w:r>
      <w:r w:rsidR="00B56433">
        <w:t xml:space="preserve">e </w:t>
      </w:r>
      <w:r w:rsidR="00803610">
        <w:t xml:space="preserve">special </w:t>
      </w:r>
      <w:r w:rsidR="00803610">
        <w:lastRenderedPageBreak/>
        <w:t>construction</w:t>
      </w:r>
      <w:r>
        <w:t xml:space="preserve"> in </w:t>
      </w:r>
      <w:r w:rsidR="00547695">
        <w:t>the</w:t>
      </w:r>
      <w:r>
        <w:t xml:space="preserve"> </w:t>
      </w:r>
      <w:r w:rsidRPr="00625677">
        <w:rPr>
          <w:i/>
        </w:rPr>
        <w:t>Second Modernization Order</w:t>
      </w:r>
      <w:r>
        <w:t xml:space="preserve"> </w:t>
      </w:r>
      <w:r w:rsidR="007F706C">
        <w:t xml:space="preserve">are important policies that have, and will, help schools and libraries. But USAC appears now to be administering the E-rate program in a manner that fails to advance those policies. </w:t>
      </w:r>
    </w:p>
    <w:p w14:paraId="1C206DCB" w14:textId="4F10316C" w:rsidR="00233D88" w:rsidRDefault="00233D88" w:rsidP="00890FD5">
      <w:pPr>
        <w:ind w:firstLine="720"/>
      </w:pPr>
      <w:r>
        <w:t>The Commission needs to ste</w:t>
      </w:r>
      <w:r w:rsidR="00E255C2">
        <w:t xml:space="preserve">p in. Case-by-case review will </w:t>
      </w:r>
      <w:r>
        <w:t xml:space="preserve">not confront the systemic errors in USAC processes soon enough or comprehensively enough.  </w:t>
      </w:r>
      <w:r w:rsidR="007F706C">
        <w:t>T</w:t>
      </w:r>
      <w:r>
        <w:t xml:space="preserve">he Commission </w:t>
      </w:r>
      <w:r w:rsidR="007F706C">
        <w:t>should</w:t>
      </w:r>
      <w:r>
        <w:t xml:space="preserve"> instruct USAC on how it must now comply with the law and how it must employ processes that fairly evaluate </w:t>
      </w:r>
      <w:r w:rsidR="00803610">
        <w:t>special construction</w:t>
      </w:r>
      <w:r>
        <w:t xml:space="preserve">, and </w:t>
      </w:r>
      <w:r w:rsidR="00E255C2">
        <w:t>all other</w:t>
      </w:r>
      <w:r>
        <w:t xml:space="preserve">, </w:t>
      </w:r>
      <w:r w:rsidR="007836B0">
        <w:t>E-rate</w:t>
      </w:r>
      <w:r w:rsidR="00A11533">
        <w:t xml:space="preserve"> </w:t>
      </w:r>
      <w:r>
        <w:t>applications.</w:t>
      </w:r>
      <w:r w:rsidR="009B4FDD">
        <w:t xml:space="preserve"> Accordingly, the Commission should </w:t>
      </w:r>
      <w:r w:rsidR="007F706C">
        <w:t>tell</w:t>
      </w:r>
      <w:r w:rsidR="009B4FDD">
        <w:t xml:space="preserve"> USAC to:</w:t>
      </w:r>
    </w:p>
    <w:p w14:paraId="2320C1AA" w14:textId="77777777" w:rsidR="009B4FDD" w:rsidRDefault="009B4FDD" w:rsidP="00DC371E">
      <w:pPr>
        <w:pStyle w:val="ListParagraph"/>
        <w:numPr>
          <w:ilvl w:val="0"/>
          <w:numId w:val="21"/>
        </w:numPr>
        <w:contextualSpacing w:val="0"/>
      </w:pPr>
      <w:r>
        <w:t xml:space="preserve">Disclose the basis for its cost-effectiveness reviews, including any economic models that are used as any part of the process of review, </w:t>
      </w:r>
    </w:p>
    <w:p w14:paraId="3AB26416" w14:textId="77777777" w:rsidR="009B4FDD" w:rsidRDefault="009B4FDD" w:rsidP="00DC371E">
      <w:pPr>
        <w:pStyle w:val="ListParagraph"/>
        <w:numPr>
          <w:ilvl w:val="0"/>
          <w:numId w:val="21"/>
        </w:numPr>
        <w:contextualSpacing w:val="0"/>
      </w:pPr>
      <w:r>
        <w:t xml:space="preserve">Set forth in any order finding that the cost-effectiveness standard has not been met the precise and specific bases for its conclusion, </w:t>
      </w:r>
    </w:p>
    <w:p w14:paraId="68B664D9" w14:textId="46308BF6" w:rsidR="009B4FDD" w:rsidRDefault="009B4FDD" w:rsidP="00DC371E">
      <w:pPr>
        <w:pStyle w:val="ListParagraph"/>
        <w:numPr>
          <w:ilvl w:val="0"/>
          <w:numId w:val="21"/>
        </w:numPr>
        <w:contextualSpacing w:val="0"/>
      </w:pPr>
      <w:r>
        <w:t xml:space="preserve">Suspend the use of any or all questionnaires to delay or deny </w:t>
      </w:r>
      <w:r w:rsidR="00EA7CB0">
        <w:t>E</w:t>
      </w:r>
      <w:r>
        <w:t xml:space="preserve">-rate applications until the substance of those questionnaires has been subject to a public notice-and-comment process including the process of the Paperwork Reduction Act to the extent that it applies. USAC should also be instructed that the suspension of such questionnaires must not be allowed itself to cause delay in the review of </w:t>
      </w:r>
      <w:r w:rsidR="00DD7718">
        <w:t>E</w:t>
      </w:r>
      <w:r>
        <w:t>-rate applications.</w:t>
      </w:r>
    </w:p>
    <w:p w14:paraId="3847D643" w14:textId="66478BF3" w:rsidR="009B4FDD" w:rsidRDefault="009B4FDD" w:rsidP="00DC371E">
      <w:pPr>
        <w:pStyle w:val="ListParagraph"/>
        <w:numPr>
          <w:ilvl w:val="0"/>
          <w:numId w:val="21"/>
        </w:numPr>
        <w:spacing w:after="360"/>
        <w:contextualSpacing w:val="0"/>
      </w:pPr>
      <w:r>
        <w:t xml:space="preserve"> Immediately publish </w:t>
      </w:r>
      <w:r w:rsidRPr="009B4FDD">
        <w:t>all examples of what USAC has previously considered to be a cardinal change.</w:t>
      </w:r>
    </w:p>
    <w:p w14:paraId="36F3A4BA" w14:textId="77777777" w:rsidR="0049103F" w:rsidRDefault="00DC2346" w:rsidP="00521377">
      <w:pPr>
        <w:ind w:firstLine="720"/>
      </w:pPr>
      <w:r>
        <w:t xml:space="preserve">And, at the same time, it is critical that the Commission make permanent the wise policy adopted in the </w:t>
      </w:r>
      <w:r w:rsidRPr="00625677">
        <w:rPr>
          <w:i/>
        </w:rPr>
        <w:t>Second Modernization Order</w:t>
      </w:r>
      <w:r>
        <w:t xml:space="preserve"> of allowing reimbursement of cost-effective upfront and recurring costs. </w:t>
      </w:r>
      <w:r w:rsidR="0049103F">
        <w:br w:type="page"/>
      </w:r>
    </w:p>
    <w:p w14:paraId="3C034BFC" w14:textId="77777777" w:rsidR="00DC2346" w:rsidRPr="003E0F50" w:rsidRDefault="0049103F" w:rsidP="003E0F50">
      <w:pPr>
        <w:spacing w:after="0" w:line="240" w:lineRule="auto"/>
        <w:jc w:val="center"/>
        <w:rPr>
          <w:b/>
          <w:sz w:val="28"/>
          <w:szCs w:val="28"/>
        </w:rPr>
      </w:pPr>
      <w:r w:rsidRPr="003E0F50">
        <w:rPr>
          <w:b/>
          <w:sz w:val="28"/>
          <w:szCs w:val="28"/>
        </w:rPr>
        <w:lastRenderedPageBreak/>
        <w:t>Appendix A</w:t>
      </w:r>
    </w:p>
    <w:p w14:paraId="6586E946" w14:textId="77777777" w:rsidR="009324C2" w:rsidRDefault="009324C2" w:rsidP="009324C2">
      <w:pPr>
        <w:spacing w:after="0" w:line="240" w:lineRule="auto"/>
        <w:jc w:val="center"/>
        <w:rPr>
          <w:b/>
          <w:u w:val="single"/>
        </w:rPr>
      </w:pPr>
    </w:p>
    <w:p w14:paraId="03AFFD66" w14:textId="77777777" w:rsidR="009324C2" w:rsidRPr="00AF1B60" w:rsidRDefault="009324C2" w:rsidP="00032EF6">
      <w:pPr>
        <w:spacing w:after="0" w:line="240" w:lineRule="auto"/>
        <w:rPr>
          <w:b/>
          <w:u w:val="single"/>
        </w:rPr>
      </w:pPr>
      <w:r w:rsidRPr="00AF1B60">
        <w:rPr>
          <w:b/>
          <w:u w:val="single"/>
        </w:rPr>
        <w:t>Fiber Special Construction Charges</w:t>
      </w:r>
    </w:p>
    <w:p w14:paraId="1198D2CD" w14:textId="77777777" w:rsidR="00032EF6" w:rsidRDefault="00032EF6" w:rsidP="009324C2">
      <w:pPr>
        <w:spacing w:after="0" w:line="240" w:lineRule="auto"/>
      </w:pPr>
    </w:p>
    <w:p w14:paraId="2EDBC469" w14:textId="77777777" w:rsidR="009324C2" w:rsidRDefault="009324C2" w:rsidP="009324C2">
      <w:pPr>
        <w:spacing w:after="0" w:line="240" w:lineRule="auto"/>
      </w:pPr>
      <w:r>
        <w:t>Issue</w:t>
      </w:r>
    </w:p>
    <w:p w14:paraId="400AC3FD" w14:textId="77777777" w:rsidR="009324C2" w:rsidRDefault="009324C2" w:rsidP="009324C2">
      <w:pPr>
        <w:spacing w:after="0" w:line="240" w:lineRule="auto"/>
      </w:pPr>
    </w:p>
    <w:p w14:paraId="780DA490" w14:textId="77777777" w:rsidR="009324C2" w:rsidRDefault="009324C2" w:rsidP="009324C2">
      <w:pPr>
        <w:spacing w:after="0" w:line="240" w:lineRule="auto"/>
      </w:pPr>
      <w:r>
        <w:t>USAC’s Program integrity Assurance (PIA) team is currently reviewing your FCC form 471 Application and we have identified an issue that we need you to help us resolve.</w:t>
      </w:r>
    </w:p>
    <w:p w14:paraId="3E6F187B" w14:textId="77777777" w:rsidR="009324C2" w:rsidRDefault="009324C2" w:rsidP="009324C2">
      <w:pPr>
        <w:spacing w:after="0" w:line="240" w:lineRule="auto"/>
      </w:pPr>
    </w:p>
    <w:p w14:paraId="470AFD60" w14:textId="77777777" w:rsidR="009324C2" w:rsidRDefault="009324C2" w:rsidP="009324C2">
      <w:pPr>
        <w:spacing w:after="0" w:line="240" w:lineRule="auto"/>
      </w:pPr>
      <w:r>
        <w:t>What is the issue?</w:t>
      </w:r>
    </w:p>
    <w:p w14:paraId="0BA72BC9" w14:textId="5E7B9E8B" w:rsidR="009324C2" w:rsidRDefault="009324C2" w:rsidP="009324C2">
      <w:pPr>
        <w:spacing w:after="0" w:line="240" w:lineRule="auto"/>
      </w:pPr>
      <w:r>
        <w:t xml:space="preserve">On your form, FRIN XXXXXXXXXX is requesting charges associated with the </w:t>
      </w:r>
      <w:r w:rsidR="00803610">
        <w:t>special construction</w:t>
      </w:r>
      <w:r>
        <w:t xml:space="preserve"> of leased lit fiber, leased dark fiber, or a self-provisioned network. </w:t>
      </w:r>
      <w:r w:rsidR="00FA3945">
        <w:t>Special</w:t>
      </w:r>
      <w:r w:rsidR="00C9274D">
        <w:t xml:space="preserve"> </w:t>
      </w:r>
      <w:r w:rsidR="00FA3945">
        <w:t>construction</w:t>
      </w:r>
      <w:r>
        <w:t xml:space="preserve"> charges must be cost effective and reasonable to be considered eligible for funding. In order to determine the reasonableness of this request, we have additional questions. (For Reference, please read USAC’s information at </w:t>
      </w:r>
      <w:r w:rsidRPr="00E5521A">
        <w:t>http://usac.org/si/applications/step01/requirements-for-fiber-aspx</w:t>
      </w:r>
      <w:r>
        <w:t xml:space="preserve">). </w:t>
      </w:r>
    </w:p>
    <w:p w14:paraId="274784AE" w14:textId="77777777" w:rsidR="009324C2" w:rsidRDefault="009324C2" w:rsidP="009324C2">
      <w:pPr>
        <w:spacing w:after="0" w:line="240" w:lineRule="auto"/>
      </w:pPr>
    </w:p>
    <w:p w14:paraId="7DB9C5B3" w14:textId="77777777" w:rsidR="009324C2" w:rsidRDefault="009324C2" w:rsidP="009324C2">
      <w:pPr>
        <w:spacing w:after="0" w:line="240" w:lineRule="auto"/>
      </w:pPr>
      <w:r>
        <w:t>Read all of the questions, descriptions, and requests below. Please give enough detail, insight, and clarity to help the reviewers fully understand your specific situation.</w:t>
      </w:r>
    </w:p>
    <w:p w14:paraId="5AE25099" w14:textId="77777777" w:rsidR="009324C2" w:rsidRDefault="009324C2" w:rsidP="009324C2">
      <w:pPr>
        <w:spacing w:after="0" w:line="240" w:lineRule="auto"/>
      </w:pPr>
    </w:p>
    <w:p w14:paraId="373ADF11" w14:textId="77777777" w:rsidR="009324C2" w:rsidRDefault="009324C2" w:rsidP="009324C2">
      <w:pPr>
        <w:spacing w:after="0" w:line="240" w:lineRule="auto"/>
      </w:pPr>
      <w:r>
        <w:t>Check the boxes for statements that apply, and where applicable, type the information requested into the text boxes. If your information is too detailed for the text box, or if you need to provide additional documentation, click “Browse” to upload relevant files or documentation.</w:t>
      </w:r>
    </w:p>
    <w:p w14:paraId="688C4EB6" w14:textId="77777777" w:rsidR="009324C2" w:rsidRDefault="009324C2" w:rsidP="009324C2">
      <w:pPr>
        <w:spacing w:after="0" w:line="240" w:lineRule="auto"/>
      </w:pPr>
    </w:p>
    <w:p w14:paraId="69B49D84" w14:textId="77777777" w:rsidR="009324C2" w:rsidRDefault="009324C2" w:rsidP="009324C2">
      <w:pPr>
        <w:spacing w:after="0" w:line="240" w:lineRule="auto"/>
      </w:pPr>
      <w:r>
        <w:t>Questions</w:t>
      </w:r>
    </w:p>
    <w:p w14:paraId="510BC564" w14:textId="77777777" w:rsidR="009324C2" w:rsidRDefault="009324C2" w:rsidP="009324C2">
      <w:pPr>
        <w:spacing w:after="0" w:line="240" w:lineRule="auto"/>
      </w:pPr>
      <w:r>
        <w:t xml:space="preserve">Please answer the following questions, check all options that apply and/or provided the documentation requested. </w:t>
      </w:r>
    </w:p>
    <w:p w14:paraId="4BA07182" w14:textId="77777777" w:rsidR="009324C2" w:rsidRDefault="009324C2" w:rsidP="009324C2">
      <w:pPr>
        <w:spacing w:after="0" w:line="240" w:lineRule="auto"/>
      </w:pPr>
    </w:p>
    <w:p w14:paraId="652F5C72" w14:textId="77777777" w:rsidR="009324C2" w:rsidRDefault="009324C2" w:rsidP="009324C2">
      <w:pPr>
        <w:spacing w:after="0" w:line="240" w:lineRule="auto"/>
      </w:pPr>
      <w:r>
        <w:t xml:space="preserve">1. Did you explore any alternative routes for the fiber build requested in the FSN reference above? </w:t>
      </w:r>
    </w:p>
    <w:p w14:paraId="64FA618C" w14:textId="77777777" w:rsidR="009324C2" w:rsidRDefault="009324C2" w:rsidP="009324C2">
      <w:pPr>
        <w:spacing w:after="0" w:line="240" w:lineRule="auto"/>
      </w:pPr>
      <w:r>
        <w:t>Note: You may consult your service provider if you need assistance with answering this question.</w:t>
      </w:r>
    </w:p>
    <w:p w14:paraId="747D136B" w14:textId="77777777" w:rsidR="009324C2" w:rsidRDefault="009324C2" w:rsidP="009324C2">
      <w:pPr>
        <w:spacing w:after="0" w:line="240" w:lineRule="auto"/>
      </w:pPr>
      <w:r>
        <w:t>If yes, please provide the cost estimates and route specifics for these alternative routes explored.</w:t>
      </w:r>
    </w:p>
    <w:p w14:paraId="7D5EEEB9" w14:textId="77777777" w:rsidR="009324C2" w:rsidRDefault="009324C2" w:rsidP="009324C2">
      <w:pPr>
        <w:spacing w:after="0" w:line="240" w:lineRule="auto"/>
      </w:pPr>
    </w:p>
    <w:p w14:paraId="3DF91CFA" w14:textId="77777777" w:rsidR="009324C2" w:rsidRDefault="009324C2" w:rsidP="009324C2">
      <w:pPr>
        <w:spacing w:after="0" w:line="240" w:lineRule="auto"/>
      </w:pPr>
      <w:r>
        <w:t>If no alternatives were explored, please explain how the chosen route was identified as the most cost effective route.</w:t>
      </w:r>
    </w:p>
    <w:p w14:paraId="18D980B5" w14:textId="77777777" w:rsidR="009324C2" w:rsidRDefault="009324C2" w:rsidP="009324C2">
      <w:pPr>
        <w:spacing w:after="0" w:line="240" w:lineRule="auto"/>
      </w:pPr>
    </w:p>
    <w:p w14:paraId="6B2B6A15" w14:textId="77777777" w:rsidR="009324C2" w:rsidRDefault="009324C2" w:rsidP="009324C2">
      <w:pPr>
        <w:spacing w:after="0" w:line="240" w:lineRule="auto"/>
      </w:pPr>
      <w:r>
        <w:t xml:space="preserve">2. Please identify and explain in detail the most expensive items on the construction invoice/bill of materials. </w:t>
      </w:r>
    </w:p>
    <w:p w14:paraId="7B9188A8" w14:textId="77777777" w:rsidR="009324C2" w:rsidRDefault="009324C2" w:rsidP="009324C2">
      <w:pPr>
        <w:spacing w:after="0" w:line="240" w:lineRule="auto"/>
      </w:pPr>
    </w:p>
    <w:p w14:paraId="19349DEE" w14:textId="77777777" w:rsidR="009324C2" w:rsidRDefault="009324C2" w:rsidP="009324C2">
      <w:pPr>
        <w:spacing w:after="0" w:line="240" w:lineRule="auto"/>
      </w:pPr>
      <w:r>
        <w:t xml:space="preserve">For example, if labor is the most expensive line item provide details such as: </w:t>
      </w:r>
    </w:p>
    <w:p w14:paraId="129B618C" w14:textId="77777777" w:rsidR="009324C2" w:rsidRDefault="009324C2" w:rsidP="009324C2">
      <w:pPr>
        <w:spacing w:after="0" w:line="240" w:lineRule="auto"/>
      </w:pPr>
      <w:r>
        <w:t>-the size of the labor crew</w:t>
      </w:r>
    </w:p>
    <w:p w14:paraId="6DF9E02B" w14:textId="77777777" w:rsidR="009324C2" w:rsidRDefault="009324C2" w:rsidP="009324C2">
      <w:pPr>
        <w:spacing w:after="0" w:line="240" w:lineRule="auto"/>
      </w:pPr>
      <w:r>
        <w:t>-the number of hours of estimated work</w:t>
      </w:r>
    </w:p>
    <w:p w14:paraId="2619C72F" w14:textId="77777777" w:rsidR="009324C2" w:rsidRDefault="009324C2" w:rsidP="009324C2">
      <w:pPr>
        <w:spacing w:after="0" w:line="240" w:lineRule="auto"/>
      </w:pPr>
      <w:r>
        <w:t xml:space="preserve">-was there a minimum number of hours for which the crew had to be hired that exceeded the labor hours required for the build. </w:t>
      </w:r>
    </w:p>
    <w:p w14:paraId="45FB2FC3" w14:textId="77777777" w:rsidR="009324C2" w:rsidRDefault="009324C2" w:rsidP="009324C2">
      <w:pPr>
        <w:spacing w:after="0" w:line="240" w:lineRule="auto"/>
      </w:pPr>
    </w:p>
    <w:p w14:paraId="506435F0" w14:textId="77777777" w:rsidR="009324C2" w:rsidRDefault="009324C2" w:rsidP="009324C2">
      <w:pPr>
        <w:spacing w:after="0" w:line="240" w:lineRule="auto"/>
      </w:pPr>
      <w:r>
        <w:t xml:space="preserve">3. Were there unique construction issues (e.g., a directional bore requirement because of rocky soil or a surface that could not be plowed; expensive make ready for pole attachments, bridge crossings, waterway crossings, railroad crossings, historic preservation issues or environmental issues) that caused the cost per foot to be inflated? If so, please provide a detailed explanation of these issues. </w:t>
      </w:r>
    </w:p>
    <w:p w14:paraId="2F7619D2" w14:textId="77777777" w:rsidR="009324C2" w:rsidRDefault="009324C2" w:rsidP="009324C2">
      <w:pPr>
        <w:spacing w:after="0" w:line="240" w:lineRule="auto"/>
        <w:jc w:val="center"/>
        <w:rPr>
          <w:b/>
          <w:u w:val="single"/>
        </w:rPr>
      </w:pPr>
    </w:p>
    <w:p w14:paraId="60C95AC3" w14:textId="77777777" w:rsidR="009324C2" w:rsidRPr="0070171D" w:rsidRDefault="009324C2" w:rsidP="00032EF6">
      <w:pPr>
        <w:spacing w:after="0" w:line="240" w:lineRule="auto"/>
        <w:rPr>
          <w:b/>
          <w:u w:val="single"/>
        </w:rPr>
      </w:pPr>
      <w:r w:rsidRPr="0070171D">
        <w:rPr>
          <w:b/>
          <w:u w:val="single"/>
        </w:rPr>
        <w:t>Fiber Special Construction Cost Per Foot Details</w:t>
      </w:r>
    </w:p>
    <w:p w14:paraId="27ABE400" w14:textId="77777777" w:rsidR="00032EF6" w:rsidRDefault="00032EF6" w:rsidP="009324C2">
      <w:pPr>
        <w:spacing w:after="0" w:line="240" w:lineRule="auto"/>
      </w:pPr>
    </w:p>
    <w:p w14:paraId="0856A2D4" w14:textId="77777777" w:rsidR="009324C2" w:rsidRDefault="009324C2" w:rsidP="009324C2">
      <w:pPr>
        <w:spacing w:after="0" w:line="240" w:lineRule="auto"/>
      </w:pPr>
      <w:r>
        <w:t xml:space="preserve">Issue </w:t>
      </w:r>
    </w:p>
    <w:p w14:paraId="7EB155C9" w14:textId="77777777" w:rsidR="009324C2" w:rsidRDefault="009324C2" w:rsidP="009324C2">
      <w:pPr>
        <w:spacing w:after="0" w:line="240" w:lineRule="auto"/>
      </w:pPr>
      <w:r>
        <w:t>USAC’s Program integrity Assurance (PIA) team is currently reviewing your FCC form 471 Application and we have identified an issue that we need you to help us resolve.</w:t>
      </w:r>
    </w:p>
    <w:p w14:paraId="7434F7C1" w14:textId="77777777" w:rsidR="009324C2" w:rsidRDefault="009324C2" w:rsidP="009324C2">
      <w:pPr>
        <w:spacing w:after="0" w:line="240" w:lineRule="auto"/>
      </w:pPr>
    </w:p>
    <w:p w14:paraId="2F118B25" w14:textId="77777777" w:rsidR="009324C2" w:rsidRDefault="009324C2" w:rsidP="009324C2">
      <w:pPr>
        <w:spacing w:after="0" w:line="240" w:lineRule="auto"/>
      </w:pPr>
      <w:r>
        <w:t>What is the issue?</w:t>
      </w:r>
    </w:p>
    <w:p w14:paraId="4F13D0CC" w14:textId="4B4F13DF" w:rsidR="009324C2" w:rsidRDefault="009324C2" w:rsidP="009324C2">
      <w:pPr>
        <w:spacing w:after="0" w:line="240" w:lineRule="auto"/>
      </w:pPr>
      <w:r>
        <w:t xml:space="preserve">On your form, FRIN XXXXXXXXXX is requesting charges associated with the </w:t>
      </w:r>
      <w:r w:rsidR="00803610">
        <w:t>special construction</w:t>
      </w:r>
      <w:r>
        <w:t xml:space="preserve"> of leased lit fiber, leased dark fiber, or a self-provisioned network. </w:t>
      </w:r>
      <w:r w:rsidR="00FA3945">
        <w:t>Special</w:t>
      </w:r>
      <w:r w:rsidR="00C9274D">
        <w:t xml:space="preserve"> </w:t>
      </w:r>
      <w:r w:rsidR="00FA3945">
        <w:t>construction</w:t>
      </w:r>
      <w:r>
        <w:t xml:space="preserve"> charges must be cost effective and reasonable to be considered eligible for funding. In order to determine the reasonableness of this request, we have additional questions. (For Reference, please read USAC’s information at </w:t>
      </w:r>
      <w:r w:rsidRPr="00E5521A">
        <w:t>http://usac.org/si/applications/step01/requirements-for-fiber-aspx</w:t>
      </w:r>
      <w:r>
        <w:t xml:space="preserve">). </w:t>
      </w:r>
    </w:p>
    <w:p w14:paraId="463E1174" w14:textId="77777777" w:rsidR="009324C2" w:rsidRDefault="009324C2" w:rsidP="009324C2">
      <w:pPr>
        <w:spacing w:after="0" w:line="240" w:lineRule="auto"/>
      </w:pPr>
    </w:p>
    <w:p w14:paraId="563065D5" w14:textId="77777777" w:rsidR="009324C2" w:rsidRDefault="009324C2" w:rsidP="009324C2">
      <w:pPr>
        <w:spacing w:after="0" w:line="240" w:lineRule="auto"/>
      </w:pPr>
      <w:r>
        <w:t>Read all of the questions, descriptions, and requests below. Please give enough detail, insight, and clarity to help the reviewers fully understand your specific situation.</w:t>
      </w:r>
    </w:p>
    <w:p w14:paraId="19BF7C4A" w14:textId="77777777" w:rsidR="009324C2" w:rsidRDefault="009324C2" w:rsidP="009324C2">
      <w:pPr>
        <w:spacing w:after="0" w:line="240" w:lineRule="auto"/>
      </w:pPr>
    </w:p>
    <w:p w14:paraId="620FE98A" w14:textId="77777777" w:rsidR="009324C2" w:rsidRDefault="009324C2" w:rsidP="009324C2">
      <w:pPr>
        <w:spacing w:after="0" w:line="240" w:lineRule="auto"/>
      </w:pPr>
      <w:r>
        <w:t>Check the boxes for statements that apply, and where applicable, type the information requested into the text boxes. If your information is too detailed for the text box, or if you need to provide additional documentation, click “Browse” to upload relevant files or documentation.</w:t>
      </w:r>
    </w:p>
    <w:p w14:paraId="177F37FD" w14:textId="77777777" w:rsidR="009324C2" w:rsidRDefault="009324C2" w:rsidP="009324C2">
      <w:pPr>
        <w:spacing w:after="0" w:line="240" w:lineRule="auto"/>
      </w:pPr>
    </w:p>
    <w:p w14:paraId="0693AB1F" w14:textId="77777777" w:rsidR="009324C2" w:rsidRDefault="009324C2" w:rsidP="009324C2">
      <w:pPr>
        <w:spacing w:after="0" w:line="240" w:lineRule="auto"/>
      </w:pPr>
      <w:r>
        <w:t>Questions</w:t>
      </w:r>
    </w:p>
    <w:p w14:paraId="6A187F4E" w14:textId="77777777" w:rsidR="009324C2" w:rsidRDefault="009324C2" w:rsidP="009324C2">
      <w:pPr>
        <w:spacing w:after="0" w:line="240" w:lineRule="auto"/>
      </w:pPr>
      <w:r>
        <w:t xml:space="preserve">Please answer the following questions, check all options that apply and/or provided the documentation requested. </w:t>
      </w:r>
    </w:p>
    <w:p w14:paraId="48D8B245" w14:textId="77777777" w:rsidR="009324C2" w:rsidRDefault="009324C2" w:rsidP="009324C2">
      <w:pPr>
        <w:spacing w:after="0" w:line="240" w:lineRule="auto"/>
      </w:pPr>
    </w:p>
    <w:p w14:paraId="3C3BE03A" w14:textId="77777777" w:rsidR="009324C2" w:rsidRDefault="009324C2" w:rsidP="009324C2">
      <w:pPr>
        <w:spacing w:after="0" w:line="240" w:lineRule="auto"/>
      </w:pPr>
      <w:r>
        <w:t xml:space="preserve">1. Were the values provided on the FRIN for route fees and costs per foot correct? </w:t>
      </w:r>
    </w:p>
    <w:p w14:paraId="6015DEC5" w14:textId="77777777" w:rsidR="009324C2" w:rsidRDefault="009324C2" w:rsidP="009324C2">
      <w:pPr>
        <w:spacing w:after="0" w:line="240" w:lineRule="auto"/>
      </w:pPr>
    </w:p>
    <w:p w14:paraId="42101344" w14:textId="77777777" w:rsidR="009324C2" w:rsidRDefault="009324C2" w:rsidP="009324C2">
      <w:pPr>
        <w:spacing w:after="0" w:line="240" w:lineRule="auto"/>
      </w:pPr>
      <w:r>
        <w:t xml:space="preserve">Route feet: 54001 </w:t>
      </w:r>
    </w:p>
    <w:p w14:paraId="7DC00086" w14:textId="77777777" w:rsidR="009324C2" w:rsidRDefault="009324C2" w:rsidP="009324C2">
      <w:pPr>
        <w:spacing w:after="0" w:line="240" w:lineRule="auto"/>
      </w:pPr>
      <w:r>
        <w:t>Cost per foot: $4.43</w:t>
      </w:r>
    </w:p>
    <w:p w14:paraId="49E1194D" w14:textId="77777777" w:rsidR="009324C2" w:rsidRDefault="009324C2" w:rsidP="009324C2">
      <w:pPr>
        <w:spacing w:after="0" w:line="240" w:lineRule="auto"/>
      </w:pPr>
    </w:p>
    <w:p w14:paraId="5B948C4B" w14:textId="77777777" w:rsidR="009324C2" w:rsidRDefault="009324C2" w:rsidP="009324C2">
      <w:pPr>
        <w:spacing w:after="0" w:line="240" w:lineRule="auto"/>
      </w:pPr>
      <w:r>
        <w:t xml:space="preserve">Please note: the route feet and cost per foot provided should only include new fiber build. It should not include the distance or cost of any existing infrastructure. </w:t>
      </w:r>
    </w:p>
    <w:p w14:paraId="6CD6F39B" w14:textId="77777777" w:rsidR="009324C2" w:rsidRDefault="009324C2" w:rsidP="009324C2">
      <w:pPr>
        <w:spacing w:after="0" w:line="240" w:lineRule="auto"/>
      </w:pPr>
    </w:p>
    <w:p w14:paraId="0D4C83C3" w14:textId="77777777" w:rsidR="009324C2" w:rsidRDefault="009324C2" w:rsidP="009324C2">
      <w:pPr>
        <w:spacing w:after="0" w:line="240" w:lineRule="auto"/>
      </w:pPr>
      <w:r>
        <w:t xml:space="preserve">A. If no, please provide the revised value for route fee and cost per foot and an explanation of why the incorrect value was entered on the FCC form 471. </w:t>
      </w:r>
    </w:p>
    <w:p w14:paraId="4B678C75" w14:textId="77777777" w:rsidR="009324C2" w:rsidRDefault="009324C2" w:rsidP="009324C2">
      <w:pPr>
        <w:spacing w:after="0" w:line="240" w:lineRule="auto"/>
      </w:pPr>
    </w:p>
    <w:p w14:paraId="5E843C51" w14:textId="77777777" w:rsidR="009324C2" w:rsidRDefault="009324C2" w:rsidP="009324C2">
      <w:pPr>
        <w:spacing w:after="0" w:line="240" w:lineRule="auto"/>
      </w:pPr>
      <w:r>
        <w:t xml:space="preserve">Proceed to question 2. </w:t>
      </w:r>
    </w:p>
    <w:p w14:paraId="120AEB23" w14:textId="77777777" w:rsidR="009324C2" w:rsidRDefault="009324C2" w:rsidP="009324C2">
      <w:pPr>
        <w:spacing w:after="0" w:line="240" w:lineRule="auto"/>
      </w:pPr>
      <w:r>
        <w:t xml:space="preserve">Please note: the remaining questions should be answered based on the revised values provided here. </w:t>
      </w:r>
    </w:p>
    <w:p w14:paraId="47EB4CEB" w14:textId="77777777" w:rsidR="009324C2" w:rsidRDefault="009324C2" w:rsidP="009324C2">
      <w:pPr>
        <w:spacing w:after="0" w:line="240" w:lineRule="auto"/>
      </w:pPr>
    </w:p>
    <w:p w14:paraId="28F2BDD9" w14:textId="77777777" w:rsidR="009324C2" w:rsidRDefault="009324C2" w:rsidP="009324C2">
      <w:pPr>
        <w:spacing w:after="0" w:line="240" w:lineRule="auto"/>
      </w:pPr>
      <w:r>
        <w:t xml:space="preserve">2. Please provide the details of the fiber route(s) being constructed and the cost breakdown of the network equipment and labor in the format shown in the attached document. </w:t>
      </w:r>
    </w:p>
    <w:p w14:paraId="0369E595" w14:textId="77777777" w:rsidR="009324C2" w:rsidRDefault="009324C2" w:rsidP="009324C2">
      <w:pPr>
        <w:spacing w:after="0" w:line="240" w:lineRule="auto"/>
      </w:pPr>
    </w:p>
    <w:p w14:paraId="10993E01" w14:textId="77777777" w:rsidR="009324C2" w:rsidRDefault="009324C2" w:rsidP="009324C2">
      <w:pPr>
        <w:spacing w:after="0" w:line="240" w:lineRule="auto"/>
      </w:pPr>
      <w:r>
        <w:t>Please note: The total cost per foot for all 3 types of plant mix fiber installation (a</w:t>
      </w:r>
      <w:r w:rsidR="00413B8D">
        <w:t>e</w:t>
      </w:r>
      <w:r>
        <w:t xml:space="preserve">rial, buried which is direct bury of the fiber with no conduit placement, underground which is buried in conduit should equal the overall average cost per foot you indicated on your FCC Form 471 or in question 1 a. </w:t>
      </w:r>
    </w:p>
    <w:p w14:paraId="61EC5AAB" w14:textId="77777777" w:rsidR="009324C2" w:rsidRDefault="009324C2" w:rsidP="009324C2">
      <w:pPr>
        <w:spacing w:after="0" w:line="240" w:lineRule="auto"/>
      </w:pPr>
    </w:p>
    <w:p w14:paraId="435F35B3" w14:textId="77777777" w:rsidR="009324C2" w:rsidRDefault="009324C2" w:rsidP="009324C2">
      <w:pPr>
        <w:spacing w:after="0" w:line="240" w:lineRule="auto"/>
      </w:pPr>
      <w:r w:rsidRPr="0046540D">
        <w:t xml:space="preserve">Sample document: </w:t>
      </w:r>
      <w:r w:rsidRPr="0046540D">
        <w:rPr>
          <w:color w:val="0070C0"/>
          <w:u w:val="single"/>
        </w:rPr>
        <w:t xml:space="preserve">San </w:t>
      </w:r>
      <w:proofErr w:type="spellStart"/>
      <w:r w:rsidRPr="0046540D">
        <w:rPr>
          <w:color w:val="0070C0"/>
          <w:u w:val="single"/>
        </w:rPr>
        <w:t>Elizario</w:t>
      </w:r>
      <w:proofErr w:type="spellEnd"/>
      <w:r w:rsidRPr="0046540D">
        <w:rPr>
          <w:color w:val="0070C0"/>
          <w:u w:val="single"/>
        </w:rPr>
        <w:t xml:space="preserve"> </w:t>
      </w:r>
      <w:proofErr w:type="spellStart"/>
      <w:r w:rsidRPr="0046540D">
        <w:rPr>
          <w:color w:val="0070C0"/>
          <w:u w:val="single"/>
        </w:rPr>
        <w:t>Indep</w:t>
      </w:r>
      <w:proofErr w:type="spellEnd"/>
      <w:r w:rsidRPr="0046540D">
        <w:rPr>
          <w:color w:val="0070C0"/>
          <w:u w:val="single"/>
        </w:rPr>
        <w:t xml:space="preserve"> School District. </w:t>
      </w:r>
      <w:proofErr w:type="spellStart"/>
      <w:proofErr w:type="gramStart"/>
      <w:r w:rsidR="0046540D">
        <w:rPr>
          <w:color w:val="0070C0"/>
          <w:u w:val="single"/>
        </w:rPr>
        <w:t>x</w:t>
      </w:r>
      <w:r w:rsidRPr="0046540D">
        <w:rPr>
          <w:color w:val="0070C0"/>
          <w:u w:val="single"/>
        </w:rPr>
        <w:t>lsx</w:t>
      </w:r>
      <w:proofErr w:type="spellEnd"/>
      <w:proofErr w:type="gramEnd"/>
    </w:p>
    <w:p w14:paraId="369BFD3A" w14:textId="77777777" w:rsidR="009324C2" w:rsidRDefault="009324C2" w:rsidP="009324C2">
      <w:pPr>
        <w:spacing w:after="0" w:line="240" w:lineRule="auto"/>
      </w:pPr>
    </w:p>
    <w:p w14:paraId="194E74D0" w14:textId="77777777" w:rsidR="009324C2" w:rsidRDefault="009324C2" w:rsidP="009324C2">
      <w:pPr>
        <w:spacing w:after="0" w:line="240" w:lineRule="auto"/>
      </w:pPr>
      <w:r>
        <w:lastRenderedPageBreak/>
        <w:t>3. Please provide a .</w:t>
      </w:r>
      <w:proofErr w:type="spellStart"/>
      <w:r>
        <w:t>kmz</w:t>
      </w:r>
      <w:proofErr w:type="spellEnd"/>
      <w:r>
        <w:t xml:space="preserve"> or .</w:t>
      </w:r>
      <w:proofErr w:type="spellStart"/>
      <w:r>
        <w:t>json</w:t>
      </w:r>
      <w:proofErr w:type="spellEnd"/>
      <w:r>
        <w:t xml:space="preserve"> map file of the route being constructed. If you do not have a copy of this file, please contact your service provider. </w:t>
      </w:r>
    </w:p>
    <w:p w14:paraId="71E401C3" w14:textId="77777777" w:rsidR="009324C2" w:rsidRDefault="009324C2" w:rsidP="009324C2">
      <w:pPr>
        <w:spacing w:after="0" w:line="240" w:lineRule="auto"/>
      </w:pPr>
    </w:p>
    <w:p w14:paraId="53248A81" w14:textId="77777777" w:rsidR="009324C2" w:rsidRDefault="009324C2" w:rsidP="009324C2">
      <w:pPr>
        <w:spacing w:after="0" w:line="240" w:lineRule="auto"/>
      </w:pPr>
      <w:r>
        <w:t>Note: When your selected service provider decided to submit a bid for your requested services, they probably mapped out the route they are suggesting to be constructed on one of the mapping websites such as google maps, map quest, etc. That mapped out route should be available in either a .</w:t>
      </w:r>
      <w:proofErr w:type="spellStart"/>
      <w:r>
        <w:t>kmz</w:t>
      </w:r>
      <w:proofErr w:type="spellEnd"/>
      <w:r>
        <w:t xml:space="preserve"> or .</w:t>
      </w:r>
      <w:proofErr w:type="spellStart"/>
      <w:r>
        <w:t>json</w:t>
      </w:r>
      <w:proofErr w:type="spellEnd"/>
      <w:r>
        <w:t xml:space="preserve"> file. Please request this file from your service provider and upload it here. </w:t>
      </w:r>
    </w:p>
    <w:p w14:paraId="3BE249A9" w14:textId="77777777" w:rsidR="009324C2" w:rsidRDefault="009324C2" w:rsidP="009324C2">
      <w:pPr>
        <w:spacing w:after="0" w:line="240" w:lineRule="auto"/>
      </w:pPr>
    </w:p>
    <w:p w14:paraId="7330A737" w14:textId="77777777" w:rsidR="009324C2" w:rsidRDefault="009324C2" w:rsidP="009324C2">
      <w:pPr>
        <w:spacing w:after="0" w:line="240" w:lineRule="auto"/>
      </w:pPr>
      <w:r>
        <w:t xml:space="preserve">4. If not previously submitted please provided vender document which supports the funding request amount of $XXXXXX.XX. </w:t>
      </w:r>
    </w:p>
    <w:p w14:paraId="2C8BEC7B" w14:textId="77777777" w:rsidR="009324C2" w:rsidRDefault="009324C2" w:rsidP="009324C2">
      <w:pPr>
        <w:spacing w:after="0" w:line="240" w:lineRule="auto"/>
      </w:pPr>
    </w:p>
    <w:p w14:paraId="0EFBFC22" w14:textId="77777777" w:rsidR="009324C2" w:rsidRDefault="009324C2" w:rsidP="009324C2">
      <w:pPr>
        <w:spacing w:after="0" w:line="240" w:lineRule="auto"/>
      </w:pPr>
      <w:r>
        <w:t xml:space="preserve">Note: Any vendor documentation (e.g. contracts, vendor quotes, vendor bills, invoices, etc.) provided should clearly identify any ineligible charges that were cost allocated out of your request. Also, please be sure to explain any discrepancies between the amount requested and the amount supported. </w:t>
      </w:r>
    </w:p>
    <w:p w14:paraId="740468D5" w14:textId="77777777" w:rsidR="009324C2" w:rsidRDefault="009324C2" w:rsidP="009324C2">
      <w:pPr>
        <w:pBdr>
          <w:bottom w:val="single" w:sz="12" w:space="1" w:color="auto"/>
        </w:pBdr>
        <w:spacing w:after="0" w:line="240" w:lineRule="auto"/>
      </w:pPr>
    </w:p>
    <w:p w14:paraId="6836B454" w14:textId="77777777" w:rsidR="009324C2" w:rsidRDefault="009324C2" w:rsidP="009324C2">
      <w:pPr>
        <w:spacing w:after="0" w:line="240" w:lineRule="auto"/>
      </w:pPr>
    </w:p>
    <w:p w14:paraId="15B0EB96" w14:textId="77777777" w:rsidR="009324C2" w:rsidRDefault="009324C2" w:rsidP="009324C2">
      <w:pPr>
        <w:spacing w:after="0" w:line="240" w:lineRule="auto"/>
      </w:pPr>
      <w:r>
        <w:t xml:space="preserve">Issue </w:t>
      </w:r>
    </w:p>
    <w:p w14:paraId="3F4A90A4" w14:textId="77777777" w:rsidR="009324C2" w:rsidRDefault="009324C2" w:rsidP="009324C2">
      <w:pPr>
        <w:spacing w:after="0" w:line="240" w:lineRule="auto"/>
      </w:pPr>
      <w:r>
        <w:t>USAC’s Program integrity Assurance (PIA) team is currently reviewing your FCC form 471 Application and we have identified an issue that we need you to help us resolve.</w:t>
      </w:r>
    </w:p>
    <w:p w14:paraId="2A9BB16E" w14:textId="77777777" w:rsidR="009324C2" w:rsidRDefault="009324C2" w:rsidP="009324C2">
      <w:pPr>
        <w:spacing w:after="0" w:line="240" w:lineRule="auto"/>
      </w:pPr>
    </w:p>
    <w:p w14:paraId="31F2983C" w14:textId="77777777" w:rsidR="009324C2" w:rsidRDefault="009324C2" w:rsidP="009324C2">
      <w:pPr>
        <w:spacing w:after="0" w:line="240" w:lineRule="auto"/>
      </w:pPr>
      <w:r>
        <w:t>What is the issue?</w:t>
      </w:r>
    </w:p>
    <w:p w14:paraId="42C71661" w14:textId="77777777" w:rsidR="009324C2" w:rsidRDefault="009324C2" w:rsidP="009324C2">
      <w:pPr>
        <w:spacing w:after="0" w:line="240" w:lineRule="auto"/>
      </w:pPr>
      <w:r>
        <w:t xml:space="preserve">FRN(s) XXXXXXXXXX is/are a request(s) for the type(s) of product self-provisioned Fiber (with Special Construction). Applicants that seek </w:t>
      </w:r>
      <w:r w:rsidR="00413B8D">
        <w:t>bids</w:t>
      </w:r>
      <w:r>
        <w:t xml:space="preserve"> for Self-provisioned Fiber (with Special Construction) must also seek bids for Lit &amp; Dark Fiber, and evaluate all responsive bids received to determine the most cost-effective solution. We have determined that additional information is required to evaluate the cost-effectiveness of the requested services relative to the other bids received. (For reference, please read USAC’s information at </w:t>
      </w:r>
      <w:r w:rsidRPr="00E5521A">
        <w:t>http://usac.org/si/applications/step01/requirements-for-fiber-aspx</w:t>
      </w:r>
      <w:r>
        <w:t>).</w:t>
      </w:r>
    </w:p>
    <w:p w14:paraId="6AB2663F" w14:textId="77777777" w:rsidR="009324C2" w:rsidRDefault="009324C2" w:rsidP="009324C2">
      <w:pPr>
        <w:spacing w:after="0" w:line="240" w:lineRule="auto"/>
      </w:pPr>
    </w:p>
    <w:p w14:paraId="59096503" w14:textId="77777777" w:rsidR="009324C2" w:rsidRDefault="009324C2" w:rsidP="009324C2">
      <w:pPr>
        <w:spacing w:after="0" w:line="240" w:lineRule="auto"/>
      </w:pPr>
      <w:r>
        <w:t xml:space="preserve">Question </w:t>
      </w:r>
    </w:p>
    <w:p w14:paraId="58751408" w14:textId="77777777" w:rsidR="009324C2" w:rsidRDefault="009324C2" w:rsidP="009324C2">
      <w:pPr>
        <w:spacing w:after="0" w:line="240" w:lineRule="auto"/>
      </w:pPr>
    </w:p>
    <w:p w14:paraId="1E8E5EFC" w14:textId="77777777" w:rsidR="009324C2" w:rsidRDefault="009324C2" w:rsidP="009324C2">
      <w:pPr>
        <w:spacing w:after="0" w:line="240" w:lineRule="auto"/>
      </w:pPr>
      <w:r>
        <w:t>1. Please provide a copy of the cost comparison documents used to determine which option is the most cost effective option over a specific period of time.</w:t>
      </w:r>
    </w:p>
    <w:p w14:paraId="56DEA87C" w14:textId="77777777" w:rsidR="009324C2" w:rsidRDefault="009324C2" w:rsidP="009324C2">
      <w:pPr>
        <w:spacing w:after="0" w:line="240" w:lineRule="auto"/>
      </w:pPr>
    </w:p>
    <w:p w14:paraId="36F28D11" w14:textId="77777777" w:rsidR="009324C2" w:rsidRDefault="009324C2" w:rsidP="009324C2">
      <w:pPr>
        <w:spacing w:after="0" w:line="240" w:lineRule="auto"/>
      </w:pPr>
      <w:r>
        <w:t>2. Please provide an explanation of how the total cost of the requested type(s) of production were compared with the equivalent type(s) of products and provide any supporting documentation that was created during the cost comparison process.</w:t>
      </w:r>
    </w:p>
    <w:p w14:paraId="121A8DDC" w14:textId="77777777" w:rsidR="009324C2" w:rsidRDefault="009324C2" w:rsidP="009324C2">
      <w:pPr>
        <w:spacing w:after="0" w:line="240" w:lineRule="auto"/>
      </w:pPr>
    </w:p>
    <w:p w14:paraId="1FC0EBBE" w14:textId="77777777" w:rsidR="009324C2" w:rsidRDefault="009324C2" w:rsidP="009324C2">
      <w:pPr>
        <w:spacing w:after="0" w:line="240" w:lineRule="auto"/>
      </w:pPr>
      <w:r>
        <w:t xml:space="preserve">3. Did you consider cost associated with network equipment needed to light the fiber and maintenance and operation in your cost </w:t>
      </w:r>
      <w:proofErr w:type="gramStart"/>
      <w:r>
        <w:t>comparison.</w:t>
      </w:r>
      <w:proofErr w:type="gramEnd"/>
    </w:p>
    <w:p w14:paraId="4720A20D" w14:textId="77777777" w:rsidR="009324C2" w:rsidRDefault="009324C2" w:rsidP="009324C2">
      <w:pPr>
        <w:spacing w:after="0" w:line="240" w:lineRule="auto"/>
      </w:pPr>
    </w:p>
    <w:p w14:paraId="49F5B83F" w14:textId="77777777" w:rsidR="009324C2" w:rsidRDefault="009324C2" w:rsidP="009324C2">
      <w:pPr>
        <w:spacing w:after="0" w:line="240" w:lineRule="auto"/>
      </w:pPr>
      <w:r>
        <w:t xml:space="preserve">a. If yes, please indicate the dollar amount you estimated for network equipment and maintenance and operation costs. </w:t>
      </w:r>
    </w:p>
    <w:p w14:paraId="72AA1576" w14:textId="77777777" w:rsidR="009324C2" w:rsidRDefault="009324C2" w:rsidP="009324C2">
      <w:pPr>
        <w:spacing w:after="0" w:line="240" w:lineRule="auto"/>
      </w:pPr>
    </w:p>
    <w:p w14:paraId="02064223" w14:textId="77777777" w:rsidR="009324C2" w:rsidRDefault="009324C2" w:rsidP="009324C2">
      <w:pPr>
        <w:spacing w:after="0" w:line="240" w:lineRule="auto"/>
      </w:pPr>
      <w:proofErr w:type="gramStart"/>
      <w:r>
        <w:t>b</w:t>
      </w:r>
      <w:proofErr w:type="gramEnd"/>
      <w:r>
        <w:t xml:space="preserve">. If no please explain why. </w:t>
      </w:r>
    </w:p>
    <w:p w14:paraId="4523EC57" w14:textId="77777777" w:rsidR="009324C2" w:rsidRDefault="009324C2" w:rsidP="009324C2">
      <w:pPr>
        <w:spacing w:after="0" w:line="240" w:lineRule="auto"/>
      </w:pPr>
    </w:p>
    <w:p w14:paraId="0E2EA538" w14:textId="77777777" w:rsidR="0049103F" w:rsidRDefault="009324C2" w:rsidP="00032EF6">
      <w:pPr>
        <w:spacing w:after="0" w:line="240" w:lineRule="auto"/>
      </w:pPr>
      <w:r>
        <w:t xml:space="preserve">4. Please provide the specific period time over which each option was compared based on the anticipated use of assets and provide any supporting documentation that was created during the bidding process. </w:t>
      </w:r>
    </w:p>
    <w:sectPr w:rsidR="0049103F" w:rsidSect="008F2BA9">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3A74D" w14:textId="77777777" w:rsidR="00EE5616" w:rsidRDefault="00EE5616" w:rsidP="00F870B7">
      <w:pPr>
        <w:spacing w:after="0" w:line="240" w:lineRule="auto"/>
      </w:pPr>
      <w:r>
        <w:separator/>
      </w:r>
    </w:p>
  </w:endnote>
  <w:endnote w:type="continuationSeparator" w:id="0">
    <w:p w14:paraId="16EA8E95" w14:textId="77777777" w:rsidR="00EE5616" w:rsidRDefault="00EE5616" w:rsidP="00F870B7">
      <w:pPr>
        <w:spacing w:after="0" w:line="240" w:lineRule="auto"/>
      </w:pPr>
      <w:r>
        <w:continuationSeparator/>
      </w:r>
    </w:p>
  </w:endnote>
  <w:endnote w:type="continuationNotice" w:id="1">
    <w:p w14:paraId="45994CF6" w14:textId="77777777" w:rsidR="00EE5616" w:rsidRDefault="00EE5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FF408" w14:textId="77777777" w:rsidR="00154AE3" w:rsidRDefault="00154AE3">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2047DF">
      <w:rPr>
        <w:caps/>
        <w:noProof/>
        <w:color w:val="4F81BD" w:themeColor="accent1"/>
      </w:rPr>
      <w:t>20</w:t>
    </w:r>
    <w:r>
      <w:rPr>
        <w:caps/>
        <w:noProof/>
        <w:color w:val="4F81BD" w:themeColor="accent1"/>
      </w:rPr>
      <w:fldChar w:fldCharType="end"/>
    </w:r>
  </w:p>
  <w:p w14:paraId="0CB198D9" w14:textId="77777777" w:rsidR="00154AE3" w:rsidRDefault="00154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91712" w14:textId="77777777" w:rsidR="00EE5616" w:rsidRDefault="00EE5616" w:rsidP="00F870B7">
      <w:pPr>
        <w:spacing w:after="0" w:line="240" w:lineRule="auto"/>
      </w:pPr>
      <w:r>
        <w:separator/>
      </w:r>
    </w:p>
  </w:footnote>
  <w:footnote w:type="continuationSeparator" w:id="0">
    <w:p w14:paraId="59F69E05" w14:textId="77777777" w:rsidR="00EE5616" w:rsidRDefault="00EE5616" w:rsidP="00F870B7">
      <w:pPr>
        <w:spacing w:after="0" w:line="240" w:lineRule="auto"/>
      </w:pPr>
      <w:r>
        <w:continuationSeparator/>
      </w:r>
    </w:p>
  </w:footnote>
  <w:footnote w:type="continuationNotice" w:id="1">
    <w:p w14:paraId="0D9884BD" w14:textId="77777777" w:rsidR="00EE5616" w:rsidRDefault="00EE5616">
      <w:pPr>
        <w:spacing w:after="0" w:line="240" w:lineRule="auto"/>
      </w:pPr>
    </w:p>
  </w:footnote>
  <w:footnote w:id="2">
    <w:p w14:paraId="6D0FF6A5" w14:textId="77777777" w:rsidR="00154AE3" w:rsidRDefault="00154AE3">
      <w:pPr>
        <w:pStyle w:val="FootnoteText"/>
      </w:pPr>
      <w:r>
        <w:rPr>
          <w:rStyle w:val="FootnoteReference"/>
        </w:rPr>
        <w:footnoteRef/>
      </w:r>
      <w:r>
        <w:t xml:space="preserve"> </w:t>
      </w:r>
      <w:r w:rsidRPr="00A13B6D">
        <w:rPr>
          <w:i/>
        </w:rPr>
        <w:t>Modernizing the E-rate Program for Schools and Libraries, Connect America Fund</w:t>
      </w:r>
      <w:r w:rsidRPr="00A96E60">
        <w:t xml:space="preserve">, WC Docket Nos. 13-184, 10-90, </w:t>
      </w:r>
      <w:bookmarkStart w:id="1" w:name="_Hlk534374844"/>
      <w:r w:rsidRPr="00A96E60">
        <w:t xml:space="preserve">Second Report and Order and Order on Reconsideration, </w:t>
      </w:r>
      <w:r w:rsidRPr="00722C27">
        <w:t xml:space="preserve">29 FCC </w:t>
      </w:r>
      <w:proofErr w:type="spellStart"/>
      <w:r w:rsidRPr="00722C27">
        <w:t>Rcd</w:t>
      </w:r>
      <w:proofErr w:type="spellEnd"/>
      <w:r w:rsidRPr="00722C27">
        <w:t xml:space="preserve"> </w:t>
      </w:r>
      <w:bookmarkEnd w:id="1"/>
      <w:r w:rsidRPr="00722C27">
        <w:t>15538</w:t>
      </w:r>
      <w:r>
        <w:t>,</w:t>
      </w:r>
      <w:r w:rsidRPr="00722C27">
        <w:t xml:space="preserve"> </w:t>
      </w:r>
      <w:r>
        <w:t xml:space="preserve">15543-44, </w:t>
      </w:r>
      <w:r w:rsidRPr="00A96E60">
        <w:t xml:space="preserve">¶¶ </w:t>
      </w:r>
      <w:r>
        <w:t xml:space="preserve">10-12, n.21 </w:t>
      </w:r>
      <w:r w:rsidRPr="00A96E60">
        <w:t>(Dec</w:t>
      </w:r>
      <w:r>
        <w:t>.</w:t>
      </w:r>
      <w:r w:rsidRPr="00A96E60">
        <w:t xml:space="preserve"> 19, 2014)(</w:t>
      </w:r>
      <w:r>
        <w:t>“</w:t>
      </w:r>
      <w:r w:rsidRPr="00A13B6D">
        <w:rPr>
          <w:i/>
        </w:rPr>
        <w:t>Second Modernization Order</w:t>
      </w:r>
      <w:r>
        <w:t>”</w:t>
      </w:r>
      <w:r w:rsidRPr="00A96E60">
        <w:t>)</w:t>
      </w:r>
      <w:r>
        <w:t>.</w:t>
      </w:r>
    </w:p>
  </w:footnote>
  <w:footnote w:id="3">
    <w:p w14:paraId="187614ED" w14:textId="77777777" w:rsidR="00154AE3" w:rsidRDefault="00154AE3">
      <w:pPr>
        <w:pStyle w:val="FootnoteText"/>
      </w:pPr>
      <w:r>
        <w:rPr>
          <w:rStyle w:val="FootnoteReference"/>
        </w:rPr>
        <w:footnoteRef/>
      </w:r>
      <w:r>
        <w:t xml:space="preserve"> </w:t>
      </w:r>
      <w:proofErr w:type="spellStart"/>
      <w:r>
        <w:t>EducationSuperHighway</w:t>
      </w:r>
      <w:proofErr w:type="spellEnd"/>
      <w:r>
        <w:t xml:space="preserve">, </w:t>
      </w:r>
      <w:r w:rsidRPr="00E34EEA">
        <w:rPr>
          <w:i/>
        </w:rPr>
        <w:t>Delays and Denials: Stalled Fiber Projects in America’s Schools</w:t>
      </w:r>
      <w:r>
        <w:t>, 2018 (“</w:t>
      </w:r>
      <w:r>
        <w:rPr>
          <w:i/>
        </w:rPr>
        <w:t>Delays and Denials</w:t>
      </w:r>
      <w:r>
        <w:t xml:space="preserve">”). </w:t>
      </w:r>
    </w:p>
  </w:footnote>
  <w:footnote w:id="4">
    <w:p w14:paraId="050D7AAE" w14:textId="77777777" w:rsidR="00154AE3" w:rsidRDefault="00154AE3">
      <w:pPr>
        <w:pStyle w:val="FootnoteText"/>
      </w:pPr>
      <w:r>
        <w:rPr>
          <w:rStyle w:val="FootnoteReference"/>
        </w:rPr>
        <w:footnoteRef/>
      </w:r>
      <w:r>
        <w:t xml:space="preserve"> </w:t>
      </w:r>
      <w:r w:rsidRPr="00E34EEA">
        <w:rPr>
          <w:i/>
        </w:rPr>
        <w:t>Id</w:t>
      </w:r>
      <w:r>
        <w:t xml:space="preserve">. </w:t>
      </w:r>
    </w:p>
  </w:footnote>
  <w:footnote w:id="5">
    <w:p w14:paraId="712809A0" w14:textId="48D21B24" w:rsidR="00154AE3" w:rsidRDefault="00154AE3">
      <w:pPr>
        <w:pStyle w:val="FootnoteText"/>
      </w:pPr>
      <w:r w:rsidRPr="00B5044D">
        <w:rPr>
          <w:rStyle w:val="FootnoteReference"/>
        </w:rPr>
        <w:footnoteRef/>
      </w:r>
      <w:r w:rsidRPr="00B5044D">
        <w:t xml:space="preserve"> </w:t>
      </w:r>
      <w:r w:rsidRPr="00E34EEA">
        <w:rPr>
          <w:i/>
        </w:rPr>
        <w:t>See</w:t>
      </w:r>
      <w:r>
        <w:t xml:space="preserve"> </w:t>
      </w:r>
      <w:r w:rsidRPr="008753B9">
        <w:rPr>
          <w:i/>
        </w:rPr>
        <w:t>Id</w:t>
      </w:r>
      <w:r>
        <w:t xml:space="preserve">. </w:t>
      </w:r>
      <w:r w:rsidRPr="00B5044D">
        <w:t>These</w:t>
      </w:r>
      <w:r>
        <w:t xml:space="preserve"> specific findings were the result of </w:t>
      </w:r>
      <w:proofErr w:type="spellStart"/>
      <w:r>
        <w:t>EducationSuperHighway’s</w:t>
      </w:r>
      <w:proofErr w:type="spellEnd"/>
      <w:r>
        <w:t xml:space="preserve"> analysis of all denied </w:t>
      </w:r>
      <w:r w:rsidR="000C51BE">
        <w:t>special construction</w:t>
      </w:r>
      <w:r>
        <w:t xml:space="preserve"> projects in t</w:t>
      </w:r>
      <w:r w:rsidRPr="00452E5A">
        <w:t>he 2016 and 2017 funding years due to issues related to cost and cost effectiveness</w:t>
      </w:r>
      <w:r>
        <w:t xml:space="preserve">. The information relating to these denials can be found using USAC’s “FRN Status Tool.” </w:t>
      </w:r>
      <w:r>
        <w:rPr>
          <w:i/>
        </w:rPr>
        <w:t xml:space="preserve">Available at </w:t>
      </w:r>
      <w:hyperlink r:id="rId1" w:history="1">
        <w:r w:rsidRPr="007F3A43">
          <w:rPr>
            <w:rStyle w:val="Hyperlink"/>
          </w:rPr>
          <w:t>https://data.usac.org/publicreports/FRN/Status/FundYear</w:t>
        </w:r>
      </w:hyperlink>
      <w:r>
        <w:t>.</w:t>
      </w:r>
    </w:p>
  </w:footnote>
  <w:footnote w:id="6">
    <w:p w14:paraId="2806239B" w14:textId="77777777" w:rsidR="00154AE3" w:rsidRDefault="00154AE3">
      <w:pPr>
        <w:pStyle w:val="FootnoteText"/>
      </w:pPr>
      <w:r>
        <w:rPr>
          <w:rStyle w:val="FootnoteReference"/>
        </w:rPr>
        <w:footnoteRef/>
      </w:r>
      <w:r>
        <w:t xml:space="preserve"> </w:t>
      </w:r>
      <w:r w:rsidRPr="00A13B6D">
        <w:rPr>
          <w:i/>
        </w:rPr>
        <w:t>Second Modernization Order</w:t>
      </w:r>
      <w:r>
        <w:t xml:space="preserve">, </w:t>
      </w:r>
      <w:r w:rsidRPr="00722C27">
        <w:t xml:space="preserve">29 FCC </w:t>
      </w:r>
      <w:proofErr w:type="spellStart"/>
      <w:r w:rsidRPr="00722C27">
        <w:t>Rcd</w:t>
      </w:r>
      <w:proofErr w:type="spellEnd"/>
      <w:r>
        <w:t xml:space="preserve"> at 15609, </w:t>
      </w:r>
      <w:r>
        <w:rPr>
          <w:i/>
        </w:rPr>
        <w:t>amending</w:t>
      </w:r>
      <w:r>
        <w:t xml:space="preserve"> </w:t>
      </w:r>
      <w:r w:rsidRPr="00E431D8">
        <w:t>47 C.F.R.</w:t>
      </w:r>
      <w:r>
        <w:t xml:space="preserve"> </w:t>
      </w:r>
      <w:r w:rsidRPr="008353EB">
        <w:t>§ 54.503</w:t>
      </w:r>
      <w:r>
        <w:t>(1</w:t>
      </w:r>
      <w:proofErr w:type="gramStart"/>
      <w:r>
        <w:t>)(</w:t>
      </w:r>
      <w:proofErr w:type="gramEnd"/>
      <w:r>
        <w:t>iii)(A).</w:t>
      </w:r>
    </w:p>
  </w:footnote>
  <w:footnote w:id="7">
    <w:p w14:paraId="0E90BB1E" w14:textId="77777777" w:rsidR="00154AE3" w:rsidRPr="00DD3C4A" w:rsidRDefault="00154AE3">
      <w:pPr>
        <w:pStyle w:val="FootnoteText"/>
      </w:pPr>
      <w:r>
        <w:rPr>
          <w:rStyle w:val="FootnoteReference"/>
        </w:rPr>
        <w:footnoteRef/>
      </w:r>
      <w:r>
        <w:t xml:space="preserve"> </w:t>
      </w:r>
      <w:bookmarkStart w:id="2" w:name="_Hlk535501228"/>
      <w:proofErr w:type="spellStart"/>
      <w:r w:rsidRPr="00CA2665">
        <w:t>EducationSuperHighway</w:t>
      </w:r>
      <w:proofErr w:type="spellEnd"/>
      <w:r w:rsidRPr="00CA2665">
        <w:t xml:space="preserve">, “Accelerating E-rate Fiber Construction Upgrades,” </w:t>
      </w:r>
      <w:bookmarkEnd w:id="2"/>
      <w:r>
        <w:t xml:space="preserve">4, </w:t>
      </w:r>
      <w:r w:rsidRPr="00CA2665">
        <w:t>Jan. 2018</w:t>
      </w:r>
      <w:r>
        <w:t xml:space="preserve">; </w:t>
      </w:r>
      <w:r>
        <w:rPr>
          <w:i/>
        </w:rPr>
        <w:t>see also</w:t>
      </w:r>
      <w:r>
        <w:t xml:space="preserve"> </w:t>
      </w:r>
    </w:p>
    <w:p w14:paraId="61671E27" w14:textId="77777777" w:rsidR="00154AE3" w:rsidRDefault="00154AE3">
      <w:pPr>
        <w:pStyle w:val="FootnoteText"/>
      </w:pPr>
      <w:r w:rsidRPr="00C83C0F">
        <w:t xml:space="preserve">Henry </w:t>
      </w:r>
      <w:proofErr w:type="spellStart"/>
      <w:r w:rsidRPr="00C83C0F">
        <w:t>Kronk</w:t>
      </w:r>
      <w:proofErr w:type="spellEnd"/>
      <w:r>
        <w:t>, “</w:t>
      </w:r>
      <w:r w:rsidRPr="00C83C0F">
        <w:t>Bridging the digital divide among schools is within reach despite FCC red tape</w:t>
      </w:r>
      <w:r>
        <w:t xml:space="preserve">,” </w:t>
      </w:r>
      <w:r w:rsidRPr="00A13B6D">
        <w:t>Connect Americans Now</w:t>
      </w:r>
      <w:r>
        <w:t xml:space="preserve"> (website), Oct. 5, 2018, </w:t>
      </w:r>
      <w:r w:rsidRPr="00A13B6D">
        <w:rPr>
          <w:i/>
        </w:rPr>
        <w:t>available at</w:t>
      </w:r>
      <w:r>
        <w:t xml:space="preserve"> </w:t>
      </w:r>
      <w:hyperlink r:id="rId2" w:history="1">
        <w:r w:rsidRPr="00143BD2">
          <w:rPr>
            <w:rStyle w:val="Hyperlink"/>
          </w:rPr>
          <w:t>https://connectamericansnow.com/bridging-the-digital-divide-among-schools-is-within-reach-despite-fcc-red-tape/</w:t>
        </w:r>
      </w:hyperlink>
      <w:r>
        <w:t>.</w:t>
      </w:r>
    </w:p>
  </w:footnote>
  <w:footnote w:id="8">
    <w:p w14:paraId="4BFC971C" w14:textId="77777777" w:rsidR="00154AE3" w:rsidRDefault="00154AE3">
      <w:pPr>
        <w:pStyle w:val="FootnoteText"/>
      </w:pPr>
      <w:r>
        <w:rPr>
          <w:rStyle w:val="FootnoteReference"/>
        </w:rPr>
        <w:footnoteRef/>
      </w:r>
      <w:r>
        <w:t xml:space="preserve"> </w:t>
      </w:r>
      <w:r w:rsidRPr="00E34EEA">
        <w:rPr>
          <w:i/>
        </w:rPr>
        <w:t>See</w:t>
      </w:r>
      <w:r>
        <w:t xml:space="preserve"> </w:t>
      </w:r>
      <w:r>
        <w:rPr>
          <w:i/>
        </w:rPr>
        <w:t>Delays and Denials</w:t>
      </w:r>
      <w:r>
        <w:t>.</w:t>
      </w:r>
    </w:p>
  </w:footnote>
  <w:footnote w:id="9">
    <w:p w14:paraId="343DD7F4" w14:textId="77777777" w:rsidR="00154AE3" w:rsidRDefault="00154AE3">
      <w:pPr>
        <w:pStyle w:val="FootnoteText"/>
      </w:pPr>
      <w:r>
        <w:rPr>
          <w:rStyle w:val="FootnoteReference"/>
        </w:rPr>
        <w:footnoteRef/>
      </w:r>
      <w:r>
        <w:t xml:space="preserve"> </w:t>
      </w:r>
      <w:r w:rsidRPr="00B85590">
        <w:t>FCC, E-Rate Program Amortization Requirement, Modernizing the E-Rate Program for Schools and Libraries, WC Docket Nos. 19-2, 13-184, Notice of Proposed Rulemaking and Order, ¶ 13 (Jan. 29, 2019)(“</w:t>
      </w:r>
      <w:r w:rsidRPr="00E62162">
        <w:rPr>
          <w:i/>
        </w:rPr>
        <w:t xml:space="preserve">Amortization Temporary </w:t>
      </w:r>
      <w:r>
        <w:rPr>
          <w:i/>
        </w:rPr>
        <w:t xml:space="preserve">Waiver </w:t>
      </w:r>
      <w:r w:rsidRPr="00E62162">
        <w:rPr>
          <w:i/>
        </w:rPr>
        <w:t xml:space="preserve">Order </w:t>
      </w:r>
      <w:r w:rsidRPr="00B02F54">
        <w:rPr>
          <w:i/>
        </w:rPr>
        <w:t xml:space="preserve">and </w:t>
      </w:r>
      <w:r>
        <w:rPr>
          <w:i/>
        </w:rPr>
        <w:t>NPRN</w:t>
      </w:r>
      <w:r w:rsidRPr="00B85590">
        <w:t>”).</w:t>
      </w:r>
    </w:p>
  </w:footnote>
  <w:footnote w:id="10">
    <w:p w14:paraId="439269C2" w14:textId="77777777" w:rsidR="00154AE3" w:rsidRDefault="00154AE3">
      <w:pPr>
        <w:pStyle w:val="FootnoteText"/>
      </w:pPr>
      <w:r>
        <w:rPr>
          <w:rStyle w:val="FootnoteReference"/>
        </w:rPr>
        <w:footnoteRef/>
      </w:r>
      <w:r>
        <w:t xml:space="preserve"> </w:t>
      </w:r>
      <w:r>
        <w:rPr>
          <w:i/>
        </w:rPr>
        <w:t xml:space="preserve">See </w:t>
      </w:r>
      <w:r w:rsidRPr="00625677">
        <w:rPr>
          <w:i/>
        </w:rPr>
        <w:t>Second Modernization Order</w:t>
      </w:r>
      <w:r>
        <w:t xml:space="preserve">, </w:t>
      </w:r>
      <w:r w:rsidRPr="00722C27">
        <w:t xml:space="preserve">29 FCC </w:t>
      </w:r>
      <w:proofErr w:type="spellStart"/>
      <w:r w:rsidRPr="00722C27">
        <w:t>Rcd</w:t>
      </w:r>
      <w:proofErr w:type="spellEnd"/>
      <w:r>
        <w:t xml:space="preserve"> at</w:t>
      </w:r>
      <w:r w:rsidRPr="008A1FFF">
        <w:t xml:space="preserve"> </w:t>
      </w:r>
      <w:r>
        <w:t xml:space="preserve">15543-44, </w:t>
      </w:r>
      <w:r w:rsidRPr="00A96E60">
        <w:t xml:space="preserve">¶¶ </w:t>
      </w:r>
      <w:r>
        <w:t>10-12, n.17 &amp; n.21.</w:t>
      </w:r>
    </w:p>
  </w:footnote>
  <w:footnote w:id="11">
    <w:p w14:paraId="62F00134" w14:textId="77777777" w:rsidR="00154AE3" w:rsidRDefault="00154AE3" w:rsidP="0035117A">
      <w:pPr>
        <w:pStyle w:val="FootnoteText"/>
      </w:pPr>
      <w:r>
        <w:rPr>
          <w:rStyle w:val="FootnoteReference"/>
        </w:rPr>
        <w:footnoteRef/>
      </w:r>
      <w:r>
        <w:t xml:space="preserve"> </w:t>
      </w:r>
      <w:r>
        <w:rPr>
          <w:i/>
        </w:rPr>
        <w:t>Amortization Temporary Waiver Order and NPRN</w:t>
      </w:r>
      <w:r>
        <w:t xml:space="preserve">, ¶ 13. </w:t>
      </w:r>
    </w:p>
  </w:footnote>
  <w:footnote w:id="12">
    <w:p w14:paraId="2C6B1DE7" w14:textId="77777777" w:rsidR="00154AE3" w:rsidRDefault="00154AE3">
      <w:pPr>
        <w:pStyle w:val="FootnoteText"/>
      </w:pPr>
      <w:r>
        <w:rPr>
          <w:rStyle w:val="FootnoteReference"/>
        </w:rPr>
        <w:footnoteRef/>
      </w:r>
      <w:r>
        <w:t xml:space="preserve"> Available at </w:t>
      </w:r>
      <w:hyperlink r:id="rId3" w:history="1">
        <w:r w:rsidRPr="007B7D17">
          <w:rPr>
            <w:rStyle w:val="Hyperlink"/>
          </w:rPr>
          <w:t>https://1drv.ms/f/s!AhW4eV2CMXljg95Jluh7HCQr7_XICw</w:t>
        </w:r>
      </w:hyperlink>
      <w:r>
        <w:t xml:space="preserve">. </w:t>
      </w:r>
    </w:p>
  </w:footnote>
  <w:footnote w:id="13">
    <w:p w14:paraId="246703FB" w14:textId="77777777" w:rsidR="00154AE3" w:rsidRDefault="00154AE3">
      <w:pPr>
        <w:pStyle w:val="FootnoteText"/>
      </w:pPr>
      <w:r>
        <w:rPr>
          <w:rStyle w:val="FootnoteReference"/>
        </w:rPr>
        <w:footnoteRef/>
      </w:r>
      <w:r>
        <w:t xml:space="preserve"> 47 U.S.C. </w:t>
      </w:r>
      <w:r w:rsidRPr="00DF146B">
        <w:t>§</w:t>
      </w:r>
      <w:r>
        <w:t xml:space="preserve"> 254(b</w:t>
      </w:r>
      <w:proofErr w:type="gramStart"/>
      <w:r>
        <w:t>)(</w:t>
      </w:r>
      <w:proofErr w:type="gramEnd"/>
      <w:r>
        <w:t>6).</w:t>
      </w:r>
    </w:p>
  </w:footnote>
  <w:footnote w:id="14">
    <w:p w14:paraId="1F107E97" w14:textId="77777777" w:rsidR="00154AE3" w:rsidRDefault="00154AE3">
      <w:pPr>
        <w:pStyle w:val="FootnoteText"/>
      </w:pPr>
      <w:r>
        <w:rPr>
          <w:rStyle w:val="FootnoteReference"/>
        </w:rPr>
        <w:footnoteRef/>
      </w:r>
      <w:r>
        <w:t xml:space="preserve"> 47 U.S.C. </w:t>
      </w:r>
      <w:r w:rsidRPr="00DF146B">
        <w:t>§</w:t>
      </w:r>
      <w:r>
        <w:t xml:space="preserve"> 254(h</w:t>
      </w:r>
      <w:proofErr w:type="gramStart"/>
      <w:r>
        <w:t>)(</w:t>
      </w:r>
      <w:proofErr w:type="gramEnd"/>
      <w:r>
        <w:t>2). Congress established the same goal for libraries and health care facilities.</w:t>
      </w:r>
    </w:p>
  </w:footnote>
  <w:footnote w:id="15">
    <w:p w14:paraId="56D5287E" w14:textId="77777777" w:rsidR="00154AE3" w:rsidRDefault="00154AE3">
      <w:pPr>
        <w:pStyle w:val="FootnoteText"/>
      </w:pPr>
      <w:r>
        <w:rPr>
          <w:rStyle w:val="FootnoteReference"/>
        </w:rPr>
        <w:footnoteRef/>
      </w:r>
      <w:r>
        <w:t xml:space="preserve"> 47 U.S.C. </w:t>
      </w:r>
      <w:r w:rsidRPr="00DF146B">
        <w:t>§</w:t>
      </w:r>
      <w:r>
        <w:t xml:space="preserve"> 254(b</w:t>
      </w:r>
      <w:proofErr w:type="gramStart"/>
      <w:r>
        <w:t>)(</w:t>
      </w:r>
      <w:proofErr w:type="gramEnd"/>
      <w:r>
        <w:t>6).</w:t>
      </w:r>
    </w:p>
  </w:footnote>
  <w:footnote w:id="16">
    <w:p w14:paraId="4A7F481C" w14:textId="77777777" w:rsidR="00154AE3" w:rsidRDefault="00154AE3">
      <w:pPr>
        <w:pStyle w:val="FootnoteText"/>
      </w:pPr>
      <w:r>
        <w:rPr>
          <w:rStyle w:val="FootnoteReference"/>
        </w:rPr>
        <w:footnoteRef/>
      </w:r>
      <w:r>
        <w:t xml:space="preserve"> </w:t>
      </w:r>
      <w:r w:rsidRPr="00625677">
        <w:rPr>
          <w:i/>
        </w:rPr>
        <w:t>Modernizing the E-rate Program for Schools and Libraries</w:t>
      </w:r>
      <w:r>
        <w:t xml:space="preserve">, WC Docket No. 13-184, Report and Order and Further Notice of Proposed Rulemaking, </w:t>
      </w:r>
      <w:r w:rsidRPr="007E6597">
        <w:t xml:space="preserve">29 FCC </w:t>
      </w:r>
      <w:proofErr w:type="spellStart"/>
      <w:r w:rsidRPr="007E6597">
        <w:t>Rcd</w:t>
      </w:r>
      <w:proofErr w:type="spellEnd"/>
      <w:r w:rsidRPr="007E6597">
        <w:t xml:space="preserve"> 8870</w:t>
      </w:r>
      <w:r>
        <w:t>, 8875, ¶ 10 (July 23, 2014)(“</w:t>
      </w:r>
      <w:r w:rsidRPr="00625677">
        <w:rPr>
          <w:i/>
        </w:rPr>
        <w:t>First Modernization Order</w:t>
      </w:r>
      <w:r>
        <w:t>”).</w:t>
      </w:r>
    </w:p>
  </w:footnote>
  <w:footnote w:id="17">
    <w:p w14:paraId="0FFE27F3" w14:textId="77777777" w:rsidR="00154AE3" w:rsidRDefault="00154AE3" w:rsidP="00F5460B">
      <w:pPr>
        <w:pStyle w:val="FootnoteText"/>
      </w:pPr>
      <w:r>
        <w:rPr>
          <w:rStyle w:val="FootnoteReference"/>
        </w:rPr>
        <w:footnoteRef/>
      </w:r>
      <w:r>
        <w:t xml:space="preserve"> </w:t>
      </w:r>
      <w:bookmarkStart w:id="3" w:name="_Hlk534290533"/>
      <w:r w:rsidRPr="00A13B6D">
        <w:rPr>
          <w:i/>
        </w:rPr>
        <w:t>Second Modernization Order</w:t>
      </w:r>
      <w:r w:rsidRPr="009C5F1B">
        <w:t xml:space="preserve">, 29 FCC </w:t>
      </w:r>
      <w:proofErr w:type="spellStart"/>
      <w:r w:rsidRPr="009C5F1B">
        <w:t>Rcd</w:t>
      </w:r>
      <w:proofErr w:type="spellEnd"/>
      <w:r w:rsidRPr="009C5F1B">
        <w:t xml:space="preserve"> at</w:t>
      </w:r>
      <w:r>
        <w:t xml:space="preserve"> </w:t>
      </w:r>
      <w:r w:rsidRPr="00722C27">
        <w:t>15538</w:t>
      </w:r>
      <w:r>
        <w:t>, 15552 &amp; 15555,</w:t>
      </w:r>
      <w:r w:rsidRPr="00722C27">
        <w:t xml:space="preserve"> </w:t>
      </w:r>
      <w:r w:rsidRPr="00A96E60">
        <w:t>¶¶ 36, 43 (Dec</w:t>
      </w:r>
      <w:r>
        <w:t>.</w:t>
      </w:r>
      <w:r w:rsidRPr="00A96E60">
        <w:t xml:space="preserve"> 19, 2014)</w:t>
      </w:r>
      <w:bookmarkEnd w:id="3"/>
      <w:r w:rsidRPr="00A96E60">
        <w:t>;</w:t>
      </w:r>
      <w:r>
        <w:t xml:space="preserve"> </w:t>
      </w:r>
      <w:r w:rsidRPr="00890FD5">
        <w:rPr>
          <w:i/>
        </w:rPr>
        <w:t>see</w:t>
      </w:r>
      <w:r>
        <w:rPr>
          <w:i/>
        </w:rPr>
        <w:t xml:space="preserve"> also </w:t>
      </w:r>
      <w:r w:rsidRPr="00625677">
        <w:rPr>
          <w:i/>
        </w:rPr>
        <w:t>Second Modernization Order</w:t>
      </w:r>
      <w:r w:rsidRPr="00776F11">
        <w:t xml:space="preserve"> ¶ 4 &amp; n.10. </w:t>
      </w:r>
    </w:p>
  </w:footnote>
  <w:footnote w:id="18">
    <w:p w14:paraId="244F5D96" w14:textId="16BF787A" w:rsidR="00154AE3" w:rsidRDefault="00154AE3">
      <w:pPr>
        <w:pStyle w:val="FootnoteText"/>
      </w:pPr>
      <w:r>
        <w:rPr>
          <w:rStyle w:val="FootnoteReference"/>
        </w:rPr>
        <w:footnoteRef/>
      </w:r>
      <w:r>
        <w:t xml:space="preserve"> </w:t>
      </w:r>
      <w:r w:rsidRPr="005120E2">
        <w:t xml:space="preserve">Second Modernization Order, 29 FCC </w:t>
      </w:r>
      <w:proofErr w:type="spellStart"/>
      <w:r w:rsidRPr="005120E2">
        <w:t>Rcd</w:t>
      </w:r>
      <w:proofErr w:type="spellEnd"/>
      <w:r w:rsidRPr="005120E2">
        <w:t xml:space="preserve"> at </w:t>
      </w:r>
      <w:r>
        <w:t>15543-44,</w:t>
      </w:r>
      <w:r w:rsidRPr="005120E2">
        <w:t xml:space="preserve"> ¶ 12</w:t>
      </w:r>
      <w:r>
        <w:t>, n.21 (This “</w:t>
      </w:r>
      <w:r w:rsidR="000C51BE">
        <w:t>special construction</w:t>
      </w:r>
      <w:r>
        <w:t xml:space="preserve"> (or installation) . . . include[s] </w:t>
      </w:r>
      <w:r w:rsidRPr="00B00E0E">
        <w:t>costs for design and engineering, project management, digging trenches, and laying fiber</w:t>
      </w:r>
      <w:r>
        <w:t xml:space="preserve">”). </w:t>
      </w:r>
    </w:p>
  </w:footnote>
  <w:footnote w:id="19">
    <w:p w14:paraId="13C601D6" w14:textId="77777777" w:rsidR="00154AE3" w:rsidRDefault="00154AE3">
      <w:pPr>
        <w:pStyle w:val="FootnoteText"/>
      </w:pPr>
      <w:r>
        <w:rPr>
          <w:rStyle w:val="FootnoteReference"/>
        </w:rPr>
        <w:footnoteRef/>
      </w:r>
      <w:r>
        <w:t xml:space="preserve"> </w:t>
      </w:r>
      <w:r w:rsidRPr="00625677">
        <w:rPr>
          <w:i/>
        </w:rPr>
        <w:t>First Modernization Order</w:t>
      </w:r>
      <w:r>
        <w:t xml:space="preserve">, </w:t>
      </w:r>
      <w:r w:rsidRPr="00F65B03">
        <w:t xml:space="preserve">29 FCC </w:t>
      </w:r>
      <w:proofErr w:type="spellStart"/>
      <w:r w:rsidRPr="00F65B03">
        <w:t>Rcd</w:t>
      </w:r>
      <w:proofErr w:type="spellEnd"/>
      <w:r>
        <w:t xml:space="preserve"> at 8872, ¶ 1.</w:t>
      </w:r>
    </w:p>
  </w:footnote>
  <w:footnote w:id="20">
    <w:p w14:paraId="2E412704" w14:textId="77777777" w:rsidR="00154AE3" w:rsidRDefault="00154AE3">
      <w:pPr>
        <w:pStyle w:val="FootnoteText"/>
      </w:pPr>
      <w:r>
        <w:rPr>
          <w:rStyle w:val="FootnoteReference"/>
        </w:rPr>
        <w:footnoteRef/>
      </w:r>
      <w:r>
        <w:t xml:space="preserve"> </w:t>
      </w:r>
      <w:r>
        <w:rPr>
          <w:i/>
        </w:rPr>
        <w:t>Id</w:t>
      </w:r>
      <w:r>
        <w:t>. at 8872-73, ¶</w:t>
      </w:r>
      <w:r w:rsidRPr="002F5C48">
        <w:t xml:space="preserve"> </w:t>
      </w:r>
      <w:r>
        <w:t>2.</w:t>
      </w:r>
    </w:p>
  </w:footnote>
  <w:footnote w:id="21">
    <w:p w14:paraId="148287BE" w14:textId="4ED54832" w:rsidR="00154AE3" w:rsidRDefault="00154AE3" w:rsidP="004D57A3">
      <w:pPr>
        <w:pStyle w:val="FootnoteText"/>
      </w:pPr>
      <w:r>
        <w:rPr>
          <w:rStyle w:val="FootnoteReference"/>
        </w:rPr>
        <w:footnoteRef/>
      </w:r>
      <w:r>
        <w:t xml:space="preserve"> </w:t>
      </w:r>
      <w:r w:rsidRPr="00625677">
        <w:rPr>
          <w:i/>
        </w:rPr>
        <w:t>Second Modernization Order</w:t>
      </w:r>
      <w:r w:rsidRPr="009C5F1B">
        <w:t xml:space="preserve">, 29 FCC </w:t>
      </w:r>
      <w:proofErr w:type="spellStart"/>
      <w:r w:rsidRPr="009C5F1B">
        <w:t>Rcd</w:t>
      </w:r>
      <w:proofErr w:type="spellEnd"/>
      <w:r w:rsidRPr="009C5F1B">
        <w:t xml:space="preserve"> at</w:t>
      </w:r>
      <w:r>
        <w:t xml:space="preserve"> 15539, </w:t>
      </w:r>
      <w:r w:rsidRPr="00F0154E">
        <w:t xml:space="preserve">¶ </w:t>
      </w:r>
      <w:r>
        <w:t xml:space="preserve">3. The Commission established “an Internet access target of 100 Mbps for libraries that serve fewer than 50,000 people and 1 </w:t>
      </w:r>
      <w:proofErr w:type="spellStart"/>
      <w:r>
        <w:t>Gbps</w:t>
      </w:r>
      <w:proofErr w:type="spellEnd"/>
      <w:r>
        <w:t xml:space="preserve"> for libraries that serve 50,000 people or more.” </w:t>
      </w:r>
      <w:r w:rsidRPr="00625677">
        <w:rPr>
          <w:i/>
        </w:rPr>
        <w:t>Id</w:t>
      </w:r>
      <w:r>
        <w:t xml:space="preserve">. Although the discussion of </w:t>
      </w:r>
      <w:r w:rsidR="000C51BE">
        <w:t>special construction</w:t>
      </w:r>
      <w:r>
        <w:t xml:space="preserve"> in this white paper focuses on schools, that means of obtaining internet access is important to libraries as well. </w:t>
      </w:r>
      <w:r w:rsidRPr="00625677">
        <w:rPr>
          <w:i/>
        </w:rPr>
        <w:t>See</w:t>
      </w:r>
      <w:r w:rsidRPr="00625677">
        <w:t xml:space="preserve">, </w:t>
      </w:r>
      <w:r w:rsidRPr="00625677">
        <w:rPr>
          <w:i/>
        </w:rPr>
        <w:t>e</w:t>
      </w:r>
      <w:r w:rsidRPr="00625677">
        <w:t>.</w:t>
      </w:r>
      <w:r w:rsidRPr="00625677">
        <w:rPr>
          <w:i/>
        </w:rPr>
        <w:t>g</w:t>
      </w:r>
      <w:r w:rsidRPr="00625677">
        <w:t>.,</w:t>
      </w:r>
      <w:r w:rsidRPr="009E459F">
        <w:t xml:space="preserve"> American Library Association, </w:t>
      </w:r>
      <w:r w:rsidRPr="00625677">
        <w:t>“</w:t>
      </w:r>
      <w:r w:rsidRPr="009E459F">
        <w:t>E-rate and Universal Service,</w:t>
      </w:r>
      <w:r w:rsidRPr="00625677">
        <w:t xml:space="preserve">” </w:t>
      </w:r>
      <w:r w:rsidRPr="00625677">
        <w:rPr>
          <w:i/>
        </w:rPr>
        <w:t>available at</w:t>
      </w:r>
      <w:r w:rsidRPr="009E459F">
        <w:t xml:space="preserve"> </w:t>
      </w:r>
      <w:hyperlink r:id="rId4" w:history="1">
        <w:r w:rsidRPr="009E459F">
          <w:rPr>
            <w:rStyle w:val="Hyperlink"/>
          </w:rPr>
          <w:t>http://www.ala.org/advocacy/erate</w:t>
        </w:r>
      </w:hyperlink>
      <w:r>
        <w:t xml:space="preserve"> (visited Jan. 3, 2019). </w:t>
      </w:r>
    </w:p>
  </w:footnote>
  <w:footnote w:id="22">
    <w:p w14:paraId="6E9E3BD8" w14:textId="77777777" w:rsidR="00154AE3" w:rsidRDefault="00154AE3" w:rsidP="006F42DB">
      <w:pPr>
        <w:pStyle w:val="FootnoteText"/>
      </w:pPr>
      <w:r>
        <w:rPr>
          <w:rStyle w:val="FootnoteReference"/>
        </w:rPr>
        <w:footnoteRef/>
      </w:r>
      <w:r>
        <w:t xml:space="preserve"> </w:t>
      </w:r>
      <w:r w:rsidRPr="00625677">
        <w:rPr>
          <w:i/>
        </w:rPr>
        <w:t>Second Modernization Order</w:t>
      </w:r>
      <w:r w:rsidRPr="009C5F1B">
        <w:t xml:space="preserve">, 29 FCC </w:t>
      </w:r>
      <w:proofErr w:type="spellStart"/>
      <w:r w:rsidRPr="009C5F1B">
        <w:t>Rcd</w:t>
      </w:r>
      <w:proofErr w:type="spellEnd"/>
      <w:r w:rsidRPr="009C5F1B">
        <w:t xml:space="preserve"> at</w:t>
      </w:r>
      <w:r>
        <w:t xml:space="preserve"> 15541, ¶ 5 (“Ensuring schools and libraries have affordable access to high-speed, scalable connections is a critical step in accomplishing our goals”</w:t>
      </w:r>
      <w:proofErr w:type="gramStart"/>
      <w:r>
        <w:t>)(</w:t>
      </w:r>
      <w:proofErr w:type="gramEnd"/>
      <w:r w:rsidRPr="00625677">
        <w:rPr>
          <w:i/>
        </w:rPr>
        <w:t>citing</w:t>
      </w:r>
      <w:r>
        <w:t xml:space="preserve"> </w:t>
      </w:r>
      <w:proofErr w:type="spellStart"/>
      <w:r w:rsidRPr="00B90B1C">
        <w:t>EducationSuperHighway</w:t>
      </w:r>
      <w:proofErr w:type="spellEnd"/>
      <w:r w:rsidRPr="00B90B1C">
        <w:t xml:space="preserve"> </w:t>
      </w:r>
      <w:r w:rsidRPr="00A13B6D">
        <w:rPr>
          <w:i/>
        </w:rPr>
        <w:t>First Modernization Order</w:t>
      </w:r>
      <w:r w:rsidRPr="00B90B1C">
        <w:t xml:space="preserve"> Comments at 6</w:t>
      </w:r>
      <w:r>
        <w:t xml:space="preserve"> (“98 percent of public schools will require a fiber connection to meet the Commission’s connectivity targets”)).</w:t>
      </w:r>
    </w:p>
  </w:footnote>
  <w:footnote w:id="23">
    <w:p w14:paraId="476AB3AC" w14:textId="0B4F82C3" w:rsidR="00154AE3" w:rsidRDefault="00154AE3">
      <w:pPr>
        <w:pStyle w:val="FootnoteText"/>
      </w:pPr>
      <w:r>
        <w:rPr>
          <w:rStyle w:val="FootnoteReference"/>
        </w:rPr>
        <w:footnoteRef/>
      </w:r>
      <w:r>
        <w:t xml:space="preserve"> </w:t>
      </w:r>
      <w:r w:rsidRPr="00BE3ABA">
        <w:rPr>
          <w:i/>
        </w:rPr>
        <w:t>Second Modernization Order</w:t>
      </w:r>
      <w:r w:rsidRPr="00BE3ABA">
        <w:t xml:space="preserve">, 29 FCC </w:t>
      </w:r>
      <w:proofErr w:type="spellStart"/>
      <w:r w:rsidRPr="00BE3ABA">
        <w:t>Rcd</w:t>
      </w:r>
      <w:proofErr w:type="spellEnd"/>
      <w:r w:rsidRPr="00BE3ABA">
        <w:t xml:space="preserve"> at 15543-44, ¶ 12; </w:t>
      </w:r>
      <w:r w:rsidRPr="00BE3ABA">
        <w:rPr>
          <w:i/>
        </w:rPr>
        <w:t>see</w:t>
      </w:r>
      <w:r w:rsidRPr="00BE3ABA">
        <w:t xml:space="preserve"> </w:t>
      </w:r>
      <w:r w:rsidRPr="00BE3ABA">
        <w:rPr>
          <w:i/>
        </w:rPr>
        <w:t>Second Modernization Order</w:t>
      </w:r>
      <w:r w:rsidRPr="00BE3ABA">
        <w:t xml:space="preserve">, 29 FCC </w:t>
      </w:r>
      <w:proofErr w:type="spellStart"/>
      <w:r w:rsidRPr="00BE3ABA">
        <w:t>Rcd</w:t>
      </w:r>
      <w:proofErr w:type="spellEnd"/>
      <w:r w:rsidRPr="00BE3ABA">
        <w:t xml:space="preserve"> at 15552 &amp; 15555, ¶</w:t>
      </w:r>
      <w:r w:rsidRPr="00BE3ABA">
        <w:rPr>
          <w:rStyle w:val="PageNumber"/>
        </w:rPr>
        <w:t>¶</w:t>
      </w:r>
      <w:r w:rsidRPr="00BE3ABA">
        <w:t xml:space="preserve"> 36, 43. USAC defines “</w:t>
      </w:r>
      <w:r w:rsidR="000C51BE">
        <w:t>special construction</w:t>
      </w:r>
      <w:r w:rsidRPr="00BE3ABA">
        <w:t xml:space="preserve">” as “the deployment of new fiber or upgraded facilities to E-rate eligible entities” and explains that: “For the purposes of the E-rate program, </w:t>
      </w:r>
      <w:r w:rsidR="000C51BE">
        <w:t>special construction</w:t>
      </w:r>
      <w:r w:rsidRPr="00BE3ABA">
        <w:t xml:space="preserve"> charges are the upfront, non-recurring costs of deploying new fiber or upgraded facilities to eligible entities. </w:t>
      </w:r>
      <w:r w:rsidR="000C51BE">
        <w:t>Special construction</w:t>
      </w:r>
      <w:r w:rsidRPr="00BE3ABA">
        <w:t xml:space="preserve"> consists of three</w:t>
      </w:r>
      <w:r>
        <w:t xml:space="preserve"> components: (1) construction of network facilities; (2) design and engineering; and (3) project management.” USAC, “</w:t>
      </w:r>
      <w:r w:rsidRPr="008F1E1A">
        <w:t>Fiber – Summary Overview</w:t>
      </w:r>
      <w:r>
        <w:t xml:space="preserve">,” </w:t>
      </w:r>
      <w:r>
        <w:rPr>
          <w:i/>
        </w:rPr>
        <w:t xml:space="preserve">available at </w:t>
      </w:r>
      <w:hyperlink r:id="rId5" w:history="1">
        <w:r w:rsidRPr="00625677">
          <w:rPr>
            <w:rStyle w:val="Hyperlink"/>
          </w:rPr>
          <w:t>https://www.usac.org/sl/applicants/beforeyoubegin/fiber.aspx</w:t>
        </w:r>
      </w:hyperlink>
      <w:r w:rsidRPr="006D59AF">
        <w:t xml:space="preserve"> </w:t>
      </w:r>
      <w:r>
        <w:t xml:space="preserve">(visited Jan. 3, 2018). “Applicants may seek funding for </w:t>
      </w:r>
      <w:r w:rsidR="000C51BE">
        <w:t>special construction</w:t>
      </w:r>
      <w:r>
        <w:t xml:space="preserve"> charges in connection with leased lit fiber, leased dark fiber, and self-provisioned networks.” </w:t>
      </w:r>
      <w:r w:rsidRPr="00722218">
        <w:t>USAC</w:t>
      </w:r>
      <w:r w:rsidRPr="00625677">
        <w:rPr>
          <w:rStyle w:val="Hyperlink"/>
          <w:color w:val="auto"/>
          <w:u w:val="none"/>
        </w:rPr>
        <w:t xml:space="preserve">, “FAQs: Eligible Fiber Services,” </w:t>
      </w:r>
      <w:r w:rsidRPr="00625677">
        <w:rPr>
          <w:rStyle w:val="Hyperlink"/>
          <w:i/>
          <w:color w:val="auto"/>
          <w:u w:val="none"/>
        </w:rPr>
        <w:t>available at</w:t>
      </w:r>
      <w:r w:rsidRPr="00625677">
        <w:rPr>
          <w:rStyle w:val="Hyperlink"/>
          <w:color w:val="auto"/>
          <w:u w:val="none"/>
        </w:rPr>
        <w:t xml:space="preserve"> </w:t>
      </w:r>
      <w:hyperlink r:id="rId6" w:history="1">
        <w:r w:rsidRPr="00722218">
          <w:rPr>
            <w:rStyle w:val="Hyperlink"/>
          </w:rPr>
          <w:t>https://www.usac.org/sl/about/faqs/faqs-fiber.aspx</w:t>
        </w:r>
      </w:hyperlink>
      <w:r w:rsidRPr="00625677">
        <w:t xml:space="preserve"> </w:t>
      </w:r>
      <w:r w:rsidRPr="00722218">
        <w:t>(</w:t>
      </w:r>
      <w:r w:rsidRPr="00625677">
        <w:t xml:space="preserve">answering the question of </w:t>
      </w:r>
      <w:r w:rsidRPr="00722218">
        <w:t xml:space="preserve">“What is </w:t>
      </w:r>
      <w:r w:rsidR="000C51BE">
        <w:t>special construction</w:t>
      </w:r>
      <w:r w:rsidRPr="00722218">
        <w:t>?”)(</w:t>
      </w:r>
      <w:proofErr w:type="gramStart"/>
      <w:r w:rsidRPr="00722218">
        <w:t>visited</w:t>
      </w:r>
      <w:proofErr w:type="gramEnd"/>
      <w:r w:rsidRPr="00722218">
        <w:t xml:space="preserve"> Oct, 12, 2018).</w:t>
      </w:r>
    </w:p>
  </w:footnote>
  <w:footnote w:id="24">
    <w:p w14:paraId="637B9E08" w14:textId="77777777" w:rsidR="00154AE3" w:rsidRDefault="00154AE3" w:rsidP="00240509">
      <w:pPr>
        <w:pStyle w:val="FootnoteText"/>
      </w:pPr>
      <w:r>
        <w:rPr>
          <w:rStyle w:val="FootnoteReference"/>
        </w:rPr>
        <w:footnoteRef/>
      </w:r>
      <w:r>
        <w:t xml:space="preserve"> </w:t>
      </w:r>
      <w:r w:rsidRPr="00625677">
        <w:rPr>
          <w:i/>
        </w:rPr>
        <w:t>E</w:t>
      </w:r>
      <w:r>
        <w:t>.</w:t>
      </w:r>
      <w:r w:rsidRPr="00625677">
        <w:rPr>
          <w:i/>
        </w:rPr>
        <w:t>g</w:t>
      </w:r>
      <w:r>
        <w:t xml:space="preserve">., </w:t>
      </w:r>
      <w:r w:rsidRPr="00625677">
        <w:rPr>
          <w:i/>
        </w:rPr>
        <w:t>Second Modernization Order</w:t>
      </w:r>
      <w:r w:rsidRPr="009C5F1B">
        <w:t xml:space="preserve">, 29 FCC </w:t>
      </w:r>
      <w:proofErr w:type="spellStart"/>
      <w:r w:rsidRPr="009C5F1B">
        <w:t>Rcd</w:t>
      </w:r>
      <w:proofErr w:type="spellEnd"/>
      <w:r w:rsidRPr="009C5F1B">
        <w:t xml:space="preserve"> at</w:t>
      </w:r>
      <w:r>
        <w:t xml:space="preserve"> 15546, ¶ 16 (reversing the Commission’s prior policy of requiring amortization). </w:t>
      </w:r>
      <w:r w:rsidRPr="00B72F6C">
        <w:rPr>
          <w:i/>
        </w:rPr>
        <w:t>See</w:t>
      </w:r>
      <w:r>
        <w:t xml:space="preserve"> Section VI </w:t>
      </w:r>
      <w:r w:rsidRPr="00B72F6C">
        <w:rPr>
          <w:i/>
        </w:rPr>
        <w:t>infra</w:t>
      </w:r>
      <w:r>
        <w:t xml:space="preserve"> (discussing the threat to schools and libraries if this policy is not retained for funding years 2019 and beyond).</w:t>
      </w:r>
    </w:p>
  </w:footnote>
  <w:footnote w:id="25">
    <w:p w14:paraId="186A7CDD" w14:textId="77777777" w:rsidR="00154AE3" w:rsidRDefault="00154AE3">
      <w:pPr>
        <w:pStyle w:val="FootnoteText"/>
      </w:pPr>
      <w:r>
        <w:rPr>
          <w:rStyle w:val="FootnoteReference"/>
        </w:rPr>
        <w:footnoteRef/>
      </w:r>
      <w:r>
        <w:t xml:space="preserve"> </w:t>
      </w:r>
      <w:r w:rsidRPr="00625677">
        <w:rPr>
          <w:i/>
        </w:rPr>
        <w:t>Second Modernization Order</w:t>
      </w:r>
      <w:r w:rsidRPr="009C5F1B">
        <w:t xml:space="preserve">, 29 FCC </w:t>
      </w:r>
      <w:proofErr w:type="spellStart"/>
      <w:r w:rsidRPr="009C5F1B">
        <w:t>Rcd</w:t>
      </w:r>
      <w:proofErr w:type="spellEnd"/>
      <w:r w:rsidRPr="009C5F1B">
        <w:t xml:space="preserve"> at</w:t>
      </w:r>
      <w:r>
        <w:t xml:space="preserve"> 15541, ¶ 6.</w:t>
      </w:r>
    </w:p>
  </w:footnote>
  <w:footnote w:id="26">
    <w:p w14:paraId="4844E999" w14:textId="77777777" w:rsidR="00154AE3" w:rsidRDefault="00154AE3">
      <w:pPr>
        <w:pStyle w:val="FootnoteText"/>
      </w:pPr>
      <w:r>
        <w:rPr>
          <w:rStyle w:val="FootnoteReference"/>
        </w:rPr>
        <w:footnoteRef/>
      </w:r>
      <w:r>
        <w:t xml:space="preserve"> </w:t>
      </w:r>
      <w:r>
        <w:rPr>
          <w:i/>
        </w:rPr>
        <w:t>Id</w:t>
      </w:r>
      <w:r>
        <w:t>. at 15555, ¶ 43.</w:t>
      </w:r>
    </w:p>
  </w:footnote>
  <w:footnote w:id="27">
    <w:p w14:paraId="16C27F15" w14:textId="77777777" w:rsidR="00154AE3" w:rsidRDefault="00154AE3">
      <w:pPr>
        <w:pStyle w:val="FootnoteText"/>
      </w:pPr>
      <w:r>
        <w:rPr>
          <w:rStyle w:val="FootnoteReference"/>
        </w:rPr>
        <w:footnoteRef/>
      </w:r>
      <w:r>
        <w:t xml:space="preserve"> </w:t>
      </w:r>
      <w:proofErr w:type="spellStart"/>
      <w:r>
        <w:t>EducationSuperHighway</w:t>
      </w:r>
      <w:proofErr w:type="spellEnd"/>
      <w:r>
        <w:t>, “Accelerating E-rate fiber construction upgrades,” Jan. 2018, p. 2.</w:t>
      </w:r>
    </w:p>
  </w:footnote>
  <w:footnote w:id="28">
    <w:p w14:paraId="3E91FCB4" w14:textId="77777777" w:rsidR="00154AE3" w:rsidRDefault="00154AE3">
      <w:pPr>
        <w:pStyle w:val="FootnoteText"/>
      </w:pPr>
      <w:r>
        <w:rPr>
          <w:rStyle w:val="FootnoteReference"/>
        </w:rPr>
        <w:footnoteRef/>
      </w:r>
      <w:r>
        <w:t xml:space="preserve"> </w:t>
      </w:r>
      <w:proofErr w:type="spellStart"/>
      <w:r>
        <w:t>EducationSuperHighway</w:t>
      </w:r>
      <w:proofErr w:type="spellEnd"/>
      <w:r>
        <w:t xml:space="preserve">, </w:t>
      </w:r>
      <w:r w:rsidRPr="00A13B6D">
        <w:rPr>
          <w:i/>
        </w:rPr>
        <w:t>2018</w:t>
      </w:r>
      <w:r>
        <w:t xml:space="preserve"> </w:t>
      </w:r>
      <w:r w:rsidRPr="00A13B6D">
        <w:rPr>
          <w:i/>
        </w:rPr>
        <w:t>State of the State</w:t>
      </w:r>
      <w:r>
        <w:rPr>
          <w:i/>
        </w:rPr>
        <w:t>s</w:t>
      </w:r>
      <w:r w:rsidRPr="00A13B6D">
        <w:rPr>
          <w:i/>
        </w:rPr>
        <w:t xml:space="preserve"> Report</w:t>
      </w:r>
      <w:r>
        <w:t xml:space="preserve">, 24 (Oct. 2018), </w:t>
      </w:r>
      <w:r>
        <w:rPr>
          <w:i/>
        </w:rPr>
        <w:t>available at</w:t>
      </w:r>
      <w:r>
        <w:t xml:space="preserve"> </w:t>
      </w:r>
      <w:hyperlink r:id="rId7" w:history="1">
        <w:r w:rsidRPr="00B85CF8">
          <w:rPr>
            <w:rStyle w:val="Hyperlink"/>
          </w:rPr>
          <w:t>https://s3-us-west-1.amazonaws.com/esh-sots-pdfs/2018%20State%20of%20the%20States.pdf</w:t>
        </w:r>
      </w:hyperlink>
      <w:r>
        <w:t xml:space="preserve"> (visited January 2, 2019</w:t>
      </w:r>
      <w:proofErr w:type="gramStart"/>
      <w:r>
        <w:t>)(</w:t>
      </w:r>
      <w:proofErr w:type="gramEnd"/>
      <w:r>
        <w:t>“</w:t>
      </w:r>
      <w:r>
        <w:rPr>
          <w:i/>
        </w:rPr>
        <w:t>State of the States Report</w:t>
      </w:r>
      <w:r>
        <w:t xml:space="preserve">”). </w:t>
      </w:r>
    </w:p>
  </w:footnote>
  <w:footnote w:id="29">
    <w:p w14:paraId="01986873" w14:textId="77777777" w:rsidR="00154AE3" w:rsidRDefault="00154AE3">
      <w:pPr>
        <w:pStyle w:val="FootnoteText"/>
      </w:pPr>
      <w:r>
        <w:rPr>
          <w:rStyle w:val="FootnoteReference"/>
        </w:rPr>
        <w:footnoteRef/>
      </w:r>
      <w:r>
        <w:t xml:space="preserve"> </w:t>
      </w:r>
      <w:r>
        <w:rPr>
          <w:i/>
        </w:rPr>
        <w:t>Id</w:t>
      </w:r>
      <w:r w:rsidRPr="00625677">
        <w:t>.</w:t>
      </w:r>
      <w:r>
        <w:rPr>
          <w:i/>
        </w:rPr>
        <w:t xml:space="preserve"> </w:t>
      </w:r>
      <w:r>
        <w:t xml:space="preserve">at 8, 19. </w:t>
      </w:r>
    </w:p>
  </w:footnote>
  <w:footnote w:id="30">
    <w:p w14:paraId="4EEBBC33" w14:textId="77777777" w:rsidR="00154AE3" w:rsidRDefault="00154AE3">
      <w:pPr>
        <w:pStyle w:val="FootnoteText"/>
      </w:pPr>
      <w:r>
        <w:rPr>
          <w:rStyle w:val="FootnoteReference"/>
        </w:rPr>
        <w:footnoteRef/>
      </w:r>
      <w:r>
        <w:t xml:space="preserve"> </w:t>
      </w:r>
      <w:r>
        <w:rPr>
          <w:i/>
        </w:rPr>
        <w:t>Id</w:t>
      </w:r>
      <w:r w:rsidRPr="00625677">
        <w:t>.</w:t>
      </w:r>
      <w:r>
        <w:rPr>
          <w:i/>
        </w:rPr>
        <w:t xml:space="preserve"> </w:t>
      </w:r>
      <w:r>
        <w:t>at 20.</w:t>
      </w:r>
    </w:p>
  </w:footnote>
  <w:footnote w:id="31">
    <w:p w14:paraId="449FC1C0" w14:textId="77777777" w:rsidR="00154AE3" w:rsidRDefault="00154AE3">
      <w:pPr>
        <w:pStyle w:val="FootnoteText"/>
      </w:pPr>
      <w:r>
        <w:rPr>
          <w:rStyle w:val="FootnoteReference"/>
        </w:rPr>
        <w:footnoteRef/>
      </w:r>
      <w:r>
        <w:t xml:space="preserve"> </w:t>
      </w:r>
      <w:r>
        <w:rPr>
          <w:i/>
        </w:rPr>
        <w:t>Id</w:t>
      </w:r>
      <w:r w:rsidRPr="00A13B6D">
        <w:t>.</w:t>
      </w:r>
      <w:r>
        <w:rPr>
          <w:i/>
        </w:rPr>
        <w:t xml:space="preserve"> </w:t>
      </w:r>
      <w:r>
        <w:t xml:space="preserve">at 18. </w:t>
      </w:r>
    </w:p>
  </w:footnote>
  <w:footnote w:id="32">
    <w:p w14:paraId="3FD8C428" w14:textId="77777777" w:rsidR="00154AE3" w:rsidRDefault="00154AE3">
      <w:pPr>
        <w:pStyle w:val="FootnoteText"/>
      </w:pPr>
      <w:r>
        <w:rPr>
          <w:rStyle w:val="FootnoteReference"/>
        </w:rPr>
        <w:footnoteRef/>
      </w:r>
      <w:r>
        <w:t xml:space="preserve"> </w:t>
      </w:r>
      <w:r>
        <w:rPr>
          <w:i/>
        </w:rPr>
        <w:t>Id</w:t>
      </w:r>
      <w:r w:rsidRPr="00A13B6D">
        <w:t>.</w:t>
      </w:r>
      <w:r>
        <w:rPr>
          <w:i/>
        </w:rPr>
        <w:t xml:space="preserve"> </w:t>
      </w:r>
      <w:r>
        <w:t>at 15.</w:t>
      </w:r>
    </w:p>
  </w:footnote>
  <w:footnote w:id="33">
    <w:p w14:paraId="79EA1176" w14:textId="77777777" w:rsidR="00154AE3" w:rsidRPr="00996754" w:rsidRDefault="00154AE3">
      <w:pPr>
        <w:pStyle w:val="FootnoteText"/>
      </w:pPr>
      <w:r>
        <w:rPr>
          <w:rStyle w:val="FootnoteReference"/>
        </w:rPr>
        <w:footnoteRef/>
      </w:r>
      <w:r>
        <w:t xml:space="preserve"> </w:t>
      </w:r>
      <w:r w:rsidRPr="00353F3B">
        <w:t>John Harrington</w:t>
      </w:r>
      <w:r>
        <w:t>, “</w:t>
      </w:r>
      <w:r w:rsidRPr="00353F3B">
        <w:t>No Funds Yet for WAN Construction in 2018</w:t>
      </w:r>
      <w:r>
        <w:t xml:space="preserve">,” </w:t>
      </w:r>
      <w:r>
        <w:rPr>
          <w:i/>
        </w:rPr>
        <w:t>Funds for Learning</w:t>
      </w:r>
      <w:r>
        <w:t xml:space="preserve">, Aug. 17, 2018, </w:t>
      </w:r>
      <w:r>
        <w:rPr>
          <w:i/>
        </w:rPr>
        <w:t xml:space="preserve">available </w:t>
      </w:r>
      <w:proofErr w:type="spellStart"/>
      <w:r>
        <w:rPr>
          <w:i/>
        </w:rPr>
        <w:t xml:space="preserve">at </w:t>
      </w:r>
      <w:r>
        <w:t xml:space="preserve"> </w:t>
      </w:r>
      <w:hyperlink r:id="rId8" w:history="1">
        <w:r w:rsidRPr="008C6493">
          <w:rPr>
            <w:rStyle w:val="Hyperlink"/>
          </w:rPr>
          <w:t>https://www.fundsforlearning.com/blog/2018/08/no-funds-yet-for-wan-construction-in-2018</w:t>
        </w:r>
      </w:hyperlink>
      <w:r>
        <w:t xml:space="preserve">; </w:t>
      </w:r>
      <w:r>
        <w:rPr>
          <w:i/>
        </w:rPr>
        <w:t>see</w:t>
      </w:r>
      <w:proofErr w:type="spellEnd"/>
      <w:r>
        <w:rPr>
          <w:i/>
        </w:rPr>
        <w:t xml:space="preserve"> also </w:t>
      </w:r>
      <w:r>
        <w:t xml:space="preserve">Letter from Evan </w:t>
      </w:r>
      <w:proofErr w:type="spellStart"/>
      <w:r>
        <w:t>Marwell</w:t>
      </w:r>
      <w:proofErr w:type="spellEnd"/>
      <w:r>
        <w:t xml:space="preserve">, </w:t>
      </w:r>
      <w:proofErr w:type="spellStart"/>
      <w:r>
        <w:t>EducationSuperHighway</w:t>
      </w:r>
      <w:proofErr w:type="spellEnd"/>
      <w:r>
        <w:t xml:space="preserve">, to </w:t>
      </w:r>
      <w:proofErr w:type="spellStart"/>
      <w:r w:rsidRPr="00B27DAB">
        <w:t>Ajit</w:t>
      </w:r>
      <w:proofErr w:type="spellEnd"/>
      <w:r w:rsidRPr="00B27DAB">
        <w:t xml:space="preserve"> </w:t>
      </w:r>
      <w:proofErr w:type="spellStart"/>
      <w:r w:rsidRPr="00B27DAB">
        <w:t>Pai</w:t>
      </w:r>
      <w:proofErr w:type="spellEnd"/>
      <w:r>
        <w:t>,</w:t>
      </w:r>
      <w:r w:rsidRPr="00B27DAB">
        <w:t xml:space="preserve"> Chairman</w:t>
      </w:r>
      <w:r>
        <w:t>,</w:t>
      </w:r>
      <w:r w:rsidRPr="00B27DAB">
        <w:t xml:space="preserve"> Federal Communications Commission</w:t>
      </w:r>
      <w:r>
        <w:t xml:space="preserve">, </w:t>
      </w:r>
      <w:r w:rsidRPr="00B27DAB">
        <w:t>August 30, 2018</w:t>
      </w:r>
      <w:r>
        <w:t xml:space="preserve">, </w:t>
      </w:r>
      <w:r>
        <w:rPr>
          <w:i/>
        </w:rPr>
        <w:t>available at</w:t>
      </w:r>
      <w:r>
        <w:t xml:space="preserve"> </w:t>
      </w:r>
      <w:hyperlink r:id="rId9" w:history="1">
        <w:r w:rsidRPr="00143BD2">
          <w:rPr>
            <w:rStyle w:val="Hyperlink"/>
          </w:rPr>
          <w:t>https://cds.educationsuperhighway.org/wp-content/uploads/2018/08/Letter-to-Chairman-Pai-from-EducationSuperHighway-8-30-2018.pdf</w:t>
        </w:r>
      </w:hyperlink>
      <w:r>
        <w:t xml:space="preserve">. </w:t>
      </w:r>
    </w:p>
  </w:footnote>
  <w:footnote w:id="34">
    <w:p w14:paraId="23ACE164" w14:textId="77777777" w:rsidR="00154AE3" w:rsidRDefault="00154AE3">
      <w:pPr>
        <w:pStyle w:val="FootnoteText"/>
      </w:pPr>
      <w:r>
        <w:rPr>
          <w:rStyle w:val="FootnoteReference"/>
        </w:rPr>
        <w:footnoteRef/>
      </w:r>
      <w:r>
        <w:t xml:space="preserve"> </w:t>
      </w:r>
      <w:proofErr w:type="spellStart"/>
      <w:r>
        <w:t>EducationSuperHighway</w:t>
      </w:r>
      <w:proofErr w:type="spellEnd"/>
      <w:r>
        <w:t xml:space="preserve"> calculates that in 2016 and 2017, a total of $80 million and $137 million in projects were funded, respectively. </w:t>
      </w:r>
    </w:p>
  </w:footnote>
  <w:footnote w:id="35">
    <w:p w14:paraId="3A4F872E" w14:textId="243D9BA4" w:rsidR="00154AE3" w:rsidRDefault="00154AE3" w:rsidP="00364C57">
      <w:pPr>
        <w:pStyle w:val="FootnoteText"/>
      </w:pPr>
      <w:r>
        <w:rPr>
          <w:rStyle w:val="FootnoteReference"/>
        </w:rPr>
        <w:footnoteRef/>
      </w:r>
      <w:r>
        <w:t xml:space="preserve"> In 2016, 28% of </w:t>
      </w:r>
      <w:r w:rsidR="000C51BE">
        <w:t>special construction</w:t>
      </w:r>
      <w:r>
        <w:t xml:space="preserve"> applications were denied (83 of 295 projects), and in 2017, 12% were denied (45 of 363 projects).</w:t>
      </w:r>
    </w:p>
  </w:footnote>
  <w:footnote w:id="36">
    <w:p w14:paraId="1801BEFD" w14:textId="77777777" w:rsidR="00154AE3" w:rsidRDefault="00154AE3">
      <w:pPr>
        <w:pStyle w:val="FootnoteText"/>
      </w:pPr>
      <w:r>
        <w:rPr>
          <w:rStyle w:val="FootnoteReference"/>
        </w:rPr>
        <w:footnoteRef/>
      </w:r>
      <w:r>
        <w:t xml:space="preserve"> </w:t>
      </w:r>
      <w:r w:rsidRPr="008753B9">
        <w:rPr>
          <w:i/>
        </w:rPr>
        <w:t>See</w:t>
      </w:r>
      <w:r>
        <w:t xml:space="preserve"> </w:t>
      </w:r>
      <w:r>
        <w:rPr>
          <w:i/>
        </w:rPr>
        <w:t>Delays and Denials</w:t>
      </w:r>
      <w:r>
        <w:t>.</w:t>
      </w:r>
    </w:p>
  </w:footnote>
  <w:footnote w:id="37">
    <w:p w14:paraId="1608AA22" w14:textId="77777777" w:rsidR="00154AE3" w:rsidRPr="00625677" w:rsidRDefault="00154AE3" w:rsidP="008E3878">
      <w:pPr>
        <w:pStyle w:val="FootnoteText"/>
        <w:rPr>
          <w:highlight w:val="yellow"/>
        </w:rPr>
      </w:pPr>
      <w:r>
        <w:rPr>
          <w:rStyle w:val="FootnoteReference"/>
        </w:rPr>
        <w:footnoteRef/>
      </w:r>
      <w:r>
        <w:t xml:space="preserve"> CENIC, </w:t>
      </w:r>
      <w:r w:rsidRPr="00A13B6D">
        <w:rPr>
          <w:i/>
        </w:rPr>
        <w:t>Request for Review of a Decision of the Universal Service Administrative Co. for CENIC--Corporation for Education Network Initiatives in California</w:t>
      </w:r>
      <w:r>
        <w:t xml:space="preserve">, </w:t>
      </w:r>
      <w:r w:rsidRPr="003A1934">
        <w:t>CC Docket Nos. 02-6, 13-184</w:t>
      </w:r>
      <w:r>
        <w:t xml:space="preserve">, Request for Review of Decision of the Universal Service Administration Company, Schools and Libraries Division by CENIC-Corporation for Education Network Initiatives in California, or in the Alternative, Request for a Waiver of the Commission’s Rules, submitted </w:t>
      </w:r>
      <w:r w:rsidRPr="004A1446">
        <w:t>April 20, 2018</w:t>
      </w:r>
      <w:r>
        <w:t>, 2 (“CENIC Appeal”).</w:t>
      </w:r>
    </w:p>
  </w:footnote>
  <w:footnote w:id="38">
    <w:p w14:paraId="657392FF" w14:textId="77777777" w:rsidR="00154AE3" w:rsidRDefault="00154AE3">
      <w:pPr>
        <w:pStyle w:val="FootnoteText"/>
      </w:pPr>
      <w:r w:rsidRPr="009965B5">
        <w:rPr>
          <w:rStyle w:val="FootnoteReference"/>
        </w:rPr>
        <w:footnoteRef/>
      </w:r>
      <w:r w:rsidRPr="009965B5">
        <w:t xml:space="preserve"> </w:t>
      </w:r>
      <w:r w:rsidRPr="00625677">
        <w:rPr>
          <w:i/>
        </w:rPr>
        <w:t>Id</w:t>
      </w:r>
      <w:r>
        <w:t xml:space="preserve">. at 3-4. </w:t>
      </w:r>
    </w:p>
  </w:footnote>
  <w:footnote w:id="39">
    <w:p w14:paraId="1DDB26C4" w14:textId="77777777" w:rsidR="00154AE3" w:rsidRPr="003F6EB3" w:rsidRDefault="00154AE3" w:rsidP="00A96E60">
      <w:pPr>
        <w:pStyle w:val="FootnoteText"/>
      </w:pPr>
      <w:r w:rsidRPr="003F6EB3">
        <w:rPr>
          <w:rStyle w:val="FootnoteReference"/>
        </w:rPr>
        <w:footnoteRef/>
      </w:r>
      <w:r w:rsidRPr="003F6EB3">
        <w:t xml:space="preserve"> CENIC Appeal at 13. USAC denied funding for the application, which is discussed further below, and CENIC has appealed that decision.</w:t>
      </w:r>
    </w:p>
  </w:footnote>
  <w:footnote w:id="40">
    <w:p w14:paraId="7B6AF6C8" w14:textId="77777777" w:rsidR="00154AE3" w:rsidRPr="003F6EB3" w:rsidRDefault="00154AE3">
      <w:pPr>
        <w:pStyle w:val="FootnoteText"/>
      </w:pPr>
      <w:r w:rsidRPr="003F6EB3">
        <w:rPr>
          <w:rStyle w:val="FootnoteReference"/>
        </w:rPr>
        <w:footnoteRef/>
      </w:r>
      <w:r w:rsidRPr="003F6EB3">
        <w:t xml:space="preserve"> </w:t>
      </w:r>
      <w:r w:rsidRPr="003F6EB3">
        <w:rPr>
          <w:i/>
        </w:rPr>
        <w:t>Second Modernization Order</w:t>
      </w:r>
      <w:r w:rsidRPr="003F6EB3">
        <w:t xml:space="preserve">, 29 FCC </w:t>
      </w:r>
      <w:proofErr w:type="spellStart"/>
      <w:r w:rsidRPr="003F6EB3">
        <w:t>Rcd</w:t>
      </w:r>
      <w:proofErr w:type="spellEnd"/>
      <w:r w:rsidRPr="003F6EB3">
        <w:t xml:space="preserve"> at 15544, 58, &amp; 60, ¶¶ 15, </w:t>
      </w:r>
      <w:r w:rsidRPr="003F6EB3">
        <w:rPr>
          <w:rStyle w:val="PageNumber"/>
        </w:rPr>
        <w:t xml:space="preserve">49, 56, n.107 &amp; n.127. </w:t>
      </w:r>
    </w:p>
  </w:footnote>
  <w:footnote w:id="41">
    <w:p w14:paraId="518A3EBB" w14:textId="77777777" w:rsidR="00154AE3" w:rsidRPr="003F6EB3" w:rsidRDefault="00154AE3">
      <w:pPr>
        <w:pStyle w:val="FootnoteText"/>
      </w:pPr>
      <w:r w:rsidRPr="003F6EB3">
        <w:rPr>
          <w:rStyle w:val="FootnoteReference"/>
        </w:rPr>
        <w:footnoteRef/>
      </w:r>
      <w:r w:rsidRPr="003F6EB3">
        <w:t xml:space="preserve"> USAC, “Additional Discount to Match State/Tribal Funding for Special Construction,” </w:t>
      </w:r>
      <w:r w:rsidRPr="003F6EB3">
        <w:rPr>
          <w:i/>
        </w:rPr>
        <w:t>available at</w:t>
      </w:r>
      <w:r w:rsidRPr="003F6EB3">
        <w:t xml:space="preserve"> </w:t>
      </w:r>
      <w:hyperlink r:id="rId10" w:history="1">
        <w:r w:rsidRPr="003F6EB3">
          <w:rPr>
            <w:rStyle w:val="Hyperlink"/>
          </w:rPr>
          <w:t>https://www.usac.org/sl/applicants/beforeyoubegin/state-matching-provision.aspx</w:t>
        </w:r>
      </w:hyperlink>
      <w:r w:rsidRPr="003F6EB3">
        <w:t xml:space="preserve"> (visited Jan. 4, 2019).</w:t>
      </w:r>
    </w:p>
  </w:footnote>
  <w:footnote w:id="42">
    <w:p w14:paraId="3F957150" w14:textId="77777777" w:rsidR="00154AE3" w:rsidRPr="003F6EB3" w:rsidRDefault="00154AE3">
      <w:pPr>
        <w:pStyle w:val="FootnoteText"/>
      </w:pPr>
      <w:r w:rsidRPr="003F6EB3">
        <w:rPr>
          <w:rStyle w:val="FootnoteReference"/>
        </w:rPr>
        <w:footnoteRef/>
      </w:r>
      <w:r w:rsidRPr="003F6EB3">
        <w:t xml:space="preserve"> Letter from Greg Abbott, Governor of Texas, and Mike </w:t>
      </w:r>
      <w:proofErr w:type="spellStart"/>
      <w:r w:rsidRPr="003F6EB3">
        <w:t>Morath</w:t>
      </w:r>
      <w:proofErr w:type="spellEnd"/>
      <w:r w:rsidRPr="003F6EB3">
        <w:t>, Texas Commissioner of Education, to Catriona Ayer, Acting Vice President, Schools and Libraries Division, USAC, March 15, 2018 (emphasis in original); s</w:t>
      </w:r>
      <w:r w:rsidRPr="003F6EB3">
        <w:rPr>
          <w:i/>
        </w:rPr>
        <w:t xml:space="preserve">ee </w:t>
      </w:r>
      <w:r w:rsidRPr="003F6EB3">
        <w:t>Texas Educational Agency, “</w:t>
      </w:r>
      <w:r w:rsidRPr="003F6EB3">
        <w:rPr>
          <w:i/>
        </w:rPr>
        <w:t>Texas State Match Fund FAQ</w:t>
      </w:r>
      <w:r w:rsidRPr="003F6EB3">
        <w:t xml:space="preserve">,” </w:t>
      </w:r>
      <w:r w:rsidRPr="003F6EB3">
        <w:rPr>
          <w:i/>
        </w:rPr>
        <w:t xml:space="preserve">available at </w:t>
      </w:r>
      <w:hyperlink r:id="rId11" w:anchor="question5" w:history="1">
        <w:r w:rsidRPr="003F6EB3">
          <w:rPr>
            <w:rStyle w:val="Hyperlink"/>
          </w:rPr>
          <w:t>https://tea.texas.gov/Academics/Learning_Support_and_Programs/Technology_Planning/Classroom_Connectivity/Texas_State_Match_Fund_FAQ/#question5</w:t>
        </w:r>
      </w:hyperlink>
      <w:r w:rsidRPr="003F6EB3">
        <w:t xml:space="preserve"> (visited January 2, 2019). </w:t>
      </w:r>
    </w:p>
  </w:footnote>
  <w:footnote w:id="43">
    <w:p w14:paraId="6328DAAF" w14:textId="77777777" w:rsidR="00154AE3" w:rsidRPr="003F6EB3" w:rsidRDefault="00154AE3">
      <w:pPr>
        <w:pStyle w:val="FootnoteText"/>
      </w:pPr>
      <w:r w:rsidRPr="003F6EB3">
        <w:rPr>
          <w:rStyle w:val="FootnoteReference"/>
        </w:rPr>
        <w:footnoteRef/>
      </w:r>
      <w:r w:rsidRPr="003F6EB3">
        <w:t xml:space="preserve"> Letter from Emily </w:t>
      </w:r>
      <w:proofErr w:type="spellStart"/>
      <w:r w:rsidRPr="003F6EB3">
        <w:t>Bastedo</w:t>
      </w:r>
      <w:proofErr w:type="spellEnd"/>
      <w:r w:rsidRPr="003F6EB3">
        <w:t>, Senior Advisor to the Governor of Illinois, to Marlene Dortch, Secretary, Federal Communications Commission, at 3 (October 31, 2018</w:t>
      </w:r>
      <w:proofErr w:type="gramStart"/>
      <w:r w:rsidRPr="003F6EB3">
        <w:t>)(</w:t>
      </w:r>
      <w:proofErr w:type="gramEnd"/>
      <w:r w:rsidRPr="003F6EB3">
        <w:t xml:space="preserve">“Illinois Letter”). </w:t>
      </w:r>
    </w:p>
  </w:footnote>
  <w:footnote w:id="44">
    <w:p w14:paraId="315A5680" w14:textId="77777777" w:rsidR="00154AE3" w:rsidRPr="003F6EB3" w:rsidRDefault="00154AE3">
      <w:pPr>
        <w:pStyle w:val="FootnoteText"/>
      </w:pPr>
      <w:r w:rsidRPr="003F6EB3">
        <w:rPr>
          <w:rStyle w:val="FootnoteReference"/>
        </w:rPr>
        <w:footnoteRef/>
      </w:r>
      <w:r w:rsidRPr="003F6EB3">
        <w:t xml:space="preserve"> Letter from Susanna Martinez, Governor of New Mexico, to Chris Henderson, CEO, USAC (October 25, 2016).</w:t>
      </w:r>
    </w:p>
  </w:footnote>
  <w:footnote w:id="45">
    <w:p w14:paraId="71B527B1" w14:textId="77777777" w:rsidR="00154AE3" w:rsidRDefault="00154AE3">
      <w:pPr>
        <w:pStyle w:val="FootnoteText"/>
      </w:pPr>
      <w:r>
        <w:rPr>
          <w:rStyle w:val="FootnoteReference"/>
        </w:rPr>
        <w:footnoteRef/>
      </w:r>
      <w:r>
        <w:t xml:space="preserve"> 47 C.F.R. </w:t>
      </w:r>
      <w:r w:rsidRPr="00DF146B">
        <w:t>§</w:t>
      </w:r>
      <w:r>
        <w:t xml:space="preserve"> 54.701(a).</w:t>
      </w:r>
    </w:p>
  </w:footnote>
  <w:footnote w:id="46">
    <w:p w14:paraId="4DC09E2C" w14:textId="77777777" w:rsidR="00154AE3" w:rsidRDefault="00154AE3">
      <w:pPr>
        <w:pStyle w:val="FootnoteText"/>
      </w:pPr>
      <w:r>
        <w:rPr>
          <w:rStyle w:val="FootnoteReference"/>
        </w:rPr>
        <w:footnoteRef/>
      </w:r>
      <w:r>
        <w:t xml:space="preserve"> 47 CFR </w:t>
      </w:r>
      <w:r w:rsidRPr="00DF146B">
        <w:t>§</w:t>
      </w:r>
      <w:r>
        <w:t xml:space="preserve"> 54.702(c).</w:t>
      </w:r>
    </w:p>
  </w:footnote>
  <w:footnote w:id="47">
    <w:p w14:paraId="7180D4F9" w14:textId="77777777" w:rsidR="00154AE3" w:rsidRDefault="00154AE3">
      <w:pPr>
        <w:pStyle w:val="FootnoteText"/>
      </w:pPr>
      <w:r>
        <w:rPr>
          <w:rStyle w:val="FootnoteReference"/>
        </w:rPr>
        <w:footnoteRef/>
      </w:r>
      <w:r>
        <w:t xml:space="preserve"> 47 CFR </w:t>
      </w:r>
      <w:r w:rsidRPr="00DF146B">
        <w:t>§</w:t>
      </w:r>
      <w:r>
        <w:t xml:space="preserve"> 54.702(c</w:t>
      </w:r>
      <w:proofErr w:type="gramStart"/>
      <w:r>
        <w:t>)(</w:t>
      </w:r>
      <w:proofErr w:type="gramEnd"/>
      <w:r>
        <w:t>emphasis added).</w:t>
      </w:r>
    </w:p>
  </w:footnote>
  <w:footnote w:id="48">
    <w:p w14:paraId="7677503C" w14:textId="77777777" w:rsidR="00154AE3" w:rsidRDefault="00154AE3">
      <w:pPr>
        <w:pStyle w:val="FootnoteText"/>
      </w:pPr>
      <w:r>
        <w:rPr>
          <w:rStyle w:val="FootnoteReference"/>
        </w:rPr>
        <w:footnoteRef/>
      </w:r>
      <w:r>
        <w:t xml:space="preserve"> FCC, “Summary of the E-rate Modernization Order,” </w:t>
      </w:r>
      <w:r>
        <w:rPr>
          <w:i/>
        </w:rPr>
        <w:t>available at</w:t>
      </w:r>
      <w:r w:rsidRPr="000938C4">
        <w:t xml:space="preserve"> </w:t>
      </w:r>
      <w:hyperlink r:id="rId12" w:history="1">
        <w:r w:rsidRPr="009A63D5">
          <w:rPr>
            <w:rStyle w:val="Hyperlink"/>
          </w:rPr>
          <w:t>https://www.fcc.gov/general/summary-</w:t>
        </w:r>
        <w:r>
          <w:rPr>
            <w:rStyle w:val="Hyperlink"/>
          </w:rPr>
          <w:t>E-rate</w:t>
        </w:r>
        <w:r w:rsidRPr="009A63D5">
          <w:rPr>
            <w:rStyle w:val="Hyperlink"/>
          </w:rPr>
          <w:t>-modernization-order</w:t>
        </w:r>
      </w:hyperlink>
      <w:r>
        <w:t xml:space="preserve"> (visited January 2, 2019). </w:t>
      </w:r>
    </w:p>
  </w:footnote>
  <w:footnote w:id="49">
    <w:p w14:paraId="5A4E10B2" w14:textId="77777777" w:rsidR="00154AE3" w:rsidRDefault="00154AE3">
      <w:pPr>
        <w:pStyle w:val="FootnoteText"/>
      </w:pPr>
      <w:r>
        <w:rPr>
          <w:rStyle w:val="FootnoteReference"/>
        </w:rPr>
        <w:footnoteRef/>
      </w:r>
      <w:r>
        <w:t xml:space="preserve"> </w:t>
      </w:r>
      <w:proofErr w:type="spellStart"/>
      <w:r w:rsidRPr="003510E9">
        <w:t>EducationSuperHighway</w:t>
      </w:r>
      <w:proofErr w:type="spellEnd"/>
      <w:r w:rsidRPr="003510E9">
        <w:t>, “Accelerating E-rate Fiber Construction Upgrades,”</w:t>
      </w:r>
      <w:r>
        <w:t xml:space="preserve"> 5.</w:t>
      </w:r>
    </w:p>
  </w:footnote>
  <w:footnote w:id="50">
    <w:p w14:paraId="7FE36316" w14:textId="129CB35C" w:rsidR="00154AE3" w:rsidRDefault="00154AE3">
      <w:pPr>
        <w:pStyle w:val="FootnoteText"/>
      </w:pPr>
      <w:r>
        <w:rPr>
          <w:rStyle w:val="FootnoteReference"/>
        </w:rPr>
        <w:footnoteRef/>
      </w:r>
      <w:r>
        <w:t xml:space="preserve"> </w:t>
      </w:r>
      <w:r w:rsidR="00C54AEC" w:rsidRPr="00165BEE">
        <w:rPr>
          <w:i/>
        </w:rPr>
        <w:t>See</w:t>
      </w:r>
      <w:r w:rsidR="00C54AEC">
        <w:rPr>
          <w:i/>
        </w:rPr>
        <w:t xml:space="preserve"> supra</w:t>
      </w:r>
      <w:r w:rsidR="00C54AEC">
        <w:t xml:space="preserve"> f</w:t>
      </w:r>
      <w:r>
        <w:t>n. 6</w:t>
      </w:r>
      <w:r w:rsidR="00C54AEC">
        <w:rPr>
          <w:i/>
        </w:rPr>
        <w:t xml:space="preserve"> </w:t>
      </w:r>
      <w:r w:rsidRPr="00165BEE">
        <w:t>and accompanying text</w:t>
      </w:r>
      <w:r>
        <w:t xml:space="preserve">; </w:t>
      </w:r>
      <w:r w:rsidRPr="00625677">
        <w:rPr>
          <w:i/>
        </w:rPr>
        <w:t>see also</w:t>
      </w:r>
      <w:r>
        <w:t xml:space="preserve"> </w:t>
      </w:r>
      <w:proofErr w:type="spellStart"/>
      <w:r>
        <w:t>EducationSuperHighway</w:t>
      </w:r>
      <w:proofErr w:type="spellEnd"/>
      <w:r>
        <w:t xml:space="preserve">, “DelaysAndDenials.Org” (This website was launched specifically to identify the extent of this problem and develop solutions to it). </w:t>
      </w:r>
    </w:p>
  </w:footnote>
  <w:footnote w:id="51">
    <w:p w14:paraId="515D4ECF" w14:textId="77777777" w:rsidR="00154AE3" w:rsidRDefault="00154AE3">
      <w:pPr>
        <w:pStyle w:val="FootnoteText"/>
      </w:pPr>
      <w:r>
        <w:rPr>
          <w:rStyle w:val="FootnoteReference"/>
        </w:rPr>
        <w:footnoteRef/>
      </w:r>
      <w:r>
        <w:t xml:space="preserve"> </w:t>
      </w:r>
      <w:r w:rsidRPr="008753B9">
        <w:rPr>
          <w:i/>
        </w:rPr>
        <w:t>See</w:t>
      </w:r>
      <w:r>
        <w:t xml:space="preserve"> </w:t>
      </w:r>
      <w:r>
        <w:rPr>
          <w:i/>
        </w:rPr>
        <w:t>Delays and Denials</w:t>
      </w:r>
      <w:r>
        <w:t>.</w:t>
      </w:r>
    </w:p>
  </w:footnote>
  <w:footnote w:id="52">
    <w:p w14:paraId="03A532F2" w14:textId="77777777" w:rsidR="00154AE3" w:rsidRDefault="00154AE3" w:rsidP="00960B60">
      <w:pPr>
        <w:pStyle w:val="FootnoteText"/>
      </w:pPr>
      <w:r>
        <w:rPr>
          <w:rStyle w:val="FootnoteReference"/>
        </w:rPr>
        <w:footnoteRef/>
      </w:r>
      <w:r>
        <w:t xml:space="preserve"> </w:t>
      </w:r>
      <w:r>
        <w:rPr>
          <w:i/>
        </w:rPr>
        <w:t xml:space="preserve">Amortization Temporary Waiver </w:t>
      </w:r>
      <w:r w:rsidRPr="00F93E27">
        <w:rPr>
          <w:i/>
        </w:rPr>
        <w:t>Order</w:t>
      </w:r>
      <w:r>
        <w:rPr>
          <w:i/>
        </w:rPr>
        <w:t xml:space="preserve"> and NPRN</w:t>
      </w:r>
      <w:r>
        <w:t xml:space="preserve">, </w:t>
      </w:r>
      <w:r w:rsidRPr="0035117A">
        <w:t>WC Docket No</w:t>
      </w:r>
      <w:r>
        <w:t>s</w:t>
      </w:r>
      <w:r w:rsidRPr="0035117A">
        <w:t>. 19-2</w:t>
      </w:r>
      <w:r>
        <w:t xml:space="preserve">, </w:t>
      </w:r>
      <w:r w:rsidRPr="005714CE">
        <w:t>13-184</w:t>
      </w:r>
      <w:r>
        <w:t xml:space="preserve">, ¶ 13. </w:t>
      </w:r>
    </w:p>
  </w:footnote>
  <w:footnote w:id="53">
    <w:p w14:paraId="73A015EC" w14:textId="77777777" w:rsidR="00154AE3" w:rsidRDefault="00154AE3">
      <w:pPr>
        <w:pStyle w:val="FootnoteText"/>
      </w:pPr>
      <w:r>
        <w:rPr>
          <w:rStyle w:val="FootnoteReference"/>
        </w:rPr>
        <w:footnoteRef/>
      </w:r>
      <w:r>
        <w:t xml:space="preserve"> 47 C.F.R. </w:t>
      </w:r>
      <w:r w:rsidRPr="0042752A">
        <w:t>§</w:t>
      </w:r>
      <w:r>
        <w:t xml:space="preserve"> </w:t>
      </w:r>
      <w:r w:rsidRPr="00284515">
        <w:t>511.</w:t>
      </w:r>
    </w:p>
  </w:footnote>
  <w:footnote w:id="54">
    <w:p w14:paraId="5F75FEC9" w14:textId="77777777" w:rsidR="00154AE3" w:rsidRDefault="00154AE3">
      <w:pPr>
        <w:pStyle w:val="FootnoteText"/>
      </w:pPr>
      <w:r>
        <w:rPr>
          <w:rStyle w:val="FootnoteReference"/>
        </w:rPr>
        <w:footnoteRef/>
      </w:r>
      <w:r>
        <w:t xml:space="preserve"> 47 C.F.R. </w:t>
      </w:r>
      <w:r w:rsidRPr="0042752A">
        <w:t>§</w:t>
      </w:r>
      <w:r>
        <w:t xml:space="preserve"> </w:t>
      </w:r>
      <w:r w:rsidRPr="0042752A">
        <w:t>54.511(a)</w:t>
      </w:r>
      <w:r>
        <w:t xml:space="preserve">. </w:t>
      </w:r>
    </w:p>
  </w:footnote>
  <w:footnote w:id="55">
    <w:p w14:paraId="4CBC4F31" w14:textId="77777777" w:rsidR="00154AE3" w:rsidRDefault="00154AE3">
      <w:pPr>
        <w:pStyle w:val="FootnoteText"/>
      </w:pPr>
      <w:r>
        <w:rPr>
          <w:rStyle w:val="FootnoteReference"/>
        </w:rPr>
        <w:footnoteRef/>
      </w:r>
      <w:r>
        <w:t xml:space="preserve"> Letter from John Windhausen, Jr., Executive Director, SHLB, to Marlene Dortch, Secretary, Federal Communications Commission, at 2 (Jan. 24, 2018)(“SHLB Letter”).</w:t>
      </w:r>
    </w:p>
  </w:footnote>
  <w:footnote w:id="56">
    <w:p w14:paraId="6F36F366" w14:textId="77777777" w:rsidR="00154AE3" w:rsidRDefault="00154AE3" w:rsidP="00812401">
      <w:pPr>
        <w:pStyle w:val="FootnoteText"/>
      </w:pPr>
      <w:r>
        <w:rPr>
          <w:rStyle w:val="FootnoteReference"/>
        </w:rPr>
        <w:footnoteRef/>
      </w:r>
      <w:r>
        <w:t xml:space="preserve"> </w:t>
      </w:r>
      <w:r w:rsidRPr="00625677">
        <w:rPr>
          <w:i/>
        </w:rPr>
        <w:t>Second Modernization Order</w:t>
      </w:r>
      <w:r w:rsidRPr="009C5F1B">
        <w:t xml:space="preserve">, 29 FCC </w:t>
      </w:r>
      <w:proofErr w:type="spellStart"/>
      <w:r w:rsidRPr="009C5F1B">
        <w:t>Rcd</w:t>
      </w:r>
      <w:proofErr w:type="spellEnd"/>
      <w:r w:rsidRPr="009C5F1B">
        <w:t xml:space="preserve"> at</w:t>
      </w:r>
      <w:r>
        <w:t xml:space="preserve"> 15546-47, ¶ 20 &amp; n.38.  </w:t>
      </w:r>
    </w:p>
  </w:footnote>
  <w:footnote w:id="57">
    <w:p w14:paraId="2A247FC6" w14:textId="77777777" w:rsidR="00154AE3" w:rsidRDefault="00154AE3">
      <w:pPr>
        <w:pStyle w:val="FootnoteText"/>
      </w:pPr>
      <w:r>
        <w:rPr>
          <w:rStyle w:val="FootnoteReference"/>
        </w:rPr>
        <w:footnoteRef/>
      </w:r>
      <w:r>
        <w:t xml:space="preserve"> </w:t>
      </w:r>
      <w:r w:rsidRPr="00CB0BB2">
        <w:rPr>
          <w:i/>
        </w:rPr>
        <w:t>Id</w:t>
      </w:r>
      <w:r>
        <w:t>. at</w:t>
      </w:r>
      <w:r w:rsidRPr="00483ECB">
        <w:t xml:space="preserve"> ¶ 20</w:t>
      </w:r>
      <w:r>
        <w:t>.</w:t>
      </w:r>
    </w:p>
  </w:footnote>
  <w:footnote w:id="58">
    <w:p w14:paraId="5546A22D" w14:textId="77777777" w:rsidR="00154AE3" w:rsidRDefault="00154AE3">
      <w:pPr>
        <w:pStyle w:val="FootnoteText"/>
      </w:pPr>
      <w:r>
        <w:rPr>
          <w:rStyle w:val="FootnoteReference"/>
        </w:rPr>
        <w:footnoteRef/>
      </w:r>
      <w:r>
        <w:t xml:space="preserve"> See e.g., </w:t>
      </w:r>
      <w:r>
        <w:rPr>
          <w:i/>
        </w:rPr>
        <w:t>i</w:t>
      </w:r>
      <w:r w:rsidRPr="00A13B6D">
        <w:rPr>
          <w:i/>
        </w:rPr>
        <w:t>d</w:t>
      </w:r>
      <w:r>
        <w:t xml:space="preserve">. </w:t>
      </w:r>
      <w:proofErr w:type="gramStart"/>
      <w:r>
        <w:t>at</w:t>
      </w:r>
      <w:proofErr w:type="gramEnd"/>
      <w:r>
        <w:t xml:space="preserve"> 15557,</w:t>
      </w:r>
      <w:r w:rsidRPr="00483ECB">
        <w:t xml:space="preserve"> ¶ 48</w:t>
      </w:r>
      <w:r>
        <w:t>.</w:t>
      </w:r>
    </w:p>
  </w:footnote>
  <w:footnote w:id="59">
    <w:p w14:paraId="11C86A9F" w14:textId="77777777" w:rsidR="00154AE3" w:rsidRDefault="00154AE3">
      <w:pPr>
        <w:pStyle w:val="FootnoteText"/>
      </w:pPr>
      <w:r>
        <w:rPr>
          <w:rStyle w:val="FootnoteReference"/>
        </w:rPr>
        <w:footnoteRef/>
      </w:r>
      <w:r>
        <w:t xml:space="preserve"> </w:t>
      </w:r>
      <w:r w:rsidRPr="00A13B6D">
        <w:rPr>
          <w:i/>
        </w:rPr>
        <w:t>Id</w:t>
      </w:r>
      <w:r>
        <w:t>. at 15558,</w:t>
      </w:r>
      <w:r w:rsidRPr="00483ECB">
        <w:t xml:space="preserve"> ¶ </w:t>
      </w:r>
      <w:r>
        <w:t xml:space="preserve">51 (emphasis added). </w:t>
      </w:r>
    </w:p>
  </w:footnote>
  <w:footnote w:id="60">
    <w:p w14:paraId="50AF1A2C" w14:textId="77777777" w:rsidR="00154AE3" w:rsidRDefault="00154AE3">
      <w:pPr>
        <w:pStyle w:val="FootnoteText"/>
      </w:pPr>
      <w:r>
        <w:rPr>
          <w:rStyle w:val="FootnoteReference"/>
        </w:rPr>
        <w:footnoteRef/>
      </w:r>
      <w:r>
        <w:t xml:space="preserve"> </w:t>
      </w:r>
      <w:r w:rsidRPr="00A13B6D">
        <w:rPr>
          <w:i/>
        </w:rPr>
        <w:t>Id</w:t>
      </w:r>
      <w:r>
        <w:t>. at 15569-70,</w:t>
      </w:r>
      <w:r w:rsidRPr="00483ECB">
        <w:t xml:space="preserve"> </w:t>
      </w:r>
      <w:r>
        <w:t>¶ 77</w:t>
      </w:r>
      <w:r w:rsidRPr="00483ECB">
        <w:t>.</w:t>
      </w:r>
    </w:p>
  </w:footnote>
  <w:footnote w:id="61">
    <w:p w14:paraId="688BDD9A" w14:textId="77777777" w:rsidR="00154AE3" w:rsidRDefault="00154AE3">
      <w:pPr>
        <w:pStyle w:val="FootnoteText"/>
      </w:pPr>
      <w:r>
        <w:rPr>
          <w:rStyle w:val="FootnoteReference"/>
        </w:rPr>
        <w:footnoteRef/>
      </w:r>
      <w:r>
        <w:t xml:space="preserve"> </w:t>
      </w:r>
      <w:r w:rsidRPr="00E23F77">
        <w:rPr>
          <w:i/>
        </w:rPr>
        <w:t>Request for Review by the Department of Education of the State of Tennessee of the Decision of the Universal Service Administrator</w:t>
      </w:r>
      <w:r>
        <w:t xml:space="preserve">, CC Docket No. 96-45, 97-21, Order, 14 </w:t>
      </w:r>
      <w:r w:rsidRPr="00E23F77">
        <w:t xml:space="preserve">FCC </w:t>
      </w:r>
      <w:proofErr w:type="spellStart"/>
      <w:r w:rsidRPr="00E23F77">
        <w:t>Rcd</w:t>
      </w:r>
      <w:proofErr w:type="spellEnd"/>
      <w:r>
        <w:t xml:space="preserve"> 13734, 39-40, ¶ 10 (Aug. 11, 1999). </w:t>
      </w:r>
    </w:p>
  </w:footnote>
  <w:footnote w:id="62">
    <w:p w14:paraId="58C1520F" w14:textId="77777777" w:rsidR="00154AE3" w:rsidRDefault="00154AE3">
      <w:pPr>
        <w:pStyle w:val="FootnoteText"/>
      </w:pPr>
      <w:r>
        <w:rPr>
          <w:rStyle w:val="FootnoteReference"/>
        </w:rPr>
        <w:footnoteRef/>
      </w:r>
      <w:r>
        <w:t xml:space="preserve"> </w:t>
      </w:r>
      <w:r w:rsidRPr="00A13B6D">
        <w:rPr>
          <w:i/>
        </w:rPr>
        <w:t>Id</w:t>
      </w:r>
      <w:r>
        <w:t>. at 15589,</w:t>
      </w:r>
      <w:r w:rsidRPr="00483ECB">
        <w:t xml:space="preserve"> </w:t>
      </w:r>
      <w:r>
        <w:t xml:space="preserve">¶ 127. </w:t>
      </w:r>
    </w:p>
  </w:footnote>
  <w:footnote w:id="63">
    <w:p w14:paraId="0B75DF9F" w14:textId="19C29148" w:rsidR="00154AE3" w:rsidRDefault="00154AE3" w:rsidP="00AB0FFB">
      <w:pPr>
        <w:pStyle w:val="FootnoteText"/>
      </w:pPr>
      <w:r>
        <w:rPr>
          <w:rStyle w:val="FootnoteReference"/>
        </w:rPr>
        <w:footnoteRef/>
      </w:r>
      <w:r>
        <w:t xml:space="preserve"> USAC has not publicly announced that it is using a cost model or other methodology to assess </w:t>
      </w:r>
      <w:r w:rsidR="000C51BE">
        <w:t>special construction</w:t>
      </w:r>
      <w:r>
        <w:t xml:space="preserve"> costs, which is a substantial part of the problem, but it has not publicly disputed that notion either. </w:t>
      </w:r>
    </w:p>
  </w:footnote>
  <w:footnote w:id="64">
    <w:p w14:paraId="441085E4" w14:textId="7C7F80DB" w:rsidR="00154AE3" w:rsidRDefault="00154AE3" w:rsidP="0000177F">
      <w:pPr>
        <w:pStyle w:val="FootnoteText"/>
      </w:pPr>
      <w:r>
        <w:rPr>
          <w:rStyle w:val="FootnoteReference"/>
        </w:rPr>
        <w:footnoteRef/>
      </w:r>
      <w:r>
        <w:t xml:space="preserve"> For example, USAC in 2016 denied four applications from Seattle’s public schools for r</w:t>
      </w:r>
      <w:r w:rsidRPr="00CB7173">
        <w:t>enovated school overhead entrance facilit</w:t>
      </w:r>
      <w:r>
        <w:t>ies and related trenching on the basis that the Form 470 submission for “e</w:t>
      </w:r>
      <w:r w:rsidRPr="00736033">
        <w:t>ntrance facility fiber and trenching for new or renovated schools</w:t>
      </w:r>
      <w:r>
        <w:t>” was substantially different from “</w:t>
      </w:r>
      <w:r w:rsidR="000C51BE">
        <w:t>special construction</w:t>
      </w:r>
      <w:r>
        <w:t xml:space="preserve">” listed on Form 471 and was otherwise no longer supported. </w:t>
      </w:r>
      <w:r w:rsidRPr="001020D1">
        <w:t>City of Seattle-Department of Information Technology</w:t>
      </w:r>
      <w:r>
        <w:t xml:space="preserve">, Special Construction Application, FRN 1699116941, 1699117514, 1699117564, and 1699125364 (2016). </w:t>
      </w:r>
      <w:proofErr w:type="spellStart"/>
      <w:r w:rsidRPr="00172456">
        <w:t>EducationSuperHighway</w:t>
      </w:r>
      <w:proofErr w:type="spellEnd"/>
      <w:r w:rsidRPr="00172456">
        <w:t xml:space="preserve"> has assisted another organization with a similar filing for a substantially similar project at another campus that was approved.</w:t>
      </w:r>
      <w:r>
        <w:t xml:space="preserve"> </w:t>
      </w:r>
    </w:p>
  </w:footnote>
  <w:footnote w:id="65">
    <w:p w14:paraId="48ED5F55" w14:textId="77777777" w:rsidR="00154AE3" w:rsidRDefault="00154AE3">
      <w:pPr>
        <w:pStyle w:val="FootnoteText"/>
      </w:pPr>
      <w:r>
        <w:rPr>
          <w:rStyle w:val="FootnoteReference"/>
        </w:rPr>
        <w:footnoteRef/>
      </w:r>
      <w:r>
        <w:t xml:space="preserve"> </w:t>
      </w:r>
      <w:r w:rsidRPr="008753B9">
        <w:rPr>
          <w:i/>
        </w:rPr>
        <w:t>See</w:t>
      </w:r>
      <w:r>
        <w:t xml:space="preserve"> </w:t>
      </w:r>
      <w:r>
        <w:rPr>
          <w:i/>
        </w:rPr>
        <w:t>Delays and Denials</w:t>
      </w:r>
      <w:r>
        <w:t>.</w:t>
      </w:r>
    </w:p>
  </w:footnote>
  <w:footnote w:id="66">
    <w:p w14:paraId="556F221C" w14:textId="77777777" w:rsidR="00154AE3" w:rsidRPr="00156F4F" w:rsidRDefault="00154AE3">
      <w:pPr>
        <w:pStyle w:val="FootnoteText"/>
      </w:pPr>
      <w:r>
        <w:rPr>
          <w:rStyle w:val="FootnoteReference"/>
        </w:rPr>
        <w:footnoteRef/>
      </w:r>
      <w:r>
        <w:t xml:space="preserve"> USAC Response to</w:t>
      </w:r>
      <w:r w:rsidRPr="005D4F24">
        <w:t xml:space="preserve"> Chapel Hill-Carrboro City</w:t>
      </w:r>
      <w:r>
        <w:t xml:space="preserve"> School</w:t>
      </w:r>
      <w:r w:rsidRPr="005D4F24">
        <w:t xml:space="preserve"> Dist</w:t>
      </w:r>
      <w:r>
        <w:t xml:space="preserve">rict, NC, Application No. </w:t>
      </w:r>
      <w:r w:rsidRPr="006F7597">
        <w:t>161052451</w:t>
      </w:r>
      <w:r>
        <w:t>, Application Date May 26, 016.; USAC Response to</w:t>
      </w:r>
      <w:r w:rsidRPr="005D4F24">
        <w:t xml:space="preserve"> </w:t>
      </w:r>
      <w:r w:rsidRPr="00621EB2">
        <w:t>Atwater Elementary School District</w:t>
      </w:r>
      <w:r>
        <w:t xml:space="preserve">, CA, Application No. </w:t>
      </w:r>
      <w:r w:rsidRPr="00265AF7">
        <w:t>161036163</w:t>
      </w:r>
      <w:r>
        <w:t>, Application Date May 20, 2016.</w:t>
      </w:r>
    </w:p>
  </w:footnote>
  <w:footnote w:id="67">
    <w:p w14:paraId="237C6B08" w14:textId="77777777" w:rsidR="00154AE3" w:rsidRDefault="00154AE3">
      <w:pPr>
        <w:pStyle w:val="FootnoteText"/>
      </w:pPr>
      <w:r w:rsidRPr="00156F4F">
        <w:rPr>
          <w:rStyle w:val="FootnoteReference"/>
        </w:rPr>
        <w:footnoteRef/>
      </w:r>
      <w:r>
        <w:t xml:space="preserve"> USAC Response to </w:t>
      </w:r>
      <w:r w:rsidRPr="00C3526E">
        <w:t xml:space="preserve">Hardin </w:t>
      </w:r>
      <w:r>
        <w:t>Independent</w:t>
      </w:r>
      <w:r w:rsidRPr="00C3526E">
        <w:t xml:space="preserve"> School District</w:t>
      </w:r>
      <w:r>
        <w:t xml:space="preserve">, TX, </w:t>
      </w:r>
      <w:r w:rsidRPr="00782AEF">
        <w:t>Application No.</w:t>
      </w:r>
      <w:r>
        <w:t xml:space="preserve"> </w:t>
      </w:r>
      <w:r w:rsidRPr="008D0BF4">
        <w:t>171030666</w:t>
      </w:r>
      <w:r w:rsidRPr="00782AEF">
        <w:t>, Application Date</w:t>
      </w:r>
      <w:r>
        <w:t xml:space="preserve"> May 11, 2017; USAC Response to</w:t>
      </w:r>
      <w:r w:rsidRPr="005D4F24">
        <w:t xml:space="preserve"> </w:t>
      </w:r>
      <w:r w:rsidRPr="00782AEF">
        <w:t>Maine Cons</w:t>
      </w:r>
      <w:r>
        <w:t>.</w:t>
      </w:r>
      <w:r w:rsidRPr="00782AEF">
        <w:t xml:space="preserve"> School District 10</w:t>
      </w:r>
      <w:r>
        <w:t xml:space="preserve">, </w:t>
      </w:r>
      <w:r w:rsidRPr="00782AEF">
        <w:t>Application No.</w:t>
      </w:r>
      <w:r>
        <w:t xml:space="preserve"> </w:t>
      </w:r>
      <w:r w:rsidRPr="00901E99">
        <w:t>171020899</w:t>
      </w:r>
      <w:r w:rsidRPr="00782AEF">
        <w:t>, Application Date</w:t>
      </w:r>
      <w:r>
        <w:t xml:space="preserve"> March 20, 2017.</w:t>
      </w:r>
    </w:p>
  </w:footnote>
  <w:footnote w:id="68">
    <w:p w14:paraId="7722EA18" w14:textId="77777777" w:rsidR="00154AE3" w:rsidRDefault="00154AE3">
      <w:pPr>
        <w:pStyle w:val="FootnoteText"/>
      </w:pPr>
      <w:r>
        <w:rPr>
          <w:rStyle w:val="FootnoteReference"/>
        </w:rPr>
        <w:footnoteRef/>
      </w:r>
      <w:r>
        <w:t xml:space="preserve"> </w:t>
      </w:r>
      <w:r w:rsidRPr="00BA6298">
        <w:t xml:space="preserve">Connect America Fund, </w:t>
      </w:r>
      <w:proofErr w:type="gramStart"/>
      <w:r w:rsidRPr="00625677">
        <w:t>et</w:t>
      </w:r>
      <w:proofErr w:type="gramEnd"/>
      <w:r w:rsidRPr="00625677">
        <w:t xml:space="preserve">. al., </w:t>
      </w:r>
      <w:r w:rsidRPr="00BA6298">
        <w:t>WC Docket N. 10-90,</w:t>
      </w:r>
      <w:r w:rsidRPr="00625677">
        <w:t xml:space="preserve"> </w:t>
      </w:r>
      <w:proofErr w:type="gramStart"/>
      <w:r w:rsidRPr="00625677">
        <w:t>et</w:t>
      </w:r>
      <w:proofErr w:type="gramEnd"/>
      <w:r w:rsidRPr="00625677">
        <w:t>. al.,</w:t>
      </w:r>
      <w:r w:rsidRPr="00BA6298">
        <w:t xml:space="preserve"> Report</w:t>
      </w:r>
      <w:r>
        <w:t xml:space="preserve"> and Order, Further Notice of Proposed Rulemaking, and Order of Reconsideration (not yet printed in FCC rec), at </w:t>
      </w:r>
      <w:r w:rsidRPr="004E0870">
        <w:t>¶¶</w:t>
      </w:r>
      <w:r>
        <w:t xml:space="preserve"> 6-11 (Dec. 13, 2018)(“</w:t>
      </w:r>
      <w:r w:rsidRPr="00625677">
        <w:rPr>
          <w:i/>
        </w:rPr>
        <w:t>A-CAM Revision &amp; A-CAM II Order</w:t>
      </w:r>
      <w:r>
        <w:t xml:space="preserve">”); </w:t>
      </w:r>
      <w:r w:rsidRPr="007B77EF">
        <w:t>Connect America Fund, WC Docket No. 10-90</w:t>
      </w:r>
      <w:r>
        <w:t xml:space="preserve">, Report and Order, Declaratory Ruling, Order, Memorandum Opinion and Order, Seventh Order on Reconsideration, and Further Notice of Proposed Rulemaking, </w:t>
      </w:r>
      <w:r w:rsidRPr="00A96E60">
        <w:t xml:space="preserve">Second Report and Order and Order on Reconsideration, </w:t>
      </w:r>
      <w:r w:rsidRPr="00722C27">
        <w:t xml:space="preserve">29 FCC </w:t>
      </w:r>
      <w:proofErr w:type="spellStart"/>
      <w:r w:rsidRPr="00722C27">
        <w:t>Rcd</w:t>
      </w:r>
      <w:proofErr w:type="spellEnd"/>
      <w:r w:rsidRPr="00722C27">
        <w:t xml:space="preserve"> </w:t>
      </w:r>
      <w:r>
        <w:t>7051, 7057, ¶ 20</w:t>
      </w:r>
      <w:r w:rsidRPr="007B77EF">
        <w:t xml:space="preserve"> (April 2014).</w:t>
      </w:r>
      <w:r>
        <w:t xml:space="preserve"> </w:t>
      </w:r>
    </w:p>
  </w:footnote>
  <w:footnote w:id="69">
    <w:p w14:paraId="117B92E8" w14:textId="77777777" w:rsidR="00154AE3" w:rsidRDefault="00154AE3">
      <w:pPr>
        <w:pStyle w:val="FootnoteText"/>
      </w:pPr>
      <w:r>
        <w:rPr>
          <w:rStyle w:val="FootnoteReference"/>
        </w:rPr>
        <w:footnoteRef/>
      </w:r>
      <w:r>
        <w:t xml:space="preserve"> </w:t>
      </w:r>
      <w:r w:rsidRPr="00890FD5">
        <w:rPr>
          <w:i/>
        </w:rPr>
        <w:t>See</w:t>
      </w:r>
      <w:r>
        <w:t>,</w:t>
      </w:r>
      <w:r w:rsidRPr="00890FD5">
        <w:rPr>
          <w:i/>
        </w:rPr>
        <w:t xml:space="preserve"> e.g</w:t>
      </w:r>
      <w:r>
        <w:t>., Connect America Fund High-Cost Universal Service Support,</w:t>
      </w:r>
      <w:r w:rsidRPr="00AC6C6C">
        <w:t xml:space="preserve"> </w:t>
      </w:r>
      <w:r>
        <w:t xml:space="preserve">FCC </w:t>
      </w:r>
      <w:proofErr w:type="spellStart"/>
      <w:r>
        <w:t>Rcd</w:t>
      </w:r>
      <w:proofErr w:type="spellEnd"/>
      <w:r>
        <w:t xml:space="preserve"> at 5304-05, ¶¶ 7-9. </w:t>
      </w:r>
    </w:p>
  </w:footnote>
  <w:footnote w:id="70">
    <w:p w14:paraId="4CBF8F3E" w14:textId="77777777" w:rsidR="00154AE3" w:rsidRDefault="00154AE3" w:rsidP="0078650A">
      <w:pPr>
        <w:pStyle w:val="FootnoteText"/>
      </w:pPr>
      <w:r>
        <w:rPr>
          <w:rStyle w:val="FootnoteReference"/>
        </w:rPr>
        <w:footnoteRef/>
      </w:r>
      <w:r>
        <w:t xml:space="preserve"> Administrative Procedure Act, 5 U.S.C. </w:t>
      </w:r>
      <w:r w:rsidRPr="005D1735">
        <w:t>§</w:t>
      </w:r>
      <w:r>
        <w:t xml:space="preserve"> 553(c</w:t>
      </w:r>
      <w:proofErr w:type="gramStart"/>
      <w:r>
        <w:t>)(</w:t>
      </w:r>
      <w:proofErr w:type="gramEnd"/>
      <w:r>
        <w:t xml:space="preserve">as applied to rulemakings); </w:t>
      </w:r>
      <w:r w:rsidRPr="00890FD5">
        <w:rPr>
          <w:i/>
        </w:rPr>
        <w:t>see</w:t>
      </w:r>
      <w:r>
        <w:t xml:space="preserve"> </w:t>
      </w:r>
      <w:r w:rsidRPr="00625677">
        <w:rPr>
          <w:i/>
        </w:rPr>
        <w:t xml:space="preserve">Fed. Express Corp. v. </w:t>
      </w:r>
      <w:proofErr w:type="spellStart"/>
      <w:r w:rsidRPr="00625677">
        <w:rPr>
          <w:i/>
        </w:rPr>
        <w:t>Mineta</w:t>
      </w:r>
      <w:proofErr w:type="spellEnd"/>
      <w:r>
        <w:t>, 373 F.3d 112, 120 (D.C. Cir. 2004</w:t>
      </w:r>
      <w:proofErr w:type="gramStart"/>
      <w:r>
        <w:t>)(</w:t>
      </w:r>
      <w:proofErr w:type="gramEnd"/>
      <w:r>
        <w:t>examining whether interested parties to an administrative proceeding had “a meaningful opportunity to comment”)(</w:t>
      </w:r>
      <w:r w:rsidRPr="0046540D">
        <w:t>citation omitted</w:t>
      </w:r>
      <w:r>
        <w:t>).</w:t>
      </w:r>
    </w:p>
  </w:footnote>
  <w:footnote w:id="71">
    <w:p w14:paraId="6BE729DE" w14:textId="77777777" w:rsidR="00154AE3" w:rsidRDefault="00154AE3">
      <w:pPr>
        <w:pStyle w:val="FootnoteText"/>
      </w:pPr>
      <w:r>
        <w:rPr>
          <w:rStyle w:val="FootnoteReference"/>
        </w:rPr>
        <w:footnoteRef/>
      </w:r>
      <w:r>
        <w:t xml:space="preserve"> USAC, “Administrative Procedures - Schools &amp; Libraries Program,” at 21-22 (Oct. 31, 2018), </w:t>
      </w:r>
      <w:r w:rsidRPr="00625677">
        <w:rPr>
          <w:i/>
        </w:rPr>
        <w:t xml:space="preserve">available </w:t>
      </w:r>
      <w:proofErr w:type="gramStart"/>
      <w:r w:rsidRPr="00625677">
        <w:rPr>
          <w:i/>
        </w:rPr>
        <w:t>at</w:t>
      </w:r>
      <w:r>
        <w:t xml:space="preserve">  </w:t>
      </w:r>
      <w:proofErr w:type="gramEnd"/>
      <w:r w:rsidR="00EE5616">
        <w:rPr>
          <w:rStyle w:val="Hyperlink"/>
        </w:rPr>
        <w:fldChar w:fldCharType="begin"/>
      </w:r>
      <w:r w:rsidR="00EE5616">
        <w:rPr>
          <w:rStyle w:val="Hyperlink"/>
        </w:rPr>
        <w:instrText xml:space="preserve"> HYPERLINK "https://ecfsapi.fcc.gov/file/1031358907488/USAC-%202018%20Procedures%20Not%20in%20Rules%20Document.pdf" </w:instrText>
      </w:r>
      <w:r w:rsidR="00EE5616">
        <w:rPr>
          <w:rStyle w:val="Hyperlink"/>
        </w:rPr>
        <w:fldChar w:fldCharType="separate"/>
      </w:r>
      <w:r w:rsidRPr="00143BD2">
        <w:rPr>
          <w:rStyle w:val="Hyperlink"/>
        </w:rPr>
        <w:t>https://ecfsapi.fcc.gov/file/1031358907488/USAC-%202018%20Procedures%20Not%20in%20Rules%20Document.pdf</w:t>
      </w:r>
      <w:r w:rsidR="00EE5616">
        <w:rPr>
          <w:rStyle w:val="Hyperlink"/>
        </w:rPr>
        <w:fldChar w:fldCharType="end"/>
      </w:r>
      <w:r>
        <w:t xml:space="preserve"> (“USAC Procedures”). </w:t>
      </w:r>
    </w:p>
  </w:footnote>
  <w:footnote w:id="72">
    <w:p w14:paraId="1E3E1C84" w14:textId="77777777" w:rsidR="00154AE3" w:rsidRDefault="00154AE3">
      <w:pPr>
        <w:pStyle w:val="FootnoteText"/>
      </w:pPr>
      <w:r>
        <w:rPr>
          <w:rStyle w:val="FootnoteReference"/>
        </w:rPr>
        <w:footnoteRef/>
      </w:r>
      <w:r w:rsidRPr="007B77EF">
        <w:t xml:space="preserve"> Connect America Fu</w:t>
      </w:r>
      <w:r>
        <w:t xml:space="preserve">nd, </w:t>
      </w:r>
      <w:r w:rsidRPr="00722C27">
        <w:t xml:space="preserve">29 FCC </w:t>
      </w:r>
      <w:proofErr w:type="spellStart"/>
      <w:r w:rsidRPr="00722C27">
        <w:t>Rcd</w:t>
      </w:r>
      <w:proofErr w:type="spellEnd"/>
      <w:r w:rsidRPr="00722C27">
        <w:t xml:space="preserve"> </w:t>
      </w:r>
      <w:r>
        <w:t xml:space="preserve">at 7057, </w:t>
      </w:r>
      <w:proofErr w:type="gramStart"/>
      <w:r>
        <w:t>¶</w:t>
      </w:r>
      <w:proofErr w:type="gramEnd"/>
      <w:r>
        <w:t xml:space="preserve"> 20</w:t>
      </w:r>
      <w:r w:rsidRPr="007B77EF">
        <w:t>.</w:t>
      </w:r>
    </w:p>
  </w:footnote>
  <w:footnote w:id="73">
    <w:p w14:paraId="4FD8B8F6" w14:textId="77777777" w:rsidR="00154AE3" w:rsidRDefault="00154AE3">
      <w:pPr>
        <w:pStyle w:val="FootnoteText"/>
      </w:pPr>
      <w:r>
        <w:rPr>
          <w:rStyle w:val="FootnoteReference"/>
        </w:rPr>
        <w:footnoteRef/>
      </w:r>
      <w:r>
        <w:t xml:space="preserve"> </w:t>
      </w:r>
      <w:r w:rsidRPr="005B68D7">
        <w:t>Indeed, the Commission has recognized that the CAF-2 cost model may at times vary from the facts on the ground. Connect</w:t>
      </w:r>
      <w:r>
        <w:t xml:space="preserve"> America Fund, WC Docket No. 10-90, 29 FCC </w:t>
      </w:r>
      <w:proofErr w:type="spellStart"/>
      <w:r>
        <w:t>Rcd</w:t>
      </w:r>
      <w:proofErr w:type="spellEnd"/>
      <w:r>
        <w:t xml:space="preserve"> 15644, 15659, ¶ 38 (Dec. 18, 2014).</w:t>
      </w:r>
    </w:p>
  </w:footnote>
  <w:footnote w:id="74">
    <w:p w14:paraId="483C9A5F" w14:textId="56BB1560" w:rsidR="00154AE3" w:rsidRDefault="00154AE3">
      <w:pPr>
        <w:pStyle w:val="FootnoteText"/>
      </w:pPr>
      <w:r>
        <w:rPr>
          <w:rStyle w:val="FootnoteReference"/>
        </w:rPr>
        <w:footnoteRef/>
      </w:r>
      <w:r>
        <w:t xml:space="preserve"> The Commission has acknowledged circumstances in which, compared to the cost</w:t>
      </w:r>
      <w:r w:rsidR="0001143D">
        <w:t xml:space="preserve"> </w:t>
      </w:r>
      <w:r>
        <w:t>model, “[p]</w:t>
      </w:r>
      <w:proofErr w:type="spellStart"/>
      <w:r w:rsidRPr="007B77EF">
        <w:t>otential</w:t>
      </w:r>
      <w:proofErr w:type="spellEnd"/>
      <w:r w:rsidRPr="007B77EF">
        <w:t xml:space="preserve"> service providers that have done the appropriate due diligence are in a better position to know local conditions on the ground</w:t>
      </w:r>
      <w:r>
        <w:t xml:space="preserve">.” Connect America Fund, </w:t>
      </w:r>
      <w:r w:rsidRPr="00722C27">
        <w:t xml:space="preserve">29 FCC </w:t>
      </w:r>
      <w:proofErr w:type="spellStart"/>
      <w:r w:rsidRPr="00722C27">
        <w:t>Rcd</w:t>
      </w:r>
      <w:proofErr w:type="spellEnd"/>
      <w:r w:rsidRPr="00722C27">
        <w:t xml:space="preserve"> </w:t>
      </w:r>
      <w:r>
        <w:t>at 7060-61, ¶ 31 (April 2014).  Yet, it is exactly that knowledge, and a school’s reliance on it, that USAC has summarily rejected.</w:t>
      </w:r>
    </w:p>
  </w:footnote>
  <w:footnote w:id="75">
    <w:p w14:paraId="57FB02A8" w14:textId="77777777" w:rsidR="00154AE3" w:rsidRDefault="00154AE3" w:rsidP="007C53EC">
      <w:pPr>
        <w:pStyle w:val="FootnoteText"/>
      </w:pPr>
      <w:r w:rsidRPr="00992620">
        <w:rPr>
          <w:rStyle w:val="FootnoteReference"/>
        </w:rPr>
        <w:footnoteRef/>
      </w:r>
      <w:r w:rsidRPr="00992620">
        <w:t xml:space="preserve"> Connect America Fund High-Cost Universal Service Support</w:t>
      </w:r>
      <w:r w:rsidRPr="00625677">
        <w:t>,</w:t>
      </w:r>
      <w:r w:rsidRPr="00992620">
        <w:t xml:space="preserve"> WC</w:t>
      </w:r>
      <w:r w:rsidRPr="00625677">
        <w:t xml:space="preserve"> </w:t>
      </w:r>
      <w:r w:rsidRPr="00992620">
        <w:t>Docket No</w:t>
      </w:r>
      <w:r w:rsidRPr="00625677">
        <w:t>s</w:t>
      </w:r>
      <w:r w:rsidRPr="00992620">
        <w:t>. 10-90</w:t>
      </w:r>
      <w:r w:rsidRPr="00625677">
        <w:t xml:space="preserve"> &amp; </w:t>
      </w:r>
      <w:r w:rsidRPr="00992620">
        <w:t>05-337,</w:t>
      </w:r>
      <w:r w:rsidRPr="00625677">
        <w:t xml:space="preserve"> Report and Order, </w:t>
      </w:r>
      <w:r>
        <w:t xml:space="preserve">FCC </w:t>
      </w:r>
      <w:proofErr w:type="spellStart"/>
      <w:r>
        <w:t>Rcd</w:t>
      </w:r>
      <w:proofErr w:type="spellEnd"/>
      <w:r>
        <w:t xml:space="preserve"> </w:t>
      </w:r>
      <w:r w:rsidRPr="00625677">
        <w:t>5301, 5318-19,</w:t>
      </w:r>
      <w:r w:rsidRPr="00992620">
        <w:t xml:space="preserve"> ¶ 40 (April 22, 2013)</w:t>
      </w:r>
      <w:r>
        <w:t xml:space="preserve">; FCC, “Alternative Connect America Cost Model Overview,” </w:t>
      </w:r>
    </w:p>
    <w:p w14:paraId="53A1C032" w14:textId="77777777" w:rsidR="00154AE3" w:rsidRDefault="00154AE3" w:rsidP="00D65E52">
      <w:pPr>
        <w:pStyle w:val="FootnoteText"/>
      </w:pPr>
      <w:r>
        <w:t xml:space="preserve">April 1, 2015, </w:t>
      </w:r>
      <w:r w:rsidRPr="00625677">
        <w:rPr>
          <w:i/>
        </w:rPr>
        <w:t>available at</w:t>
      </w:r>
      <w:r>
        <w:t xml:space="preserve"> </w:t>
      </w:r>
      <w:hyperlink r:id="rId13" w:history="1">
        <w:r w:rsidRPr="009A63D5">
          <w:rPr>
            <w:rStyle w:val="Hyperlink"/>
          </w:rPr>
          <w:t>https://transition.fcc.gov/wcb/ACAM040115.pdf</w:t>
        </w:r>
      </w:hyperlink>
      <w:r>
        <w:t xml:space="preserve"> (graphical representation of network topology).</w:t>
      </w:r>
    </w:p>
  </w:footnote>
  <w:footnote w:id="76">
    <w:p w14:paraId="7F571DD8" w14:textId="77777777" w:rsidR="00154AE3" w:rsidRDefault="00154AE3">
      <w:pPr>
        <w:pStyle w:val="FootnoteText"/>
      </w:pPr>
      <w:r>
        <w:rPr>
          <w:rStyle w:val="FootnoteReference"/>
        </w:rPr>
        <w:footnoteRef/>
      </w:r>
      <w:r>
        <w:t xml:space="preserve"> USAC, “2015 Applicant Training – Fiber Options” at 22. </w:t>
      </w:r>
    </w:p>
  </w:footnote>
  <w:footnote w:id="77">
    <w:p w14:paraId="4C20E5F3" w14:textId="77777777" w:rsidR="00154AE3" w:rsidRDefault="00154AE3">
      <w:pPr>
        <w:pStyle w:val="FootnoteText"/>
      </w:pPr>
      <w:r w:rsidRPr="00A75C0B">
        <w:rPr>
          <w:rStyle w:val="FootnoteReference"/>
        </w:rPr>
        <w:footnoteRef/>
      </w:r>
      <w:r w:rsidRPr="00A75C0B">
        <w:t xml:space="preserve"> FCC, “Connect America Cost Model Overview</w:t>
      </w:r>
      <w:r w:rsidRPr="00625677">
        <w:t>”</w:t>
      </w:r>
      <w:r>
        <w:t xml:space="preserve"> at</w:t>
      </w:r>
      <w:r w:rsidRPr="00A75C0B">
        <w:t xml:space="preserve"> 6-7 (Sept</w:t>
      </w:r>
      <w:r>
        <w:t>.</w:t>
      </w:r>
      <w:r w:rsidRPr="00A75C0B">
        <w:t xml:space="preserve"> 12, 2013).</w:t>
      </w:r>
    </w:p>
  </w:footnote>
  <w:footnote w:id="78">
    <w:p w14:paraId="25226622" w14:textId="77777777" w:rsidR="00154AE3" w:rsidRDefault="00154AE3" w:rsidP="00AB0DB7">
      <w:pPr>
        <w:pStyle w:val="FootnoteText"/>
      </w:pPr>
      <w:r>
        <w:rPr>
          <w:rStyle w:val="FootnoteReference"/>
        </w:rPr>
        <w:footnoteRef/>
      </w:r>
      <w:r>
        <w:t xml:space="preserve"> Illinois Letter at 6. In December, 2018, the Commission in the context of rural broadband made “</w:t>
      </w:r>
      <w:r w:rsidRPr="00AB0DB7">
        <w:t>a new model offer to those</w:t>
      </w:r>
      <w:r>
        <w:t xml:space="preserve"> [rate-of-return carriers]</w:t>
      </w:r>
      <w:r w:rsidRPr="00AB0DB7">
        <w:t xml:space="preserve"> on legacy support in return for specifically </w:t>
      </w:r>
      <w:r w:rsidRPr="001B1E78">
        <w:t xml:space="preserve">tailored obligations to build out broadband networks providing speeds of 25/3 Mbps.” </w:t>
      </w:r>
      <w:r w:rsidRPr="001B1E78">
        <w:rPr>
          <w:i/>
        </w:rPr>
        <w:t>A-CAM Revision &amp; A-CAM II Order</w:t>
      </w:r>
      <w:r w:rsidRPr="001B1E78">
        <w:t xml:space="preserve"> at ¶ 3. Of course, the broadband connections needed to provide connectivity to a school full of students far exceeds th</w:t>
      </w:r>
      <w:r>
        <w:t>at</w:t>
      </w:r>
      <w:r w:rsidRPr="001B1E78">
        <w:t xml:space="preserve"> download speed. </w:t>
      </w:r>
      <w:r w:rsidRPr="00625677">
        <w:rPr>
          <w:i/>
        </w:rPr>
        <w:t>Second Modernization Order</w:t>
      </w:r>
      <w:r w:rsidRPr="001B1E78">
        <w:t xml:space="preserve"> at ¶ 3 (“For schools, we set a high-speed broadband Internet</w:t>
      </w:r>
      <w:r>
        <w:t xml:space="preserve"> access target of at least 100 Mbps per 1,000 students and</w:t>
      </w:r>
      <w:r w:rsidRPr="00AB0DB7">
        <w:t xml:space="preserve"> </w:t>
      </w:r>
      <w:r>
        <w:t xml:space="preserve">staff in the short term and 1 </w:t>
      </w:r>
      <w:proofErr w:type="spellStart"/>
      <w:r>
        <w:t>Gbps</w:t>
      </w:r>
      <w:proofErr w:type="spellEnd"/>
      <w:r>
        <w:t xml:space="preserve"> per 1,000 users in the longer term, and connections scalable to 10 </w:t>
      </w:r>
      <w:proofErr w:type="spellStart"/>
      <w:r>
        <w:t>Gbps</w:t>
      </w:r>
      <w:proofErr w:type="spellEnd"/>
      <w:r>
        <w:t xml:space="preserve"> per 1,000 students for wide area networks (WANs) for schools”). </w:t>
      </w:r>
    </w:p>
  </w:footnote>
  <w:footnote w:id="79">
    <w:p w14:paraId="33B4EB70" w14:textId="77777777" w:rsidR="00154AE3" w:rsidRDefault="00154AE3">
      <w:pPr>
        <w:pStyle w:val="FootnoteText"/>
      </w:pPr>
      <w:r>
        <w:rPr>
          <w:rStyle w:val="FootnoteReference"/>
        </w:rPr>
        <w:footnoteRef/>
      </w:r>
      <w:r>
        <w:t xml:space="preserve"> CENIC Appeal at 13.</w:t>
      </w:r>
    </w:p>
  </w:footnote>
  <w:footnote w:id="80">
    <w:p w14:paraId="3EB8ED4C" w14:textId="77777777" w:rsidR="00154AE3" w:rsidRDefault="00154AE3">
      <w:pPr>
        <w:pStyle w:val="FootnoteText"/>
      </w:pPr>
      <w:r>
        <w:rPr>
          <w:rStyle w:val="FootnoteReference"/>
        </w:rPr>
        <w:footnoteRef/>
      </w:r>
      <w:r>
        <w:t xml:space="preserve"> USAC Glossary of Terms, </w:t>
      </w:r>
      <w:hyperlink r:id="rId14" w:history="1">
        <w:r w:rsidRPr="00EE661C">
          <w:rPr>
            <w:rStyle w:val="Hyperlink"/>
          </w:rPr>
          <w:t>https://www.usac.org/_res/documents/sl/pdf/handouts/SL-Glossary-of-Terms.pdf</w:t>
        </w:r>
      </w:hyperlink>
      <w:r>
        <w:t xml:space="preserve"> </w:t>
      </w:r>
    </w:p>
  </w:footnote>
  <w:footnote w:id="81">
    <w:p w14:paraId="57744CA2" w14:textId="77777777" w:rsidR="00154AE3" w:rsidRDefault="00154AE3">
      <w:pPr>
        <w:pStyle w:val="FootnoteText"/>
      </w:pPr>
      <w:r>
        <w:rPr>
          <w:rStyle w:val="FootnoteReference"/>
        </w:rPr>
        <w:footnoteRef/>
      </w:r>
      <w:r>
        <w:t xml:space="preserve"> USAC, “</w:t>
      </w:r>
      <w:r w:rsidRPr="00C86965">
        <w:t>N</w:t>
      </w:r>
      <w:r>
        <w:t>ew</w:t>
      </w:r>
      <w:r w:rsidRPr="00C86965">
        <w:t xml:space="preserve"> Process for Receiving and Answering PIA Questions</w:t>
      </w:r>
      <w:r>
        <w:t xml:space="preserve">,” </w:t>
      </w:r>
      <w:r w:rsidRPr="00625677">
        <w:rPr>
          <w:i/>
        </w:rPr>
        <w:t>Schools and Libraries Program News Brief</w:t>
      </w:r>
      <w:r>
        <w:t xml:space="preserve">, April 27, 2016, </w:t>
      </w:r>
      <w:r>
        <w:rPr>
          <w:i/>
        </w:rPr>
        <w:t xml:space="preserve">available at </w:t>
      </w:r>
      <w:hyperlink r:id="rId15" w:history="1">
        <w:r w:rsidRPr="00625677">
          <w:rPr>
            <w:rStyle w:val="Hyperlink"/>
          </w:rPr>
          <w:t>https://www.usac.org/sl/tools/news-briefs/preview.aspx?id=687</w:t>
        </w:r>
      </w:hyperlink>
      <w:r>
        <w:rPr>
          <w:i/>
        </w:rPr>
        <w:t xml:space="preserve"> </w:t>
      </w:r>
      <w:r>
        <w:t xml:space="preserve">(visited January 4, 2019). </w:t>
      </w:r>
    </w:p>
  </w:footnote>
  <w:footnote w:id="82">
    <w:p w14:paraId="23ACBC65" w14:textId="77777777" w:rsidR="00154AE3" w:rsidRDefault="00154AE3">
      <w:pPr>
        <w:pStyle w:val="FootnoteText"/>
      </w:pPr>
      <w:r>
        <w:rPr>
          <w:rStyle w:val="FootnoteReference"/>
        </w:rPr>
        <w:footnoteRef/>
      </w:r>
      <w:r>
        <w:t xml:space="preserve"> CENIC Appeal at 4. </w:t>
      </w:r>
    </w:p>
  </w:footnote>
  <w:footnote w:id="83">
    <w:p w14:paraId="34C4247E" w14:textId="77777777" w:rsidR="00154AE3" w:rsidRDefault="00154AE3">
      <w:pPr>
        <w:pStyle w:val="FootnoteText"/>
      </w:pPr>
      <w:r>
        <w:rPr>
          <w:rStyle w:val="FootnoteReference"/>
        </w:rPr>
        <w:footnoteRef/>
      </w:r>
      <w:r>
        <w:t xml:space="preserve"> </w:t>
      </w:r>
      <w:r>
        <w:rPr>
          <w:i/>
        </w:rPr>
        <w:t>Id</w:t>
      </w:r>
      <w:r>
        <w:t>. at n.9.</w:t>
      </w:r>
    </w:p>
  </w:footnote>
  <w:footnote w:id="84">
    <w:p w14:paraId="63B8B948" w14:textId="77777777" w:rsidR="00154AE3" w:rsidRPr="00B772ED" w:rsidRDefault="00154AE3">
      <w:pPr>
        <w:pStyle w:val="FootnoteText"/>
      </w:pPr>
      <w:r>
        <w:rPr>
          <w:rStyle w:val="FootnoteReference"/>
        </w:rPr>
        <w:footnoteRef/>
      </w:r>
      <w:r>
        <w:t xml:space="preserve"> </w:t>
      </w:r>
      <w:r>
        <w:rPr>
          <w:i/>
        </w:rPr>
        <w:t>Id</w:t>
      </w:r>
      <w:r>
        <w:t xml:space="preserve">. at 5. </w:t>
      </w:r>
    </w:p>
  </w:footnote>
  <w:footnote w:id="85">
    <w:p w14:paraId="40A8F23F" w14:textId="77777777" w:rsidR="00154AE3" w:rsidRDefault="00154AE3">
      <w:pPr>
        <w:pStyle w:val="FootnoteText"/>
      </w:pPr>
      <w:r>
        <w:rPr>
          <w:rStyle w:val="FootnoteReference"/>
        </w:rPr>
        <w:footnoteRef/>
      </w:r>
      <w:r>
        <w:t xml:space="preserve"> </w:t>
      </w:r>
      <w:r>
        <w:rPr>
          <w:i/>
        </w:rPr>
        <w:t>Id</w:t>
      </w:r>
      <w:r>
        <w:t>. at 7.</w:t>
      </w:r>
    </w:p>
  </w:footnote>
  <w:footnote w:id="86">
    <w:p w14:paraId="2C6234BA" w14:textId="77777777" w:rsidR="00154AE3" w:rsidRDefault="00154AE3">
      <w:pPr>
        <w:pStyle w:val="FootnoteText"/>
      </w:pPr>
      <w:r>
        <w:rPr>
          <w:rStyle w:val="FootnoteReference"/>
        </w:rPr>
        <w:footnoteRef/>
      </w:r>
      <w:r>
        <w:t xml:space="preserve"> SHLB Letter at 2.</w:t>
      </w:r>
    </w:p>
  </w:footnote>
  <w:footnote w:id="87">
    <w:p w14:paraId="4E8D953E" w14:textId="2AE346D5" w:rsidR="00154AE3" w:rsidRDefault="00154AE3">
      <w:pPr>
        <w:pStyle w:val="FootnoteText"/>
      </w:pPr>
      <w:r>
        <w:rPr>
          <w:rStyle w:val="FootnoteReference"/>
        </w:rPr>
        <w:footnoteRef/>
      </w:r>
      <w:r>
        <w:rPr>
          <w:i/>
        </w:rPr>
        <w:t xml:space="preserve"> </w:t>
      </w:r>
      <w:r w:rsidRPr="00890FD5">
        <w:rPr>
          <w:i/>
        </w:rPr>
        <w:t>See</w:t>
      </w:r>
      <w:r>
        <w:t xml:space="preserve"> “USAC 2015 Training Slides”</w:t>
      </w:r>
      <w:r w:rsidRPr="00093F27">
        <w:t xml:space="preserve"> </w:t>
      </w:r>
      <w:r>
        <w:t xml:space="preserve">at </w:t>
      </w:r>
      <w:r w:rsidRPr="00625677">
        <w:t>22</w:t>
      </w:r>
      <w:r w:rsidRPr="00093F27">
        <w:t xml:space="preserve"> </w:t>
      </w:r>
      <w:r>
        <w:t xml:space="preserve">(recognizing that </w:t>
      </w:r>
      <w:r w:rsidR="000C51BE">
        <w:t>special construction</w:t>
      </w:r>
      <w:r>
        <w:t xml:space="preserve"> costs are “fully eligible” once the cost of un-used strands are removed).</w:t>
      </w:r>
    </w:p>
  </w:footnote>
  <w:footnote w:id="88">
    <w:p w14:paraId="28A344EA" w14:textId="77777777" w:rsidR="00154AE3" w:rsidRDefault="00154AE3" w:rsidP="009D1354">
      <w:pPr>
        <w:pStyle w:val="FootnoteText"/>
      </w:pPr>
      <w:r>
        <w:rPr>
          <w:rStyle w:val="FootnoteReference"/>
        </w:rPr>
        <w:footnoteRef/>
      </w:r>
      <w:r w:rsidRPr="00AE1AF0">
        <w:t xml:space="preserve"> </w:t>
      </w:r>
      <w:r>
        <w:t>CenturyLink sent a letter to its customers regarding the USAC PIA questionnaire saying, “The questions you received, however, are inapplicable to the services you procure from CenturyLink. … Questions</w:t>
      </w:r>
    </w:p>
    <w:p w14:paraId="1A97933C" w14:textId="77777777" w:rsidR="00154AE3" w:rsidRDefault="00154AE3" w:rsidP="009D1354">
      <w:pPr>
        <w:pStyle w:val="FootnoteText"/>
      </w:pPr>
      <w:proofErr w:type="gramStart"/>
      <w:r>
        <w:t>premised</w:t>
      </w:r>
      <w:proofErr w:type="gramEnd"/>
      <w:r>
        <w:t xml:space="preserve"> on dedicated facilities are effectively unanswerable and not properly directed to an applicant procuring finished services.” Letter of CenturyLink to Customers.  In its appeal, CENIC has similarly objected to USAC’s requirement of proprietary information that is not needed for review. </w:t>
      </w:r>
      <w:r w:rsidRPr="00274650">
        <w:t>CENIC Appeal at 5-6.</w:t>
      </w:r>
    </w:p>
  </w:footnote>
  <w:footnote w:id="89">
    <w:p w14:paraId="43F8308D" w14:textId="77777777" w:rsidR="00154AE3" w:rsidRDefault="00154AE3">
      <w:pPr>
        <w:pStyle w:val="FootnoteText"/>
      </w:pPr>
      <w:r>
        <w:rPr>
          <w:rStyle w:val="FootnoteReference"/>
        </w:rPr>
        <w:footnoteRef/>
      </w:r>
      <w:r>
        <w:t xml:space="preserve"> USAC defended its treatment of this application by saying, in part, that an analysis of the “expected useful life of the facilities indicates that the most cost-effective option was not used.” Letter from </w:t>
      </w:r>
      <w:proofErr w:type="spellStart"/>
      <w:r>
        <w:t>Radha</w:t>
      </w:r>
      <w:proofErr w:type="spellEnd"/>
      <w:r>
        <w:t xml:space="preserve"> </w:t>
      </w:r>
      <w:proofErr w:type="spellStart"/>
      <w:r>
        <w:t>Sekar</w:t>
      </w:r>
      <w:proofErr w:type="spellEnd"/>
      <w:r>
        <w:t xml:space="preserve">, CEO, USAC to Evan </w:t>
      </w:r>
      <w:proofErr w:type="spellStart"/>
      <w:r>
        <w:t>Marwell</w:t>
      </w:r>
      <w:proofErr w:type="spellEnd"/>
      <w:r>
        <w:t xml:space="preserve">, </w:t>
      </w:r>
      <w:proofErr w:type="spellStart"/>
      <w:r>
        <w:t>EducationSuperHighway</w:t>
      </w:r>
      <w:proofErr w:type="spellEnd"/>
      <w:r>
        <w:t xml:space="preserve"> (April 4, 2018). But, again, there is no way to challenge the Delphic assertion that “the most cost-effective option was not used” without knowing how USAC purported to come to that conclusion.</w:t>
      </w:r>
    </w:p>
  </w:footnote>
  <w:footnote w:id="90">
    <w:p w14:paraId="236B5D34" w14:textId="77777777" w:rsidR="00154AE3" w:rsidRDefault="00154AE3">
      <w:pPr>
        <w:pStyle w:val="FootnoteText"/>
      </w:pPr>
      <w:r>
        <w:rPr>
          <w:rStyle w:val="FootnoteReference"/>
        </w:rPr>
        <w:footnoteRef/>
      </w:r>
      <w:r>
        <w:t xml:space="preserve"> </w:t>
      </w:r>
      <w:r>
        <w:rPr>
          <w:i/>
        </w:rPr>
        <w:t xml:space="preserve">See </w:t>
      </w:r>
      <w:r w:rsidRPr="003C3E00">
        <w:rPr>
          <w:i/>
        </w:rPr>
        <w:t>Delays and Denials</w:t>
      </w:r>
      <w:r>
        <w:t xml:space="preserve">, </w:t>
      </w:r>
      <w:r w:rsidRPr="003C3E00">
        <w:rPr>
          <w:i/>
        </w:rPr>
        <w:t>generally</w:t>
      </w:r>
      <w:r>
        <w:t>.</w:t>
      </w:r>
    </w:p>
  </w:footnote>
  <w:footnote w:id="91">
    <w:p w14:paraId="68E34E68" w14:textId="77777777" w:rsidR="00154AE3" w:rsidRDefault="00154AE3" w:rsidP="00F17178">
      <w:pPr>
        <w:pStyle w:val="FootnoteText"/>
      </w:pPr>
      <w:r>
        <w:rPr>
          <w:rStyle w:val="FootnoteReference"/>
        </w:rPr>
        <w:footnoteRef/>
      </w:r>
      <w:r>
        <w:t xml:space="preserve"> 44 USC </w:t>
      </w:r>
      <w:r w:rsidRPr="005D1735">
        <w:t>§</w:t>
      </w:r>
      <w:r>
        <w:t xml:space="preserve"> 3501(c</w:t>
      </w:r>
      <w:proofErr w:type="gramStart"/>
      <w:r>
        <w:t>)(</w:t>
      </w:r>
      <w:proofErr w:type="gramEnd"/>
      <w:r>
        <w:t>2)(“collection of information”). This white paper uses the term “questionnaire” to describe the set of questions that USAC regularly propounds to applicants but, of course, the term “collection of information” applies to identical questions that ten or more persons are required to answer whether or not formally included in a “questionnaire,” or any other of the list of “instruments” used for the collection of  information, including “</w:t>
      </w:r>
      <w:r w:rsidRPr="00E243BA">
        <w:t xml:space="preserve">Application forms </w:t>
      </w:r>
      <w:r>
        <w:t xml:space="preserve">. . . </w:t>
      </w:r>
      <w:r w:rsidRPr="00E243BA">
        <w:t xml:space="preserve">Questionnaires </w:t>
      </w:r>
      <w:r>
        <w:t>. . .</w:t>
      </w:r>
      <w:r w:rsidRPr="00E243BA">
        <w:t xml:space="preserve"> Planning requirements </w:t>
      </w:r>
      <w:r>
        <w:t>. . .</w:t>
      </w:r>
      <w:r w:rsidRPr="00E243BA">
        <w:t xml:space="preserve"> Requests for proposal or other procurement requirements </w:t>
      </w:r>
      <w:r>
        <w:t xml:space="preserve">. . . [and] </w:t>
      </w:r>
      <w:r w:rsidRPr="00E243BA">
        <w:t>Any other techniques or technological methods used to monitor compliance with agency requirements</w:t>
      </w:r>
      <w:r>
        <w:t xml:space="preserve">.” </w:t>
      </w:r>
      <w:r w:rsidRPr="002D1A8F">
        <w:t>5 CFR 1320.3(c)</w:t>
      </w:r>
      <w:r>
        <w:t>.  ESH’s analysis has concluded that the questions presented in Appendix A have been propounded to more than ten applicants.</w:t>
      </w:r>
    </w:p>
  </w:footnote>
  <w:footnote w:id="92">
    <w:p w14:paraId="7343E6A9" w14:textId="77777777" w:rsidR="00154AE3" w:rsidRDefault="00154AE3">
      <w:pPr>
        <w:pStyle w:val="FootnoteText"/>
      </w:pPr>
      <w:r>
        <w:rPr>
          <w:rStyle w:val="FootnoteReference"/>
        </w:rPr>
        <w:footnoteRef/>
      </w:r>
      <w:r>
        <w:t xml:space="preserve"> 44 U.S.C. </w:t>
      </w:r>
      <w:r w:rsidRPr="00627BF7">
        <w:t>§</w:t>
      </w:r>
      <w:r>
        <w:t xml:space="preserve"> 3507. </w:t>
      </w:r>
    </w:p>
  </w:footnote>
  <w:footnote w:id="93">
    <w:p w14:paraId="0EF4DD67" w14:textId="77777777" w:rsidR="00154AE3" w:rsidRPr="00E3332A" w:rsidRDefault="00154AE3">
      <w:pPr>
        <w:pStyle w:val="FootnoteText"/>
      </w:pPr>
      <w:r>
        <w:rPr>
          <w:rStyle w:val="FootnoteReference"/>
        </w:rPr>
        <w:footnoteRef/>
      </w:r>
      <w:r>
        <w:t xml:space="preserve"> U.S. Office of Personnel Management, </w:t>
      </w:r>
      <w:r>
        <w:rPr>
          <w:i/>
        </w:rPr>
        <w:t>Paperwork Reduction Act (PRA) Guide</w:t>
      </w:r>
      <w:r>
        <w:t xml:space="preserve">, Ver. 2.0, </w:t>
      </w:r>
      <w:r w:rsidRPr="00625677">
        <w:rPr>
          <w:i/>
        </w:rPr>
        <w:t>available at</w:t>
      </w:r>
      <w:r>
        <w:t xml:space="preserve"> </w:t>
      </w:r>
    </w:p>
    <w:p w14:paraId="62DE8392" w14:textId="77777777" w:rsidR="00154AE3" w:rsidRDefault="00EE5616">
      <w:pPr>
        <w:pStyle w:val="FootnoteText"/>
      </w:pPr>
      <w:hyperlink r:id="rId16" w:history="1">
        <w:r w:rsidR="00154AE3" w:rsidRPr="00143BD2">
          <w:rPr>
            <w:rStyle w:val="Hyperlink"/>
          </w:rPr>
          <w:t>https://www.opm.gov/about-us/open-government/digital-government-strategy/fitara/paperwork-reduction-act-guide.pdf</w:t>
        </w:r>
      </w:hyperlink>
      <w:r w:rsidR="00154AE3">
        <w:t xml:space="preserve"> (“</w:t>
      </w:r>
      <w:r w:rsidR="00154AE3" w:rsidRPr="00625677">
        <w:rPr>
          <w:i/>
        </w:rPr>
        <w:t>PRA</w:t>
      </w:r>
      <w:r w:rsidR="00154AE3">
        <w:t xml:space="preserve"> </w:t>
      </w:r>
      <w:r w:rsidR="00154AE3" w:rsidRPr="00625677">
        <w:rPr>
          <w:i/>
        </w:rPr>
        <w:t>Guide</w:t>
      </w:r>
      <w:r w:rsidR="00154AE3">
        <w:t xml:space="preserve">”). </w:t>
      </w:r>
    </w:p>
  </w:footnote>
  <w:footnote w:id="94">
    <w:p w14:paraId="0D6A5900" w14:textId="77777777" w:rsidR="00154AE3" w:rsidRDefault="00154AE3">
      <w:pPr>
        <w:pStyle w:val="FootnoteText"/>
      </w:pPr>
      <w:r>
        <w:rPr>
          <w:rStyle w:val="FootnoteReference"/>
        </w:rPr>
        <w:footnoteRef/>
      </w:r>
      <w:r>
        <w:t xml:space="preserve"> 44 U.S.C.  § 3507.</w:t>
      </w:r>
    </w:p>
  </w:footnote>
  <w:footnote w:id="95">
    <w:p w14:paraId="43E50A20" w14:textId="77777777" w:rsidR="00154AE3" w:rsidRDefault="00154AE3">
      <w:pPr>
        <w:pStyle w:val="FootnoteText"/>
      </w:pPr>
      <w:r>
        <w:rPr>
          <w:rStyle w:val="FootnoteReference"/>
        </w:rPr>
        <w:footnoteRef/>
      </w:r>
      <w:r>
        <w:t xml:space="preserve"> 44 U.S.C. </w:t>
      </w:r>
      <w:r w:rsidRPr="007A76A6">
        <w:t>§</w:t>
      </w:r>
      <w:r>
        <w:t xml:space="preserve"> 2506(a).</w:t>
      </w:r>
    </w:p>
  </w:footnote>
  <w:footnote w:id="96">
    <w:p w14:paraId="44C23F26" w14:textId="77777777" w:rsidR="00154AE3" w:rsidRDefault="00154AE3">
      <w:pPr>
        <w:pStyle w:val="FootnoteText"/>
      </w:pPr>
      <w:r>
        <w:rPr>
          <w:rStyle w:val="FootnoteReference"/>
        </w:rPr>
        <w:footnoteRef/>
      </w:r>
      <w:r>
        <w:t xml:space="preserve"> 44 U.S.C. § 3507.</w:t>
      </w:r>
    </w:p>
  </w:footnote>
  <w:footnote w:id="97">
    <w:p w14:paraId="6AFD6041" w14:textId="77777777" w:rsidR="00154AE3" w:rsidRPr="00694A41" w:rsidRDefault="00154AE3" w:rsidP="00D37A24">
      <w:pPr>
        <w:pStyle w:val="FootnoteText"/>
      </w:pPr>
      <w:r>
        <w:rPr>
          <w:rStyle w:val="FootnoteReference"/>
        </w:rPr>
        <w:footnoteRef/>
      </w:r>
      <w:r>
        <w:t xml:space="preserve"> 47 C.F.R. </w:t>
      </w:r>
      <w:r w:rsidRPr="00694A41">
        <w:t>§</w:t>
      </w:r>
      <w:r>
        <w:t xml:space="preserve"> 54.702(c)(“</w:t>
      </w:r>
      <w:r w:rsidRPr="00694A41">
        <w:t xml:space="preserve">The Administrator </w:t>
      </w:r>
      <w:r>
        <w:t xml:space="preserve">[of USAC] </w:t>
      </w:r>
      <w:r w:rsidRPr="00694A41">
        <w:t>may not make policy, interpret unclear provisions of the statute or rules, or interpret the intent of Congress</w:t>
      </w:r>
      <w:r>
        <w:t xml:space="preserve">”); </w:t>
      </w:r>
      <w:r w:rsidRPr="00694A41">
        <w:rPr>
          <w:i/>
        </w:rPr>
        <w:t>see</w:t>
      </w:r>
      <w:r>
        <w:rPr>
          <w:i/>
        </w:rPr>
        <w:t xml:space="preserve"> </w:t>
      </w:r>
      <w:r w:rsidRPr="00A328AC">
        <w:rPr>
          <w:i/>
        </w:rPr>
        <w:t>United States ex rel. Heath v. Wisconsin Bell, Inc.</w:t>
      </w:r>
      <w:r>
        <w:t>, 111 F. Supp.</w:t>
      </w:r>
      <w:r w:rsidRPr="00694A41">
        <w:t>3d 923</w:t>
      </w:r>
      <w:r>
        <w:t>, 928</w:t>
      </w:r>
      <w:r w:rsidRPr="00694A41">
        <w:t xml:space="preserve"> (E.D. Wis. 2015)</w:t>
      </w:r>
      <w:r>
        <w:t>(For purposes of denying a motion to dismiss, court recognizes that “</w:t>
      </w:r>
      <w:r w:rsidRPr="00694A41">
        <w:t xml:space="preserve">the FCC authorizes the USAC to administer the </w:t>
      </w:r>
      <w:r>
        <w:t>E-rate</w:t>
      </w:r>
      <w:r w:rsidRPr="00694A41">
        <w:t xml:space="preserve"> program, making it responsible for billing contributors, collecting contributions, and disbursing subsidies, 47 C.F.R. § 54.702(a)-(b), but it maintains control of it by requiring it to seek guidance on policy and interpretation questions, § 54.702(c)</w:t>
      </w:r>
      <w:r>
        <w:t>”).</w:t>
      </w:r>
    </w:p>
  </w:footnote>
  <w:footnote w:id="98">
    <w:p w14:paraId="15629A72" w14:textId="77777777" w:rsidR="00154AE3" w:rsidRPr="00694A41" w:rsidRDefault="00154AE3" w:rsidP="00FD0CC7">
      <w:pPr>
        <w:pStyle w:val="FootnoteText"/>
      </w:pPr>
      <w:r>
        <w:rPr>
          <w:rStyle w:val="FootnoteReference"/>
        </w:rPr>
        <w:footnoteRef/>
      </w:r>
      <w:r>
        <w:t xml:space="preserve"> </w:t>
      </w:r>
      <w:r w:rsidRPr="00220301">
        <w:rPr>
          <w:i/>
        </w:rPr>
        <w:t>See</w:t>
      </w:r>
      <w:r w:rsidRPr="00220301">
        <w:t xml:space="preserve"> </w:t>
      </w:r>
      <w:r w:rsidRPr="00220301">
        <w:rPr>
          <w:i/>
        </w:rPr>
        <w:t xml:space="preserve">infra </w:t>
      </w:r>
      <w:r w:rsidRPr="00220301">
        <w:t xml:space="preserve">pp. </w:t>
      </w:r>
      <w:r>
        <w:t>18-19</w:t>
      </w:r>
      <w:r w:rsidRPr="003E2E6C">
        <w:t xml:space="preserve"> and accompanying footnotes.</w:t>
      </w:r>
      <w:r>
        <w:t xml:space="preserve"> </w:t>
      </w:r>
    </w:p>
  </w:footnote>
  <w:footnote w:id="99">
    <w:p w14:paraId="02CBD292" w14:textId="77777777" w:rsidR="00154AE3" w:rsidRDefault="00154AE3" w:rsidP="0040426A">
      <w:pPr>
        <w:pStyle w:val="FootnoteText"/>
      </w:pPr>
      <w:r>
        <w:rPr>
          <w:rStyle w:val="FootnoteReference"/>
        </w:rPr>
        <w:footnoteRef/>
      </w:r>
      <w:r>
        <w:t xml:space="preserve"> </w:t>
      </w:r>
      <w:r w:rsidRPr="00274650">
        <w:t xml:space="preserve">CENIC </w:t>
      </w:r>
      <w:r w:rsidRPr="00625677">
        <w:t xml:space="preserve">Appeal </w:t>
      </w:r>
      <w:r w:rsidRPr="00274650">
        <w:t>at 15.</w:t>
      </w:r>
    </w:p>
  </w:footnote>
  <w:footnote w:id="100">
    <w:p w14:paraId="6059E5A2" w14:textId="77777777" w:rsidR="00154AE3" w:rsidRDefault="00154AE3" w:rsidP="0040426A">
      <w:pPr>
        <w:pStyle w:val="FootnoteText"/>
      </w:pPr>
      <w:r>
        <w:rPr>
          <w:rStyle w:val="FootnoteReference"/>
        </w:rPr>
        <w:footnoteRef/>
      </w:r>
      <w:r>
        <w:t xml:space="preserve"> </w:t>
      </w:r>
      <w:r w:rsidRPr="002D2CDC">
        <w:t>44 U.S.C. § 3501 et seq.</w:t>
      </w:r>
      <w:r>
        <w:t xml:space="preserve"> To the extent that USAC believes that the PRA does not apply, it should make those views known on the public record, while also explaining what cost methodology it is using and the process by which that methodology was adopted. Even without the PRA, USAC’s actions must accord with fair process.</w:t>
      </w:r>
    </w:p>
  </w:footnote>
  <w:footnote w:id="101">
    <w:p w14:paraId="73CB5357" w14:textId="77777777" w:rsidR="00154AE3" w:rsidRDefault="00154AE3" w:rsidP="0040426A">
      <w:pPr>
        <w:pStyle w:val="FootnoteText"/>
      </w:pPr>
      <w:r>
        <w:rPr>
          <w:rStyle w:val="FootnoteReference"/>
        </w:rPr>
        <w:footnoteRef/>
      </w:r>
      <w:r>
        <w:t xml:space="preserve"> </w:t>
      </w:r>
      <w:r w:rsidRPr="00A13B6D">
        <w:rPr>
          <w:i/>
        </w:rPr>
        <w:t>PRA</w:t>
      </w:r>
      <w:r>
        <w:t xml:space="preserve"> </w:t>
      </w:r>
      <w:r w:rsidRPr="00A13B6D">
        <w:rPr>
          <w:i/>
        </w:rPr>
        <w:t>Guide</w:t>
      </w:r>
      <w:r>
        <w:t xml:space="preserve"> </w:t>
      </w:r>
      <w:r w:rsidRPr="00DB51CD">
        <w:t>at</w:t>
      </w:r>
      <w:r w:rsidRPr="00625677">
        <w:t xml:space="preserve"> Executive Summary (not numbered)</w:t>
      </w:r>
      <w:r>
        <w:t xml:space="preserve"> &amp; 20.</w:t>
      </w:r>
    </w:p>
  </w:footnote>
  <w:footnote w:id="102">
    <w:p w14:paraId="5A491921" w14:textId="77777777" w:rsidR="00154AE3" w:rsidRDefault="00154AE3" w:rsidP="0040426A">
      <w:pPr>
        <w:pStyle w:val="FootnoteText"/>
      </w:pPr>
      <w:r>
        <w:rPr>
          <w:rStyle w:val="FootnoteReference"/>
        </w:rPr>
        <w:footnoteRef/>
      </w:r>
      <w:r>
        <w:t xml:space="preserve"> </w:t>
      </w:r>
      <w:hyperlink r:id="rId17" w:history="1">
        <w:r w:rsidRPr="008D04E0">
          <w:rPr>
            <w:rStyle w:val="Hyperlink"/>
          </w:rPr>
          <w:t>https://www.reginfo.gov/public/do/PRAMain</w:t>
        </w:r>
      </w:hyperlink>
      <w:r>
        <w:t xml:space="preserve"> (visited 10/23/18).</w:t>
      </w:r>
    </w:p>
  </w:footnote>
  <w:footnote w:id="103">
    <w:p w14:paraId="4155EFD0" w14:textId="77777777" w:rsidR="00154AE3" w:rsidRDefault="00154AE3" w:rsidP="0040426A">
      <w:pPr>
        <w:pStyle w:val="FootnoteText"/>
      </w:pPr>
      <w:r>
        <w:rPr>
          <w:rStyle w:val="FootnoteReference"/>
        </w:rPr>
        <w:footnoteRef/>
      </w:r>
      <w:r>
        <w:t xml:space="preserve"> </w:t>
      </w:r>
      <w:r w:rsidRPr="003A2608">
        <w:t>Federal Communications Commission, Paperwork Reduction Act (PRA) and FCC Information Collections, https://www.fcc.gov/general/paperwork-reduction-act-pra-and-fcc-information-collections.</w:t>
      </w:r>
    </w:p>
  </w:footnote>
  <w:footnote w:id="104">
    <w:p w14:paraId="18DDDCD3" w14:textId="77777777" w:rsidR="00154AE3" w:rsidRDefault="00154AE3" w:rsidP="0040426A">
      <w:pPr>
        <w:pStyle w:val="FootnoteText"/>
      </w:pPr>
      <w:r>
        <w:rPr>
          <w:rStyle w:val="FootnoteReference"/>
        </w:rPr>
        <w:footnoteRef/>
      </w:r>
      <w:r>
        <w:t xml:space="preserve"> </w:t>
      </w:r>
      <w:r w:rsidRPr="003A2608">
        <w:t>Federal Communications Commission, FCC Information Collections (June 8, 2018), https://www.fcc.gov/reports-research/data/fcc-information-collections.</w:t>
      </w:r>
    </w:p>
  </w:footnote>
  <w:footnote w:id="105">
    <w:p w14:paraId="126D5176" w14:textId="77777777" w:rsidR="00154AE3" w:rsidRDefault="00154AE3" w:rsidP="00B94A49">
      <w:pPr>
        <w:pStyle w:val="FootnoteText"/>
      </w:pPr>
      <w:r>
        <w:rPr>
          <w:rStyle w:val="FootnoteReference"/>
        </w:rPr>
        <w:footnoteRef/>
      </w:r>
      <w:r>
        <w:t xml:space="preserve"> FCC, “</w:t>
      </w:r>
      <w:r w:rsidRPr="009A64EA">
        <w:t>Schools and Libraries Universal Service Description of Services Requested and Certification Form</w:t>
      </w:r>
      <w:r>
        <w:t xml:space="preserve"> – </w:t>
      </w:r>
      <w:r w:rsidRPr="009A64EA">
        <w:t>Instructions for Completing the Schools and Libraries Universal Service Description of Services Requested and Certification Form (FCC Form 470)</w:t>
      </w:r>
      <w:r>
        <w:t xml:space="preserve">,” Dec. 2013, </w:t>
      </w:r>
      <w:r w:rsidRPr="00625677">
        <w:rPr>
          <w:i/>
        </w:rPr>
        <w:t>available at</w:t>
      </w:r>
      <w:r>
        <w:t xml:space="preserve"> </w:t>
      </w:r>
      <w:r w:rsidRPr="006B6903">
        <w:t>https://docs.fcc.gov/public/attachments/DOC-326788A1.pdf</w:t>
      </w:r>
      <w:r>
        <w:t>.</w:t>
      </w:r>
    </w:p>
  </w:footnote>
  <w:footnote w:id="106">
    <w:p w14:paraId="06DAE84C" w14:textId="77777777" w:rsidR="00154AE3" w:rsidRDefault="00154AE3" w:rsidP="00B94A49">
      <w:pPr>
        <w:pStyle w:val="FootnoteText"/>
      </w:pPr>
      <w:r>
        <w:rPr>
          <w:rStyle w:val="FootnoteReference"/>
        </w:rPr>
        <w:footnoteRef/>
      </w:r>
      <w:r>
        <w:t xml:space="preserve"> </w:t>
      </w:r>
      <w:r w:rsidRPr="003A2608">
        <w:t>Information Collection Being Reviewed by the Federal Communications Commission, 83 Fed. Reg. 23677</w:t>
      </w:r>
      <w:r>
        <w:t>, 23678</w:t>
      </w:r>
      <w:r w:rsidRPr="003A2608">
        <w:t>(proposed Mar</w:t>
      </w:r>
      <w:r>
        <w:t>ch</w:t>
      </w:r>
      <w:r w:rsidRPr="003A2608">
        <w:t xml:space="preserve"> 22</w:t>
      </w:r>
      <w:r>
        <w:t>,</w:t>
      </w:r>
      <w:r w:rsidRPr="003A2608">
        <w:t xml:space="preserve"> 2018). </w:t>
      </w:r>
    </w:p>
  </w:footnote>
  <w:footnote w:id="107">
    <w:p w14:paraId="170E6994" w14:textId="77777777" w:rsidR="00154AE3" w:rsidRDefault="00154AE3" w:rsidP="0040426A">
      <w:pPr>
        <w:pStyle w:val="FootnoteText"/>
      </w:pPr>
      <w:r>
        <w:rPr>
          <w:rStyle w:val="FootnoteReference"/>
        </w:rPr>
        <w:footnoteRef/>
      </w:r>
      <w:r>
        <w:t xml:space="preserve"> USAC, “USAC Solicitation for Schools and Libraries Program Business Process Outsourcing (BPO) Services,” March 13, 2018, </w:t>
      </w:r>
      <w:r w:rsidRPr="00625677">
        <w:rPr>
          <w:i/>
        </w:rPr>
        <w:t>available at</w:t>
      </w:r>
      <w:r>
        <w:t xml:space="preserve"> </w:t>
      </w:r>
      <w:hyperlink r:id="rId18" w:history="1">
        <w:r w:rsidRPr="007B7D17">
          <w:rPr>
            <w:rStyle w:val="Hyperlink"/>
          </w:rPr>
          <w:t>https://www.usac.org/_res/documents/about/pdf/rfp/rfp-sl-business-process-outsourcing-service.pdf</w:t>
        </w:r>
      </w:hyperlink>
      <w:r>
        <w:t xml:space="preserve">. Other USAC-related information collections that have been approved by OMB include “Schools and Libraries Universal Service Program Reimbursement Forms,” </w:t>
      </w:r>
      <w:r w:rsidRPr="00625677">
        <w:rPr>
          <w:i/>
        </w:rPr>
        <w:t>available at</w:t>
      </w:r>
      <w:r>
        <w:t xml:space="preserve"> </w:t>
      </w:r>
      <w:hyperlink r:id="rId19" w:history="1">
        <w:r w:rsidRPr="00143BD2">
          <w:rPr>
            <w:rStyle w:val="Hyperlink"/>
          </w:rPr>
          <w:t>https://www.reginfo.gov/public/do/PRAViewICR?ref_nbr=201606-3060-022</w:t>
        </w:r>
      </w:hyperlink>
      <w:r>
        <w:t>; “</w:t>
      </w:r>
      <w:r w:rsidRPr="00BB67D4">
        <w:t>Connect America Fund - High Cost Portal Filing</w:t>
      </w:r>
      <w:r>
        <w:t xml:space="preserve">,” </w:t>
      </w:r>
      <w:r w:rsidRPr="00A13B6D">
        <w:rPr>
          <w:i/>
        </w:rPr>
        <w:t>available at</w:t>
      </w:r>
      <w:r>
        <w:t xml:space="preserve"> </w:t>
      </w:r>
      <w:hyperlink r:id="rId20" w:history="1">
        <w:r w:rsidRPr="007B7D17">
          <w:rPr>
            <w:rStyle w:val="Hyperlink"/>
          </w:rPr>
          <w:t>https://www.reginfo.gov/public/do/PRAViewICR?ref_nbr=201711-3060-008</w:t>
        </w:r>
      </w:hyperlink>
      <w:r>
        <w:t>; “</w:t>
      </w:r>
      <w:r w:rsidRPr="00BB67D4">
        <w:t>Application for Connect America Fund Phase II Auction Support - FCC Form 683</w:t>
      </w:r>
      <w:r>
        <w:t xml:space="preserve">,” </w:t>
      </w:r>
      <w:r w:rsidRPr="00A13B6D">
        <w:rPr>
          <w:i/>
        </w:rPr>
        <w:t>available at</w:t>
      </w:r>
      <w:r>
        <w:t xml:space="preserve"> </w:t>
      </w:r>
      <w:hyperlink r:id="rId21" w:history="1">
        <w:r w:rsidRPr="00143BD2">
          <w:rPr>
            <w:rStyle w:val="Hyperlink"/>
          </w:rPr>
          <w:t>https://www.reginfo.gov/public/do/PRAViewICR?ref_nbr=201808-3060-005</w:t>
        </w:r>
      </w:hyperlink>
      <w:r>
        <w:t>; “</w:t>
      </w:r>
      <w:r w:rsidRPr="00BB67D4">
        <w:t>High</w:t>
      </w:r>
      <w:r>
        <w:t xml:space="preserve">-Cost Universal Service Support,” </w:t>
      </w:r>
      <w:r w:rsidRPr="00A13B6D">
        <w:rPr>
          <w:i/>
        </w:rPr>
        <w:t>available at</w:t>
      </w:r>
      <w:r>
        <w:t xml:space="preserve"> </w:t>
      </w:r>
      <w:hyperlink r:id="rId22" w:history="1">
        <w:r w:rsidRPr="007B7D17">
          <w:rPr>
            <w:rStyle w:val="Hyperlink"/>
          </w:rPr>
          <w:t>https://www.reginfo.gov/public/do/PRAViewICR?ref_nbr=201804-3060-012</w:t>
        </w:r>
      </w:hyperlink>
      <w:r>
        <w:t xml:space="preserve">; and </w:t>
      </w:r>
    </w:p>
    <w:p w14:paraId="1EF50E90" w14:textId="77777777" w:rsidR="00154AE3" w:rsidRDefault="00154AE3" w:rsidP="0040426A">
      <w:pPr>
        <w:pStyle w:val="FootnoteText"/>
      </w:pPr>
      <w:r>
        <w:t>“</w:t>
      </w:r>
      <w:r w:rsidRPr="00BB67D4">
        <w:t xml:space="preserve">Lifeline and Link </w:t>
      </w:r>
      <w:proofErr w:type="gramStart"/>
      <w:r w:rsidRPr="00BB67D4">
        <w:t>Up</w:t>
      </w:r>
      <w:proofErr w:type="gramEnd"/>
      <w:r w:rsidRPr="00BB67D4">
        <w:t xml:space="preserve"> Reform and Modernization, Telecommunications Carriers Eligible for Universal Service</w:t>
      </w:r>
      <w:r>
        <w:t xml:space="preserve"> Support, Connect America Fund,” </w:t>
      </w:r>
      <w:r w:rsidRPr="00A13B6D">
        <w:rPr>
          <w:i/>
        </w:rPr>
        <w:t>available at</w:t>
      </w:r>
      <w:r>
        <w:t xml:space="preserve"> </w:t>
      </w:r>
      <w:hyperlink r:id="rId23" w:history="1">
        <w:r w:rsidRPr="007B7D17">
          <w:rPr>
            <w:rStyle w:val="Hyperlink"/>
          </w:rPr>
          <w:t>https://www.reginfo.gov/public/do/PRAViewICR?ref_nbr=201804-3060-015</w:t>
        </w:r>
      </w:hyperlink>
      <w:r>
        <w:t>.</w:t>
      </w:r>
    </w:p>
  </w:footnote>
  <w:footnote w:id="108">
    <w:p w14:paraId="3A3C5BD7" w14:textId="77777777" w:rsidR="00154AE3" w:rsidRDefault="00154AE3" w:rsidP="0040426A">
      <w:pPr>
        <w:pStyle w:val="FootnoteText"/>
      </w:pPr>
      <w:r>
        <w:rPr>
          <w:rStyle w:val="FootnoteReference"/>
        </w:rPr>
        <w:footnoteRef/>
      </w:r>
      <w:r>
        <w:t xml:space="preserve"> USAC, “Lifeline Program – Annual Recertification Form,” </w:t>
      </w:r>
      <w:r w:rsidRPr="00625677">
        <w:rPr>
          <w:i/>
        </w:rPr>
        <w:t>available at</w:t>
      </w:r>
      <w:r>
        <w:t xml:space="preserve"> </w:t>
      </w:r>
      <w:hyperlink r:id="rId24" w:history="1">
        <w:r w:rsidRPr="00143BD2">
          <w:rPr>
            <w:rStyle w:val="Hyperlink"/>
          </w:rPr>
          <w:t>https://www.usac.org/_res/documents/li/pdf/nv/li_recertification_nvstates.pdf</w:t>
        </w:r>
      </w:hyperlink>
      <w:r>
        <w:t xml:space="preserve">. </w:t>
      </w:r>
    </w:p>
  </w:footnote>
  <w:footnote w:id="109">
    <w:p w14:paraId="389C236B" w14:textId="77777777" w:rsidR="00154AE3" w:rsidRDefault="00154AE3">
      <w:pPr>
        <w:pStyle w:val="FootnoteText"/>
      </w:pPr>
      <w:r>
        <w:rPr>
          <w:rStyle w:val="FootnoteReference"/>
        </w:rPr>
        <w:footnoteRef/>
      </w:r>
      <w:r>
        <w:t xml:space="preserve"> </w:t>
      </w:r>
      <w:r w:rsidRPr="004D32C9">
        <w:t>Section 3518(c</w:t>
      </w:r>
      <w:proofErr w:type="gramStart"/>
      <w:r w:rsidRPr="004D32C9">
        <w:t>)(</w:t>
      </w:r>
      <w:proofErr w:type="gramEnd"/>
      <w:r w:rsidRPr="004D32C9">
        <w:t>1)(B) exempts information collected “during the conduct of…an administrative action or investigation involving an agency against specific individuals or entities” but that exemption is, by its own terms, inapplicable. Form 471 is an application for funding and review of its contents cannot reasonably be described as an administrative action “against” specific entities because the question of eligibility is</w:t>
      </w:r>
      <w:r>
        <w:t xml:space="preserve"> not a question of wrong-doing just as the annual Lifeline certification is not an “administrative action or investigation” within the meaning of Section 3518(c)(1)(B). </w:t>
      </w:r>
    </w:p>
  </w:footnote>
  <w:footnote w:id="110">
    <w:p w14:paraId="59079151" w14:textId="77777777" w:rsidR="00154AE3" w:rsidRDefault="00154AE3" w:rsidP="0040426A">
      <w:pPr>
        <w:pStyle w:val="FootnoteText"/>
      </w:pPr>
      <w:r>
        <w:rPr>
          <w:rStyle w:val="FootnoteReference"/>
        </w:rPr>
        <w:footnoteRef/>
      </w:r>
      <w:r>
        <w:t xml:space="preserve"> FCC, “</w:t>
      </w:r>
      <w:r w:rsidRPr="003A2608">
        <w:t>Information Collection Being Reviewed by the Federal Communications Commission,</w:t>
      </w:r>
      <w:r>
        <w:t>”</w:t>
      </w:r>
      <w:r w:rsidRPr="003A2608">
        <w:t xml:space="preserve"> 83 Fed. Reg. 23677</w:t>
      </w:r>
      <w:r>
        <w:t>, 23678</w:t>
      </w:r>
      <w:r w:rsidRPr="003A2608">
        <w:t xml:space="preserve"> (proposed Mar</w:t>
      </w:r>
      <w:r>
        <w:t>ch</w:t>
      </w:r>
      <w:r w:rsidRPr="003A2608">
        <w:t xml:space="preserve"> 22</w:t>
      </w:r>
      <w:r>
        <w:t>,</w:t>
      </w:r>
      <w:r w:rsidRPr="003A2608">
        <w:t xml:space="preserve"> 2018). </w:t>
      </w:r>
      <w:r w:rsidRPr="00890FD5">
        <w:rPr>
          <w:i/>
        </w:rPr>
        <w:t>See</w:t>
      </w:r>
      <w:r>
        <w:t xml:space="preserve"> </w:t>
      </w:r>
      <w:r w:rsidRPr="003A2608">
        <w:t>44 U.S.C. § 3512</w:t>
      </w:r>
      <w:r>
        <w:t>(a</w:t>
      </w:r>
      <w:proofErr w:type="gramStart"/>
      <w:r>
        <w:t>)(</w:t>
      </w:r>
      <w:proofErr w:type="gramEnd"/>
      <w:r>
        <w:t>1)(“Notwithstanding any other provision of law, no person shall be subject to any penalty for failing to comply with a collection of information that is subject to this subchapter [44 USCS §§ 3501 et seq.] if…the collection of information does not display a valid control number assigned by the Director in accordance with this subchapter.”). Similarly, it is improper to subject a person to adverse action if the agency “</w:t>
      </w:r>
      <w:r w:rsidRPr="00851CD2">
        <w:t>fails to inform the person who is to respond to the collection of information that such person is not required to respond to the collection of information unless it displays a valid control number</w:t>
      </w:r>
      <w:r>
        <w:t>.” 44 U.S.C. § 3512(a</w:t>
      </w:r>
      <w:proofErr w:type="gramStart"/>
      <w:r>
        <w:t>)(</w:t>
      </w:r>
      <w:proofErr w:type="gramEnd"/>
      <w:r>
        <w:t xml:space="preserve">2).  </w:t>
      </w:r>
    </w:p>
  </w:footnote>
  <w:footnote w:id="111">
    <w:p w14:paraId="125EBB47" w14:textId="77777777" w:rsidR="00154AE3" w:rsidRDefault="00154AE3">
      <w:pPr>
        <w:pStyle w:val="FootnoteText"/>
      </w:pPr>
      <w:r>
        <w:rPr>
          <w:rStyle w:val="FootnoteReference"/>
        </w:rPr>
        <w:footnoteRef/>
      </w:r>
      <w:r>
        <w:t xml:space="preserve"> USAC, “</w:t>
      </w:r>
      <w:r w:rsidRPr="00944331">
        <w:t>Reminders on the Competitive Bidding Process and the FCC Form 470</w:t>
      </w:r>
      <w:r>
        <w:t xml:space="preserve">,” </w:t>
      </w:r>
      <w:r>
        <w:rPr>
          <w:i/>
        </w:rPr>
        <w:t>Schools and Libraries Program News Brief</w:t>
      </w:r>
      <w:r>
        <w:t xml:space="preserve">, </w:t>
      </w:r>
      <w:r w:rsidRPr="00C01F16">
        <w:t>Jan</w:t>
      </w:r>
      <w:r>
        <w:t>.</w:t>
      </w:r>
      <w:r w:rsidRPr="00C01F16">
        <w:t xml:space="preserve"> 26, 2018</w:t>
      </w:r>
      <w:r>
        <w:t>,</w:t>
      </w:r>
      <w:r w:rsidRPr="00C01F16">
        <w:t xml:space="preserve"> </w:t>
      </w:r>
      <w:r w:rsidRPr="00625677">
        <w:rPr>
          <w:i/>
        </w:rPr>
        <w:t>available at</w:t>
      </w:r>
      <w:r>
        <w:t xml:space="preserve"> </w:t>
      </w:r>
      <w:hyperlink r:id="rId25" w:history="1">
        <w:r w:rsidRPr="00143BD2">
          <w:rPr>
            <w:rStyle w:val="Hyperlink"/>
          </w:rPr>
          <w:t>https://www.usac.org/sl/tools/news-briefs/preview.aspx?id=813</w:t>
        </w:r>
      </w:hyperlink>
      <w:r>
        <w:t xml:space="preserve"> (visited Jan. 4, 2019). </w:t>
      </w:r>
    </w:p>
  </w:footnote>
  <w:footnote w:id="112">
    <w:p w14:paraId="57434704" w14:textId="77777777" w:rsidR="00154AE3" w:rsidRDefault="00154AE3">
      <w:pPr>
        <w:pStyle w:val="FootnoteText"/>
      </w:pPr>
      <w:r>
        <w:rPr>
          <w:rStyle w:val="FootnoteReference"/>
        </w:rPr>
        <w:footnoteRef/>
      </w:r>
      <w:r>
        <w:t xml:space="preserve"> USAC, “</w:t>
      </w:r>
      <w:r w:rsidRPr="00623E11">
        <w:t>Reminders for Last-minute FCC Form 470 Filers</w:t>
      </w:r>
      <w:r>
        <w:t xml:space="preserve">,” </w:t>
      </w:r>
      <w:r>
        <w:rPr>
          <w:i/>
        </w:rPr>
        <w:t>Schools and Libraries Program News Brief</w:t>
      </w:r>
      <w:r>
        <w:t>, Feb. 16</w:t>
      </w:r>
      <w:r w:rsidRPr="00C01F16">
        <w:t>, 2018</w:t>
      </w:r>
      <w:r>
        <w:t>,</w:t>
      </w:r>
      <w:r w:rsidRPr="00A13B6D">
        <w:t xml:space="preserve"> </w:t>
      </w:r>
      <w:r w:rsidRPr="00A13B6D">
        <w:rPr>
          <w:i/>
        </w:rPr>
        <w:t>available at</w:t>
      </w:r>
      <w:r>
        <w:t xml:space="preserve"> </w:t>
      </w:r>
      <w:hyperlink r:id="rId26" w:history="1">
        <w:r w:rsidRPr="008D04E0">
          <w:rPr>
            <w:rStyle w:val="Hyperlink"/>
          </w:rPr>
          <w:t>https://www.usac.org/sl/tools/news-briefs/preview.aspx?id=817</w:t>
        </w:r>
      </w:hyperlink>
      <w:r>
        <w:t xml:space="preserve"> (visited Jan. 4, 2019).</w:t>
      </w:r>
    </w:p>
  </w:footnote>
  <w:footnote w:id="113">
    <w:p w14:paraId="4B085572" w14:textId="77777777" w:rsidR="00154AE3" w:rsidRDefault="00154AE3">
      <w:pPr>
        <w:pStyle w:val="FootnoteText"/>
      </w:pPr>
      <w:r>
        <w:rPr>
          <w:rStyle w:val="FootnoteReference"/>
        </w:rPr>
        <w:footnoteRef/>
      </w:r>
      <w:r>
        <w:t xml:space="preserve"> USAC, “Contract Modifiers,” </w:t>
      </w:r>
      <w:r w:rsidRPr="00A13B6D">
        <w:rPr>
          <w:i/>
        </w:rPr>
        <w:t>available at</w:t>
      </w:r>
      <w:r>
        <w:t xml:space="preserve"> </w:t>
      </w:r>
      <w:hyperlink r:id="rId27" w:history="1">
        <w:r w:rsidRPr="00143BD2">
          <w:rPr>
            <w:rStyle w:val="Hyperlink"/>
          </w:rPr>
          <w:t>https://www.usac.org/rhc/healthcare-connect/individual/step03/contract-mods.aspx</w:t>
        </w:r>
      </w:hyperlink>
      <w:r>
        <w:t>. (“</w:t>
      </w:r>
      <w:r w:rsidRPr="00B77E48">
        <w:t>Cardinal changes are new requirements that are materially different from those originally contracted for, and are not discussed in a changes clause in the original contract.</w:t>
      </w:r>
      <w:r>
        <w:t>”)</w:t>
      </w:r>
    </w:p>
  </w:footnote>
  <w:footnote w:id="114">
    <w:p w14:paraId="19C2CCF5" w14:textId="77777777" w:rsidR="00154AE3" w:rsidRDefault="00154AE3">
      <w:pPr>
        <w:pStyle w:val="FootnoteText"/>
      </w:pPr>
      <w:r>
        <w:rPr>
          <w:rStyle w:val="FootnoteReference"/>
        </w:rPr>
        <w:footnoteRef/>
      </w:r>
      <w:r>
        <w:t xml:space="preserve"> </w:t>
      </w:r>
      <w:r w:rsidRPr="005E0B7B">
        <w:t xml:space="preserve">USAC Procedures </w:t>
      </w:r>
      <w:r>
        <w:t>at 32-33.</w:t>
      </w:r>
    </w:p>
  </w:footnote>
  <w:footnote w:id="115">
    <w:p w14:paraId="613DA4F9" w14:textId="7E5A7154" w:rsidR="00154AE3" w:rsidRDefault="00154AE3">
      <w:pPr>
        <w:pStyle w:val="FootnoteText"/>
      </w:pPr>
      <w:r>
        <w:rPr>
          <w:rStyle w:val="FootnoteReference"/>
        </w:rPr>
        <w:footnoteRef/>
      </w:r>
      <w:r>
        <w:t xml:space="preserve"> School District of </w:t>
      </w:r>
      <w:proofErr w:type="spellStart"/>
      <w:r>
        <w:t>DeSoto</w:t>
      </w:r>
      <w:proofErr w:type="spellEnd"/>
      <w:r>
        <w:t xml:space="preserve"> County, “Self-provisioned / built fiber wan links – with </w:t>
      </w:r>
      <w:r w:rsidR="000C51BE">
        <w:t>special construction</w:t>
      </w:r>
      <w:r>
        <w:t xml:space="preserve"> cost from District office to Early Childhood Center,” Special Construction Application, FRN 1699020839 (2016); School District of </w:t>
      </w:r>
      <w:proofErr w:type="spellStart"/>
      <w:r>
        <w:t>DeSoto</w:t>
      </w:r>
      <w:proofErr w:type="spellEnd"/>
      <w:r>
        <w:t xml:space="preserve"> County, “Self-provisioned / built fiber wan links – with </w:t>
      </w:r>
      <w:r w:rsidR="000C51BE">
        <w:t>special construction</w:t>
      </w:r>
      <w:r>
        <w:t xml:space="preserve"> cost from District office to West Elementary School,” Special Construction Application, FRN 1699020878 (2016).</w:t>
      </w:r>
    </w:p>
  </w:footnote>
  <w:footnote w:id="116">
    <w:p w14:paraId="14EED9B9" w14:textId="77777777" w:rsidR="00154AE3" w:rsidRDefault="00154AE3">
      <w:pPr>
        <w:pStyle w:val="FootnoteText"/>
      </w:pPr>
      <w:r>
        <w:rPr>
          <w:rStyle w:val="FootnoteReference"/>
        </w:rPr>
        <w:footnoteRef/>
      </w:r>
      <w:r>
        <w:t xml:space="preserve"> Fearful that the payment of large, upfront costs might strain the resources of the Schools and Libraries Fund, the Commission had earlier ordered amortization of large, one-time costs. Request for Review by Brooklyn Public Library, Federal-State Joint Board on Universal Service, CC Docket Nos. 96-45 and 97-21 (2000), Subsequently, USAC required amortization over at least three years of upfront or non-recurring charges of $500,000 or more. </w:t>
      </w:r>
      <w:r w:rsidRPr="00625677">
        <w:rPr>
          <w:i/>
        </w:rPr>
        <w:t>Second Modernization Order</w:t>
      </w:r>
      <w:r>
        <w:t xml:space="preserve">, 29 FCC </w:t>
      </w:r>
      <w:proofErr w:type="spellStart"/>
      <w:r>
        <w:t>Rcd</w:t>
      </w:r>
      <w:proofErr w:type="spellEnd"/>
      <w:r>
        <w:t xml:space="preserve"> at 15555-56, </w:t>
      </w:r>
      <w:r w:rsidRPr="00295A2F">
        <w:t>¶</w:t>
      </w:r>
      <w:r>
        <w:t xml:space="preserve"> 18.</w:t>
      </w:r>
    </w:p>
  </w:footnote>
  <w:footnote w:id="117">
    <w:p w14:paraId="2A234BF3" w14:textId="77777777" w:rsidR="00154AE3" w:rsidRDefault="00154AE3">
      <w:pPr>
        <w:pStyle w:val="FootnoteText"/>
      </w:pPr>
      <w:r>
        <w:rPr>
          <w:rStyle w:val="FootnoteReference"/>
        </w:rPr>
        <w:footnoteRef/>
      </w:r>
      <w:r>
        <w:t xml:space="preserve"> </w:t>
      </w:r>
      <w:r w:rsidRPr="00C055A5">
        <w:rPr>
          <w:i/>
        </w:rPr>
        <w:t>Id</w:t>
      </w:r>
      <w:r>
        <w:t>. at 15555-56, ¶</w:t>
      </w:r>
      <w:r w:rsidRPr="00E03A5C">
        <w:t xml:space="preserve">¶ </w:t>
      </w:r>
      <w:r>
        <w:t>17 &amp; n.27, 19</w:t>
      </w:r>
      <w:r w:rsidRPr="00295A2F">
        <w:t>.</w:t>
      </w:r>
      <w:r>
        <w:t xml:space="preserve"> This change in policy was supported by schools, libraries and broadband providers. </w:t>
      </w:r>
      <w:r w:rsidRPr="00625677">
        <w:rPr>
          <w:i/>
        </w:rPr>
        <w:t>Id</w:t>
      </w:r>
      <w:r>
        <w:t xml:space="preserve">. at 15555, ¶ 17 &amp; </w:t>
      </w:r>
      <w:r w:rsidRPr="0039642A">
        <w:t>n.27</w:t>
      </w:r>
      <w:r>
        <w:t>.</w:t>
      </w:r>
    </w:p>
  </w:footnote>
  <w:footnote w:id="118">
    <w:p w14:paraId="27257688" w14:textId="77777777" w:rsidR="00154AE3" w:rsidRDefault="00154AE3">
      <w:pPr>
        <w:pStyle w:val="FootnoteText"/>
      </w:pPr>
      <w:r>
        <w:rPr>
          <w:rStyle w:val="FootnoteReference"/>
        </w:rPr>
        <w:footnoteRef/>
      </w:r>
      <w:r>
        <w:t xml:space="preserve"> </w:t>
      </w:r>
      <w:r w:rsidRPr="00A13B6D">
        <w:rPr>
          <w:i/>
        </w:rPr>
        <w:t>Id</w:t>
      </w:r>
      <w:r>
        <w:t xml:space="preserve">. at 15547, </w:t>
      </w:r>
      <w:r w:rsidRPr="00501BFC">
        <w:t>¶</w:t>
      </w:r>
      <w:r>
        <w:t xml:space="preserve"> 21.</w:t>
      </w:r>
    </w:p>
  </w:footnote>
  <w:footnote w:id="119">
    <w:p w14:paraId="6340FD4C" w14:textId="77777777" w:rsidR="00154AE3" w:rsidRDefault="00154AE3" w:rsidP="00D15716">
      <w:pPr>
        <w:pStyle w:val="FootnoteText"/>
      </w:pPr>
      <w:r>
        <w:rPr>
          <w:rStyle w:val="FootnoteReference"/>
        </w:rPr>
        <w:footnoteRef/>
      </w:r>
      <w:r>
        <w:t xml:space="preserve"> </w:t>
      </w:r>
      <w:r w:rsidRPr="007601DB">
        <w:rPr>
          <w:i/>
        </w:rPr>
        <w:t xml:space="preserve"> </w:t>
      </w:r>
      <w:r>
        <w:rPr>
          <w:i/>
        </w:rPr>
        <w:t xml:space="preserve">Amortization Temporary Waiver </w:t>
      </w:r>
      <w:r w:rsidRPr="00F93E27">
        <w:rPr>
          <w:i/>
        </w:rPr>
        <w:t>Order</w:t>
      </w:r>
      <w:r>
        <w:rPr>
          <w:i/>
        </w:rPr>
        <w:t xml:space="preserve"> and NPRN</w:t>
      </w:r>
      <w:r>
        <w:t xml:space="preserve">, </w:t>
      </w:r>
      <w:r w:rsidRPr="0035117A">
        <w:t>WC Docket No</w:t>
      </w:r>
      <w:r>
        <w:t>s</w:t>
      </w:r>
      <w:r w:rsidRPr="0035117A">
        <w:t>. 19-2</w:t>
      </w:r>
      <w:r>
        <w:t xml:space="preserve">, </w:t>
      </w:r>
      <w:r w:rsidRPr="005714CE">
        <w:t>13-184</w:t>
      </w:r>
      <w:r>
        <w:t>, ¶ 13.</w:t>
      </w:r>
    </w:p>
  </w:footnote>
  <w:footnote w:id="120">
    <w:p w14:paraId="4F4227CC" w14:textId="77777777" w:rsidR="00154AE3" w:rsidRDefault="00154AE3">
      <w:pPr>
        <w:pStyle w:val="FootnoteText"/>
      </w:pPr>
      <w:r>
        <w:rPr>
          <w:rStyle w:val="FootnoteReference"/>
        </w:rPr>
        <w:footnoteRef/>
      </w:r>
      <w:r>
        <w:t xml:space="preserve"> Letter from Evan </w:t>
      </w:r>
      <w:proofErr w:type="spellStart"/>
      <w:r>
        <w:t>Marwell</w:t>
      </w:r>
      <w:proofErr w:type="spellEnd"/>
      <w:r>
        <w:t xml:space="preserve">, </w:t>
      </w:r>
      <w:proofErr w:type="spellStart"/>
      <w:r>
        <w:t>EducationSuperHighway</w:t>
      </w:r>
      <w:proofErr w:type="spellEnd"/>
      <w:r>
        <w:t xml:space="preserve"> to </w:t>
      </w:r>
      <w:r w:rsidRPr="0006193D">
        <w:t>Marlene Dortch, Secretary, Federal Communications Commission</w:t>
      </w:r>
      <w:r>
        <w:t xml:space="preserve">, </w:t>
      </w:r>
      <w:r w:rsidRPr="004925F9">
        <w:t>November 12, 2018</w:t>
      </w:r>
      <w:r>
        <w:t xml:space="preserve"> </w:t>
      </w:r>
      <w:r w:rsidRPr="00A12C87">
        <w:t>(“</w:t>
      </w:r>
      <w:r w:rsidRPr="00625677">
        <w:t>ESH Amortization Letter”)</w:t>
      </w:r>
      <w:r>
        <w:t>.</w:t>
      </w:r>
    </w:p>
  </w:footnote>
  <w:footnote w:id="121">
    <w:p w14:paraId="37FD991F" w14:textId="77777777" w:rsidR="00154AE3" w:rsidRDefault="00154AE3" w:rsidP="00501BFC">
      <w:pPr>
        <w:pStyle w:val="FootnoteText"/>
      </w:pPr>
      <w:r>
        <w:rPr>
          <w:rStyle w:val="FootnoteReference"/>
        </w:rPr>
        <w:footnoteRef/>
      </w:r>
      <w:r>
        <w:t xml:space="preserve"> </w:t>
      </w:r>
      <w:r w:rsidRPr="00A13B6D">
        <w:rPr>
          <w:i/>
        </w:rPr>
        <w:t>Second Modernization Order</w:t>
      </w:r>
      <w:r>
        <w:t xml:space="preserve">, 29 FCC </w:t>
      </w:r>
      <w:proofErr w:type="spellStart"/>
      <w:r>
        <w:t>Rcd</w:t>
      </w:r>
      <w:proofErr w:type="spellEnd"/>
      <w:r>
        <w:t xml:space="preserve"> at 15555-56, </w:t>
      </w:r>
      <w:r w:rsidRPr="00501BFC">
        <w:t>¶</w:t>
      </w:r>
      <w:r>
        <w:t xml:space="preserve"> 18 (“the concerns described by the Commission in 2000 that caused USAC to institute this restriction have proven to be not well-founded.”).</w:t>
      </w:r>
    </w:p>
  </w:footnote>
  <w:footnote w:id="122">
    <w:p w14:paraId="16E81634" w14:textId="77777777" w:rsidR="00154AE3" w:rsidRDefault="00154AE3">
      <w:pPr>
        <w:pStyle w:val="FootnoteText"/>
      </w:pPr>
      <w:r>
        <w:rPr>
          <w:rStyle w:val="FootnoteReference"/>
        </w:rPr>
        <w:footnoteRef/>
      </w:r>
      <w:r>
        <w:t xml:space="preserve"> </w:t>
      </w:r>
      <w:r>
        <w:rPr>
          <w:i/>
        </w:rPr>
        <w:t xml:space="preserve">Amortization Temporary Waiver </w:t>
      </w:r>
      <w:r w:rsidRPr="00F93E27">
        <w:rPr>
          <w:i/>
        </w:rPr>
        <w:t>Order</w:t>
      </w:r>
      <w:r>
        <w:rPr>
          <w:i/>
        </w:rPr>
        <w:t xml:space="preserve"> and NPRN</w:t>
      </w:r>
      <w:r>
        <w:t xml:space="preserve">, </w:t>
      </w:r>
      <w:r w:rsidRPr="0035117A">
        <w:t>WC Docket No</w:t>
      </w:r>
      <w:r>
        <w:t>s</w:t>
      </w:r>
      <w:r w:rsidRPr="0035117A">
        <w:t>. 19-2</w:t>
      </w:r>
      <w:r>
        <w:t xml:space="preserve">, </w:t>
      </w:r>
      <w:r w:rsidRPr="005714CE">
        <w:t>13-184</w:t>
      </w:r>
      <w:r>
        <w:t>, ¶ 9.</w:t>
      </w:r>
    </w:p>
  </w:footnote>
  <w:footnote w:id="123">
    <w:p w14:paraId="60A8777F" w14:textId="77777777" w:rsidR="00154AE3" w:rsidRDefault="00154AE3">
      <w:pPr>
        <w:pStyle w:val="FootnoteText"/>
      </w:pPr>
      <w:r>
        <w:rPr>
          <w:rStyle w:val="FootnoteReference"/>
        </w:rPr>
        <w:footnoteRef/>
      </w:r>
      <w:r>
        <w:t xml:space="preserve"> Letter from John Windhausen to Marlene Dortch, Secretary, FCC, at 1 (Oct. 30, 2018</w:t>
      </w:r>
      <w:proofErr w:type="gramStart"/>
      <w:r>
        <w:t>)(</w:t>
      </w:r>
      <w:proofErr w:type="gramEnd"/>
      <w:r>
        <w:t>“SHLB Amortization Letter”).</w:t>
      </w:r>
    </w:p>
  </w:footnote>
  <w:footnote w:id="124">
    <w:p w14:paraId="39FD1C3A" w14:textId="77777777" w:rsidR="00154AE3" w:rsidRDefault="00154AE3">
      <w:pPr>
        <w:pStyle w:val="FootnoteText"/>
      </w:pPr>
      <w:r>
        <w:rPr>
          <w:rStyle w:val="FootnoteReference"/>
        </w:rPr>
        <w:footnoteRef/>
      </w:r>
      <w:r>
        <w:t xml:space="preserve"> </w:t>
      </w:r>
      <w:r w:rsidRPr="00A13B6D">
        <w:t>ESH Amortization Letter</w:t>
      </w:r>
      <w:r>
        <w:t xml:space="preserve"> at 1. </w:t>
      </w:r>
    </w:p>
  </w:footnote>
  <w:footnote w:id="125">
    <w:p w14:paraId="3E30B5C9" w14:textId="77777777" w:rsidR="00154AE3" w:rsidRDefault="00154AE3">
      <w:pPr>
        <w:pStyle w:val="FootnoteText"/>
      </w:pPr>
      <w:r>
        <w:rPr>
          <w:rStyle w:val="FootnoteReference"/>
        </w:rPr>
        <w:footnoteRef/>
      </w:r>
      <w:r>
        <w:t xml:space="preserve"> </w:t>
      </w:r>
      <w:r w:rsidRPr="009B7E3F">
        <w:t>SHLB Amortization Letter</w:t>
      </w:r>
      <w:r>
        <w:t xml:space="preserve"> at 2.</w:t>
      </w:r>
    </w:p>
  </w:footnote>
  <w:footnote w:id="126">
    <w:p w14:paraId="6DBABC41" w14:textId="77777777" w:rsidR="00154AE3" w:rsidRDefault="00154AE3">
      <w:pPr>
        <w:pStyle w:val="FootnoteText"/>
      </w:pPr>
      <w:r>
        <w:rPr>
          <w:rStyle w:val="FootnoteReference"/>
        </w:rPr>
        <w:footnoteRef/>
      </w:r>
      <w:r>
        <w:t xml:space="preserve"> Including equalizing treatment of dark and lit fiber and allowing self-construction of networks.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5143B" w14:textId="77777777" w:rsidR="00154AE3" w:rsidRDefault="00154AE3" w:rsidP="00107E53">
    <w:pPr>
      <w:pStyle w:val="Header"/>
      <w:jc w:val="right"/>
    </w:pPr>
  </w:p>
  <w:p w14:paraId="1496022A" w14:textId="77777777" w:rsidR="00154AE3" w:rsidRDefault="00154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0018"/>
    <w:multiLevelType w:val="hybridMultilevel"/>
    <w:tmpl w:val="73E48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6203A"/>
    <w:multiLevelType w:val="hybridMultilevel"/>
    <w:tmpl w:val="F5382412"/>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54FE7"/>
    <w:multiLevelType w:val="hybridMultilevel"/>
    <w:tmpl w:val="094E6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105A48"/>
    <w:multiLevelType w:val="hybridMultilevel"/>
    <w:tmpl w:val="AE545E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36838"/>
    <w:multiLevelType w:val="hybridMultilevel"/>
    <w:tmpl w:val="121A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13BCC"/>
    <w:multiLevelType w:val="hybridMultilevel"/>
    <w:tmpl w:val="A5986BDA"/>
    <w:lvl w:ilvl="0" w:tplc="3720261E">
      <w:start w:val="1"/>
      <w:numFmt w:val="upperRoman"/>
      <w:lvlText w:val="%1."/>
      <w:lvlJc w:val="left"/>
      <w:pPr>
        <w:ind w:left="998" w:hanging="720"/>
      </w:pPr>
      <w:rPr>
        <w:rFonts w:hint="default"/>
      </w:r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6" w15:restartNumberingAfterBreak="0">
    <w:nsid w:val="112622A4"/>
    <w:multiLevelType w:val="hybridMultilevel"/>
    <w:tmpl w:val="F6F23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775A8"/>
    <w:multiLevelType w:val="hybridMultilevel"/>
    <w:tmpl w:val="6BF4D9C6"/>
    <w:lvl w:ilvl="0" w:tplc="3B06AC1E">
      <w:start w:val="1"/>
      <w:numFmt w:val="upp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8" w15:restartNumberingAfterBreak="0">
    <w:nsid w:val="21805CE3"/>
    <w:multiLevelType w:val="hybridMultilevel"/>
    <w:tmpl w:val="9654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A66768"/>
    <w:multiLevelType w:val="multilevel"/>
    <w:tmpl w:val="B2644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9D68B9"/>
    <w:multiLevelType w:val="hybridMultilevel"/>
    <w:tmpl w:val="BC22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622383"/>
    <w:multiLevelType w:val="hybridMultilevel"/>
    <w:tmpl w:val="0D04A4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D942C4"/>
    <w:multiLevelType w:val="hybridMultilevel"/>
    <w:tmpl w:val="44A62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D2458B"/>
    <w:multiLevelType w:val="hybridMultilevel"/>
    <w:tmpl w:val="2BAE2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B11F17"/>
    <w:multiLevelType w:val="hybridMultilevel"/>
    <w:tmpl w:val="F3F479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BB417A"/>
    <w:multiLevelType w:val="hybridMultilevel"/>
    <w:tmpl w:val="6276A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2F12E1"/>
    <w:multiLevelType w:val="multilevel"/>
    <w:tmpl w:val="1112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F537F8"/>
    <w:multiLevelType w:val="hybridMultilevel"/>
    <w:tmpl w:val="AD80A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28D790E"/>
    <w:multiLevelType w:val="hybridMultilevel"/>
    <w:tmpl w:val="C522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3A268B"/>
    <w:multiLevelType w:val="hybridMultilevel"/>
    <w:tmpl w:val="B4CA3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F7944"/>
    <w:multiLevelType w:val="hybridMultilevel"/>
    <w:tmpl w:val="FB5A7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3327F"/>
    <w:multiLevelType w:val="hybridMultilevel"/>
    <w:tmpl w:val="EB90AD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10"/>
  </w:num>
  <w:num w:numId="4">
    <w:abstractNumId w:val="0"/>
  </w:num>
  <w:num w:numId="5">
    <w:abstractNumId w:val="6"/>
  </w:num>
  <w:num w:numId="6">
    <w:abstractNumId w:val="20"/>
  </w:num>
  <w:num w:numId="7">
    <w:abstractNumId w:val="19"/>
  </w:num>
  <w:num w:numId="8">
    <w:abstractNumId w:val="9"/>
  </w:num>
  <w:num w:numId="9">
    <w:abstractNumId w:val="21"/>
  </w:num>
  <w:num w:numId="10">
    <w:abstractNumId w:val="2"/>
  </w:num>
  <w:num w:numId="11">
    <w:abstractNumId w:val="11"/>
  </w:num>
  <w:num w:numId="12">
    <w:abstractNumId w:val="12"/>
  </w:num>
  <w:num w:numId="13">
    <w:abstractNumId w:val="13"/>
  </w:num>
  <w:num w:numId="14">
    <w:abstractNumId w:val="15"/>
  </w:num>
  <w:num w:numId="15">
    <w:abstractNumId w:val="3"/>
  </w:num>
  <w:num w:numId="16">
    <w:abstractNumId w:val="1"/>
  </w:num>
  <w:num w:numId="17">
    <w:abstractNumId w:val="18"/>
  </w:num>
  <w:num w:numId="18">
    <w:abstractNumId w:val="7"/>
  </w:num>
  <w:num w:numId="19">
    <w:abstractNumId w:val="5"/>
  </w:num>
  <w:num w:numId="20">
    <w:abstractNumId w:val="14"/>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4F1"/>
    <w:rsid w:val="0000166F"/>
    <w:rsid w:val="0000177F"/>
    <w:rsid w:val="0000373B"/>
    <w:rsid w:val="00004E0C"/>
    <w:rsid w:val="000059D9"/>
    <w:rsid w:val="00006145"/>
    <w:rsid w:val="000065E1"/>
    <w:rsid w:val="00007187"/>
    <w:rsid w:val="00007C47"/>
    <w:rsid w:val="0001143D"/>
    <w:rsid w:val="00011B94"/>
    <w:rsid w:val="00012688"/>
    <w:rsid w:val="000162F0"/>
    <w:rsid w:val="00017D2B"/>
    <w:rsid w:val="00020726"/>
    <w:rsid w:val="00020BA1"/>
    <w:rsid w:val="00022A10"/>
    <w:rsid w:val="00023565"/>
    <w:rsid w:val="00023ABF"/>
    <w:rsid w:val="000251C4"/>
    <w:rsid w:val="000278DD"/>
    <w:rsid w:val="00027D98"/>
    <w:rsid w:val="000308EE"/>
    <w:rsid w:val="0003122C"/>
    <w:rsid w:val="00031AD0"/>
    <w:rsid w:val="00032EF6"/>
    <w:rsid w:val="00032F46"/>
    <w:rsid w:val="00033661"/>
    <w:rsid w:val="000343D2"/>
    <w:rsid w:val="00034B06"/>
    <w:rsid w:val="000350B2"/>
    <w:rsid w:val="00035BC9"/>
    <w:rsid w:val="000361BB"/>
    <w:rsid w:val="0003632D"/>
    <w:rsid w:val="00037EF2"/>
    <w:rsid w:val="00040936"/>
    <w:rsid w:val="00040966"/>
    <w:rsid w:val="000421C9"/>
    <w:rsid w:val="00042A7B"/>
    <w:rsid w:val="00043553"/>
    <w:rsid w:val="0004413F"/>
    <w:rsid w:val="00044930"/>
    <w:rsid w:val="00045048"/>
    <w:rsid w:val="000460AE"/>
    <w:rsid w:val="00050DC3"/>
    <w:rsid w:val="0005123A"/>
    <w:rsid w:val="00051548"/>
    <w:rsid w:val="000538C5"/>
    <w:rsid w:val="00053F4A"/>
    <w:rsid w:val="00054D31"/>
    <w:rsid w:val="00055038"/>
    <w:rsid w:val="00055C40"/>
    <w:rsid w:val="00056131"/>
    <w:rsid w:val="000573C1"/>
    <w:rsid w:val="0006001F"/>
    <w:rsid w:val="00060D3B"/>
    <w:rsid w:val="000612BC"/>
    <w:rsid w:val="0006193D"/>
    <w:rsid w:val="00062015"/>
    <w:rsid w:val="00064E3D"/>
    <w:rsid w:val="000709BB"/>
    <w:rsid w:val="00071AEF"/>
    <w:rsid w:val="00071E66"/>
    <w:rsid w:val="00073636"/>
    <w:rsid w:val="000739BC"/>
    <w:rsid w:val="00074268"/>
    <w:rsid w:val="00080204"/>
    <w:rsid w:val="00080D9D"/>
    <w:rsid w:val="00080F2D"/>
    <w:rsid w:val="000814D0"/>
    <w:rsid w:val="000828E6"/>
    <w:rsid w:val="0008448B"/>
    <w:rsid w:val="000847E9"/>
    <w:rsid w:val="00084991"/>
    <w:rsid w:val="00084B3C"/>
    <w:rsid w:val="00085467"/>
    <w:rsid w:val="00087E6E"/>
    <w:rsid w:val="000900FB"/>
    <w:rsid w:val="00090703"/>
    <w:rsid w:val="00090C65"/>
    <w:rsid w:val="00090C6F"/>
    <w:rsid w:val="00090F25"/>
    <w:rsid w:val="00091442"/>
    <w:rsid w:val="00091854"/>
    <w:rsid w:val="00091E7D"/>
    <w:rsid w:val="00092DCC"/>
    <w:rsid w:val="00093391"/>
    <w:rsid w:val="000938C4"/>
    <w:rsid w:val="00093F27"/>
    <w:rsid w:val="00095CED"/>
    <w:rsid w:val="00096086"/>
    <w:rsid w:val="000966BE"/>
    <w:rsid w:val="00096C33"/>
    <w:rsid w:val="000A2024"/>
    <w:rsid w:val="000A3D04"/>
    <w:rsid w:val="000A4AC5"/>
    <w:rsid w:val="000A510B"/>
    <w:rsid w:val="000A7088"/>
    <w:rsid w:val="000A7B11"/>
    <w:rsid w:val="000B0E4D"/>
    <w:rsid w:val="000B420A"/>
    <w:rsid w:val="000B463A"/>
    <w:rsid w:val="000B46AF"/>
    <w:rsid w:val="000B512B"/>
    <w:rsid w:val="000B5CE8"/>
    <w:rsid w:val="000B78EB"/>
    <w:rsid w:val="000C214D"/>
    <w:rsid w:val="000C245A"/>
    <w:rsid w:val="000C355D"/>
    <w:rsid w:val="000C3BFC"/>
    <w:rsid w:val="000C51BE"/>
    <w:rsid w:val="000C6065"/>
    <w:rsid w:val="000D01D1"/>
    <w:rsid w:val="000D04F9"/>
    <w:rsid w:val="000D103E"/>
    <w:rsid w:val="000D23CC"/>
    <w:rsid w:val="000D26C8"/>
    <w:rsid w:val="000D2CF3"/>
    <w:rsid w:val="000D311A"/>
    <w:rsid w:val="000D4A59"/>
    <w:rsid w:val="000E0552"/>
    <w:rsid w:val="000E0E67"/>
    <w:rsid w:val="000E123D"/>
    <w:rsid w:val="000E2E61"/>
    <w:rsid w:val="000E5634"/>
    <w:rsid w:val="000E57B5"/>
    <w:rsid w:val="000E6BE4"/>
    <w:rsid w:val="000E702E"/>
    <w:rsid w:val="000E7BD6"/>
    <w:rsid w:val="000F0635"/>
    <w:rsid w:val="000F34E7"/>
    <w:rsid w:val="000F40A8"/>
    <w:rsid w:val="000F4BCB"/>
    <w:rsid w:val="000F530B"/>
    <w:rsid w:val="000F5BCC"/>
    <w:rsid w:val="000F64CD"/>
    <w:rsid w:val="000F6693"/>
    <w:rsid w:val="00101CF0"/>
    <w:rsid w:val="00101E1C"/>
    <w:rsid w:val="001020D1"/>
    <w:rsid w:val="00102756"/>
    <w:rsid w:val="00102A32"/>
    <w:rsid w:val="00103B66"/>
    <w:rsid w:val="00103C61"/>
    <w:rsid w:val="00104388"/>
    <w:rsid w:val="00106E5B"/>
    <w:rsid w:val="0010774B"/>
    <w:rsid w:val="00107E53"/>
    <w:rsid w:val="00110EBE"/>
    <w:rsid w:val="00111AA5"/>
    <w:rsid w:val="00113240"/>
    <w:rsid w:val="001144C9"/>
    <w:rsid w:val="00114D47"/>
    <w:rsid w:val="00117458"/>
    <w:rsid w:val="00120108"/>
    <w:rsid w:val="001207BA"/>
    <w:rsid w:val="00120C50"/>
    <w:rsid w:val="001229DF"/>
    <w:rsid w:val="00125EF2"/>
    <w:rsid w:val="00126A62"/>
    <w:rsid w:val="00127A9C"/>
    <w:rsid w:val="0013191D"/>
    <w:rsid w:val="00133888"/>
    <w:rsid w:val="00133B1E"/>
    <w:rsid w:val="00134376"/>
    <w:rsid w:val="0013451A"/>
    <w:rsid w:val="00135DA4"/>
    <w:rsid w:val="00137B01"/>
    <w:rsid w:val="00140108"/>
    <w:rsid w:val="00141E2A"/>
    <w:rsid w:val="00143C70"/>
    <w:rsid w:val="001443C5"/>
    <w:rsid w:val="00144465"/>
    <w:rsid w:val="0014460A"/>
    <w:rsid w:val="0014537D"/>
    <w:rsid w:val="00147140"/>
    <w:rsid w:val="00147CD7"/>
    <w:rsid w:val="0015182D"/>
    <w:rsid w:val="0015186F"/>
    <w:rsid w:val="00151CE9"/>
    <w:rsid w:val="00152246"/>
    <w:rsid w:val="001524F1"/>
    <w:rsid w:val="0015272F"/>
    <w:rsid w:val="00152A73"/>
    <w:rsid w:val="0015372B"/>
    <w:rsid w:val="00153A0E"/>
    <w:rsid w:val="00154AE3"/>
    <w:rsid w:val="00156F4F"/>
    <w:rsid w:val="00160698"/>
    <w:rsid w:val="00161E94"/>
    <w:rsid w:val="001621B7"/>
    <w:rsid w:val="00162F82"/>
    <w:rsid w:val="001630BF"/>
    <w:rsid w:val="00165942"/>
    <w:rsid w:val="00165BA6"/>
    <w:rsid w:val="00165BEE"/>
    <w:rsid w:val="00167480"/>
    <w:rsid w:val="00167754"/>
    <w:rsid w:val="00170C06"/>
    <w:rsid w:val="0017194E"/>
    <w:rsid w:val="00172456"/>
    <w:rsid w:val="00173358"/>
    <w:rsid w:val="00174830"/>
    <w:rsid w:val="001748BB"/>
    <w:rsid w:val="00174E01"/>
    <w:rsid w:val="00175728"/>
    <w:rsid w:val="0017624A"/>
    <w:rsid w:val="0017683E"/>
    <w:rsid w:val="00180580"/>
    <w:rsid w:val="00181E01"/>
    <w:rsid w:val="00182D19"/>
    <w:rsid w:val="00183882"/>
    <w:rsid w:val="00183E25"/>
    <w:rsid w:val="001852DE"/>
    <w:rsid w:val="001872FB"/>
    <w:rsid w:val="00187B0B"/>
    <w:rsid w:val="00192583"/>
    <w:rsid w:val="00193F3F"/>
    <w:rsid w:val="00194BFC"/>
    <w:rsid w:val="0019521E"/>
    <w:rsid w:val="00195A8B"/>
    <w:rsid w:val="00195E70"/>
    <w:rsid w:val="00196CA4"/>
    <w:rsid w:val="00197A38"/>
    <w:rsid w:val="00197AAE"/>
    <w:rsid w:val="001A1189"/>
    <w:rsid w:val="001A2319"/>
    <w:rsid w:val="001A425F"/>
    <w:rsid w:val="001A463E"/>
    <w:rsid w:val="001A626E"/>
    <w:rsid w:val="001A6B12"/>
    <w:rsid w:val="001B0897"/>
    <w:rsid w:val="001B134E"/>
    <w:rsid w:val="001B1E78"/>
    <w:rsid w:val="001B2480"/>
    <w:rsid w:val="001B3191"/>
    <w:rsid w:val="001B5148"/>
    <w:rsid w:val="001B73CD"/>
    <w:rsid w:val="001C008B"/>
    <w:rsid w:val="001C2753"/>
    <w:rsid w:val="001C2B6C"/>
    <w:rsid w:val="001C2E48"/>
    <w:rsid w:val="001C3FDE"/>
    <w:rsid w:val="001C412F"/>
    <w:rsid w:val="001C59F0"/>
    <w:rsid w:val="001C7D4F"/>
    <w:rsid w:val="001D0B87"/>
    <w:rsid w:val="001D12C2"/>
    <w:rsid w:val="001D13CA"/>
    <w:rsid w:val="001D3E8B"/>
    <w:rsid w:val="001D4558"/>
    <w:rsid w:val="001D45B5"/>
    <w:rsid w:val="001D4858"/>
    <w:rsid w:val="001D76DC"/>
    <w:rsid w:val="001D7A62"/>
    <w:rsid w:val="001E036A"/>
    <w:rsid w:val="001E1B37"/>
    <w:rsid w:val="001E3E4B"/>
    <w:rsid w:val="001F0349"/>
    <w:rsid w:val="001F1981"/>
    <w:rsid w:val="001F1F68"/>
    <w:rsid w:val="001F20DE"/>
    <w:rsid w:val="001F3814"/>
    <w:rsid w:val="001F3D34"/>
    <w:rsid w:val="001F421B"/>
    <w:rsid w:val="001F44B5"/>
    <w:rsid w:val="001F5468"/>
    <w:rsid w:val="001F6F79"/>
    <w:rsid w:val="001F725F"/>
    <w:rsid w:val="001F7533"/>
    <w:rsid w:val="001F7706"/>
    <w:rsid w:val="001F7F4E"/>
    <w:rsid w:val="00200812"/>
    <w:rsid w:val="002023BE"/>
    <w:rsid w:val="00202E06"/>
    <w:rsid w:val="00203D28"/>
    <w:rsid w:val="002042FB"/>
    <w:rsid w:val="002047DF"/>
    <w:rsid w:val="0020616E"/>
    <w:rsid w:val="00207833"/>
    <w:rsid w:val="0021278B"/>
    <w:rsid w:val="0021279B"/>
    <w:rsid w:val="00212A92"/>
    <w:rsid w:val="00212FA8"/>
    <w:rsid w:val="002158F9"/>
    <w:rsid w:val="00215971"/>
    <w:rsid w:val="00216501"/>
    <w:rsid w:val="00217A6C"/>
    <w:rsid w:val="00217F53"/>
    <w:rsid w:val="00220301"/>
    <w:rsid w:val="00221762"/>
    <w:rsid w:val="002225B9"/>
    <w:rsid w:val="0022409E"/>
    <w:rsid w:val="002240B1"/>
    <w:rsid w:val="002245BF"/>
    <w:rsid w:val="002268D8"/>
    <w:rsid w:val="00227873"/>
    <w:rsid w:val="00227D2B"/>
    <w:rsid w:val="0023025C"/>
    <w:rsid w:val="00230902"/>
    <w:rsid w:val="002314F4"/>
    <w:rsid w:val="002327DC"/>
    <w:rsid w:val="00232B44"/>
    <w:rsid w:val="00233D88"/>
    <w:rsid w:val="00233F02"/>
    <w:rsid w:val="00236DBE"/>
    <w:rsid w:val="0023712E"/>
    <w:rsid w:val="00237507"/>
    <w:rsid w:val="0024033A"/>
    <w:rsid w:val="00240509"/>
    <w:rsid w:val="002415C6"/>
    <w:rsid w:val="002417D2"/>
    <w:rsid w:val="002425A4"/>
    <w:rsid w:val="00245D7D"/>
    <w:rsid w:val="002461D6"/>
    <w:rsid w:val="00250A98"/>
    <w:rsid w:val="00251090"/>
    <w:rsid w:val="00251312"/>
    <w:rsid w:val="00251FAE"/>
    <w:rsid w:val="00251FE6"/>
    <w:rsid w:val="002526A9"/>
    <w:rsid w:val="00253F08"/>
    <w:rsid w:val="00255527"/>
    <w:rsid w:val="00255BCF"/>
    <w:rsid w:val="00257054"/>
    <w:rsid w:val="00257238"/>
    <w:rsid w:val="0025723D"/>
    <w:rsid w:val="00261101"/>
    <w:rsid w:val="00261268"/>
    <w:rsid w:val="00263796"/>
    <w:rsid w:val="00264550"/>
    <w:rsid w:val="002645D2"/>
    <w:rsid w:val="00265A19"/>
    <w:rsid w:val="00265AF7"/>
    <w:rsid w:val="00267ED7"/>
    <w:rsid w:val="00267FD3"/>
    <w:rsid w:val="002709FE"/>
    <w:rsid w:val="00270C45"/>
    <w:rsid w:val="002714EB"/>
    <w:rsid w:val="00271597"/>
    <w:rsid w:val="00272385"/>
    <w:rsid w:val="00273077"/>
    <w:rsid w:val="00273A05"/>
    <w:rsid w:val="00274650"/>
    <w:rsid w:val="0027480B"/>
    <w:rsid w:val="00276ADC"/>
    <w:rsid w:val="002774F7"/>
    <w:rsid w:val="00277984"/>
    <w:rsid w:val="00280396"/>
    <w:rsid w:val="0028071D"/>
    <w:rsid w:val="002809BF"/>
    <w:rsid w:val="00281258"/>
    <w:rsid w:val="0028155F"/>
    <w:rsid w:val="002820AF"/>
    <w:rsid w:val="00282732"/>
    <w:rsid w:val="00282A29"/>
    <w:rsid w:val="00283CE1"/>
    <w:rsid w:val="00284515"/>
    <w:rsid w:val="00284688"/>
    <w:rsid w:val="0028548A"/>
    <w:rsid w:val="0028739A"/>
    <w:rsid w:val="002903EF"/>
    <w:rsid w:val="00291C32"/>
    <w:rsid w:val="00291F86"/>
    <w:rsid w:val="00292BC2"/>
    <w:rsid w:val="002936B6"/>
    <w:rsid w:val="00293AC3"/>
    <w:rsid w:val="002945DD"/>
    <w:rsid w:val="00295A2F"/>
    <w:rsid w:val="00295A89"/>
    <w:rsid w:val="00296FDA"/>
    <w:rsid w:val="002A33F0"/>
    <w:rsid w:val="002A3A69"/>
    <w:rsid w:val="002A49FC"/>
    <w:rsid w:val="002A57E4"/>
    <w:rsid w:val="002A6107"/>
    <w:rsid w:val="002A6B97"/>
    <w:rsid w:val="002B0BF4"/>
    <w:rsid w:val="002B2523"/>
    <w:rsid w:val="002B2620"/>
    <w:rsid w:val="002B2B0F"/>
    <w:rsid w:val="002B340A"/>
    <w:rsid w:val="002B7D0E"/>
    <w:rsid w:val="002C17EC"/>
    <w:rsid w:val="002C1914"/>
    <w:rsid w:val="002C2B8E"/>
    <w:rsid w:val="002C3C92"/>
    <w:rsid w:val="002C3CD7"/>
    <w:rsid w:val="002C4218"/>
    <w:rsid w:val="002C466A"/>
    <w:rsid w:val="002C4A95"/>
    <w:rsid w:val="002C5BE3"/>
    <w:rsid w:val="002C5E2F"/>
    <w:rsid w:val="002C6C93"/>
    <w:rsid w:val="002C77A3"/>
    <w:rsid w:val="002D0614"/>
    <w:rsid w:val="002D0A26"/>
    <w:rsid w:val="002D0C85"/>
    <w:rsid w:val="002D13D0"/>
    <w:rsid w:val="002D2906"/>
    <w:rsid w:val="002D2CDC"/>
    <w:rsid w:val="002D3B24"/>
    <w:rsid w:val="002D3B76"/>
    <w:rsid w:val="002D6CAA"/>
    <w:rsid w:val="002D6E95"/>
    <w:rsid w:val="002D731D"/>
    <w:rsid w:val="002E0D2F"/>
    <w:rsid w:val="002E1C94"/>
    <w:rsid w:val="002E2416"/>
    <w:rsid w:val="002E38CF"/>
    <w:rsid w:val="002E3B9F"/>
    <w:rsid w:val="002E569D"/>
    <w:rsid w:val="002F0AEA"/>
    <w:rsid w:val="002F0BF9"/>
    <w:rsid w:val="002F3C6C"/>
    <w:rsid w:val="002F424D"/>
    <w:rsid w:val="002F57E0"/>
    <w:rsid w:val="002F5840"/>
    <w:rsid w:val="002F5C48"/>
    <w:rsid w:val="002F69AC"/>
    <w:rsid w:val="00300060"/>
    <w:rsid w:val="00301371"/>
    <w:rsid w:val="0030236C"/>
    <w:rsid w:val="0030245D"/>
    <w:rsid w:val="00302D7B"/>
    <w:rsid w:val="00303032"/>
    <w:rsid w:val="00303AC8"/>
    <w:rsid w:val="00303B29"/>
    <w:rsid w:val="00306D98"/>
    <w:rsid w:val="00307BB4"/>
    <w:rsid w:val="003108FE"/>
    <w:rsid w:val="0031146C"/>
    <w:rsid w:val="00312171"/>
    <w:rsid w:val="003125BC"/>
    <w:rsid w:val="00314A2E"/>
    <w:rsid w:val="00314BF4"/>
    <w:rsid w:val="00315FCD"/>
    <w:rsid w:val="003203F9"/>
    <w:rsid w:val="00324731"/>
    <w:rsid w:val="00325177"/>
    <w:rsid w:val="003319D2"/>
    <w:rsid w:val="00332473"/>
    <w:rsid w:val="00333A8F"/>
    <w:rsid w:val="00334496"/>
    <w:rsid w:val="00334A7A"/>
    <w:rsid w:val="00334CBD"/>
    <w:rsid w:val="00335CFB"/>
    <w:rsid w:val="00335EE5"/>
    <w:rsid w:val="00335FF5"/>
    <w:rsid w:val="00336CBD"/>
    <w:rsid w:val="00341710"/>
    <w:rsid w:val="00341D1A"/>
    <w:rsid w:val="0034241A"/>
    <w:rsid w:val="00343523"/>
    <w:rsid w:val="00344572"/>
    <w:rsid w:val="00344992"/>
    <w:rsid w:val="00344E2A"/>
    <w:rsid w:val="00345AC6"/>
    <w:rsid w:val="00346BAF"/>
    <w:rsid w:val="00346C86"/>
    <w:rsid w:val="00347713"/>
    <w:rsid w:val="00350127"/>
    <w:rsid w:val="00350F2A"/>
    <w:rsid w:val="003510E9"/>
    <w:rsid w:val="0035117A"/>
    <w:rsid w:val="00351394"/>
    <w:rsid w:val="00352182"/>
    <w:rsid w:val="003531FB"/>
    <w:rsid w:val="003538FF"/>
    <w:rsid w:val="00353F3B"/>
    <w:rsid w:val="0035443F"/>
    <w:rsid w:val="00357255"/>
    <w:rsid w:val="00360003"/>
    <w:rsid w:val="00360071"/>
    <w:rsid w:val="0036041F"/>
    <w:rsid w:val="003608D9"/>
    <w:rsid w:val="003609EF"/>
    <w:rsid w:val="00360BDA"/>
    <w:rsid w:val="003627A6"/>
    <w:rsid w:val="00364C57"/>
    <w:rsid w:val="00365B86"/>
    <w:rsid w:val="00365E06"/>
    <w:rsid w:val="00366525"/>
    <w:rsid w:val="00366A35"/>
    <w:rsid w:val="00370638"/>
    <w:rsid w:val="003728B0"/>
    <w:rsid w:val="00372F8D"/>
    <w:rsid w:val="0037495C"/>
    <w:rsid w:val="00374B88"/>
    <w:rsid w:val="00375D61"/>
    <w:rsid w:val="00376DF4"/>
    <w:rsid w:val="003771FE"/>
    <w:rsid w:val="003801CE"/>
    <w:rsid w:val="00380D44"/>
    <w:rsid w:val="003822E7"/>
    <w:rsid w:val="00383214"/>
    <w:rsid w:val="003837CC"/>
    <w:rsid w:val="00383D2D"/>
    <w:rsid w:val="0038405B"/>
    <w:rsid w:val="00384324"/>
    <w:rsid w:val="003849BF"/>
    <w:rsid w:val="00386CFE"/>
    <w:rsid w:val="00387E68"/>
    <w:rsid w:val="003912D3"/>
    <w:rsid w:val="00391B2D"/>
    <w:rsid w:val="00392221"/>
    <w:rsid w:val="00392329"/>
    <w:rsid w:val="00392F78"/>
    <w:rsid w:val="003932B8"/>
    <w:rsid w:val="00393943"/>
    <w:rsid w:val="003939D8"/>
    <w:rsid w:val="00395016"/>
    <w:rsid w:val="00395A81"/>
    <w:rsid w:val="0039642A"/>
    <w:rsid w:val="00396B6D"/>
    <w:rsid w:val="00397E07"/>
    <w:rsid w:val="003A10F1"/>
    <w:rsid w:val="003A1289"/>
    <w:rsid w:val="003A13D2"/>
    <w:rsid w:val="003A1934"/>
    <w:rsid w:val="003A2608"/>
    <w:rsid w:val="003A4B82"/>
    <w:rsid w:val="003A5678"/>
    <w:rsid w:val="003A5DBC"/>
    <w:rsid w:val="003A67D1"/>
    <w:rsid w:val="003B04E0"/>
    <w:rsid w:val="003B1D87"/>
    <w:rsid w:val="003B1EE4"/>
    <w:rsid w:val="003B24F0"/>
    <w:rsid w:val="003B2833"/>
    <w:rsid w:val="003B3B85"/>
    <w:rsid w:val="003B4551"/>
    <w:rsid w:val="003B4B2D"/>
    <w:rsid w:val="003B4F70"/>
    <w:rsid w:val="003B5605"/>
    <w:rsid w:val="003B6069"/>
    <w:rsid w:val="003B6974"/>
    <w:rsid w:val="003C0726"/>
    <w:rsid w:val="003C1350"/>
    <w:rsid w:val="003C15F5"/>
    <w:rsid w:val="003C25FB"/>
    <w:rsid w:val="003C268A"/>
    <w:rsid w:val="003C3E00"/>
    <w:rsid w:val="003C43E8"/>
    <w:rsid w:val="003C51E0"/>
    <w:rsid w:val="003C67E1"/>
    <w:rsid w:val="003C73AF"/>
    <w:rsid w:val="003D01B5"/>
    <w:rsid w:val="003D04A8"/>
    <w:rsid w:val="003D1C4E"/>
    <w:rsid w:val="003D2149"/>
    <w:rsid w:val="003D27D1"/>
    <w:rsid w:val="003D2CBD"/>
    <w:rsid w:val="003D2E58"/>
    <w:rsid w:val="003D3299"/>
    <w:rsid w:val="003E002F"/>
    <w:rsid w:val="003E076A"/>
    <w:rsid w:val="003E0F50"/>
    <w:rsid w:val="003E1B7B"/>
    <w:rsid w:val="003E2D52"/>
    <w:rsid w:val="003E2E6C"/>
    <w:rsid w:val="003E4A00"/>
    <w:rsid w:val="003E5F4B"/>
    <w:rsid w:val="003E7056"/>
    <w:rsid w:val="003E7EE6"/>
    <w:rsid w:val="003F059F"/>
    <w:rsid w:val="003F087F"/>
    <w:rsid w:val="003F0F28"/>
    <w:rsid w:val="003F36E1"/>
    <w:rsid w:val="003F44BD"/>
    <w:rsid w:val="003F55A9"/>
    <w:rsid w:val="003F5BB4"/>
    <w:rsid w:val="003F63C9"/>
    <w:rsid w:val="003F67A4"/>
    <w:rsid w:val="003F6B22"/>
    <w:rsid w:val="003F6EB3"/>
    <w:rsid w:val="003F7A9D"/>
    <w:rsid w:val="004018D7"/>
    <w:rsid w:val="00401C04"/>
    <w:rsid w:val="0040426A"/>
    <w:rsid w:val="00404AB2"/>
    <w:rsid w:val="00405CB0"/>
    <w:rsid w:val="00406518"/>
    <w:rsid w:val="0041044E"/>
    <w:rsid w:val="0041261C"/>
    <w:rsid w:val="00413B8D"/>
    <w:rsid w:val="004172A7"/>
    <w:rsid w:val="00417337"/>
    <w:rsid w:val="00417D0F"/>
    <w:rsid w:val="004202E3"/>
    <w:rsid w:val="00421C5E"/>
    <w:rsid w:val="00421D90"/>
    <w:rsid w:val="00424730"/>
    <w:rsid w:val="00424DD3"/>
    <w:rsid w:val="004263BE"/>
    <w:rsid w:val="00426C7E"/>
    <w:rsid w:val="00426E9F"/>
    <w:rsid w:val="0042720B"/>
    <w:rsid w:val="0042752A"/>
    <w:rsid w:val="004308B3"/>
    <w:rsid w:val="00431AEB"/>
    <w:rsid w:val="0043225C"/>
    <w:rsid w:val="00432555"/>
    <w:rsid w:val="004334BF"/>
    <w:rsid w:val="00435927"/>
    <w:rsid w:val="00436252"/>
    <w:rsid w:val="004366B1"/>
    <w:rsid w:val="004378EB"/>
    <w:rsid w:val="00437D62"/>
    <w:rsid w:val="004408F8"/>
    <w:rsid w:val="0044177A"/>
    <w:rsid w:val="0044181E"/>
    <w:rsid w:val="004425C1"/>
    <w:rsid w:val="0044358E"/>
    <w:rsid w:val="00445A8C"/>
    <w:rsid w:val="004509B1"/>
    <w:rsid w:val="00450FE0"/>
    <w:rsid w:val="0045213D"/>
    <w:rsid w:val="00452C2B"/>
    <w:rsid w:val="00452E5A"/>
    <w:rsid w:val="00453219"/>
    <w:rsid w:val="0045451F"/>
    <w:rsid w:val="00454EE3"/>
    <w:rsid w:val="004555E4"/>
    <w:rsid w:val="00456668"/>
    <w:rsid w:val="00456E2F"/>
    <w:rsid w:val="004576D4"/>
    <w:rsid w:val="00460002"/>
    <w:rsid w:val="00462F09"/>
    <w:rsid w:val="00463028"/>
    <w:rsid w:val="004639FF"/>
    <w:rsid w:val="00463C96"/>
    <w:rsid w:val="00464C68"/>
    <w:rsid w:val="0046540D"/>
    <w:rsid w:val="004667BE"/>
    <w:rsid w:val="00467407"/>
    <w:rsid w:val="00467C11"/>
    <w:rsid w:val="0047101C"/>
    <w:rsid w:val="004733D6"/>
    <w:rsid w:val="00474E28"/>
    <w:rsid w:val="004759E0"/>
    <w:rsid w:val="00475A03"/>
    <w:rsid w:val="00475EF4"/>
    <w:rsid w:val="00480B01"/>
    <w:rsid w:val="00480DCA"/>
    <w:rsid w:val="004810B2"/>
    <w:rsid w:val="00482457"/>
    <w:rsid w:val="00482E5B"/>
    <w:rsid w:val="00483ECB"/>
    <w:rsid w:val="004849BB"/>
    <w:rsid w:val="004865DB"/>
    <w:rsid w:val="00486DA7"/>
    <w:rsid w:val="004872F2"/>
    <w:rsid w:val="004877D0"/>
    <w:rsid w:val="004902B0"/>
    <w:rsid w:val="00490B1C"/>
    <w:rsid w:val="0049103F"/>
    <w:rsid w:val="00491413"/>
    <w:rsid w:val="004925F9"/>
    <w:rsid w:val="00493E04"/>
    <w:rsid w:val="00495819"/>
    <w:rsid w:val="00496667"/>
    <w:rsid w:val="00497706"/>
    <w:rsid w:val="004A1446"/>
    <w:rsid w:val="004A1C38"/>
    <w:rsid w:val="004A493C"/>
    <w:rsid w:val="004A4997"/>
    <w:rsid w:val="004A5AF4"/>
    <w:rsid w:val="004A6B91"/>
    <w:rsid w:val="004A725A"/>
    <w:rsid w:val="004A7F3A"/>
    <w:rsid w:val="004B04E9"/>
    <w:rsid w:val="004B15E1"/>
    <w:rsid w:val="004B1A62"/>
    <w:rsid w:val="004B23DD"/>
    <w:rsid w:val="004B38B1"/>
    <w:rsid w:val="004B3A4C"/>
    <w:rsid w:val="004B5C3D"/>
    <w:rsid w:val="004C44F5"/>
    <w:rsid w:val="004C47C0"/>
    <w:rsid w:val="004C4E53"/>
    <w:rsid w:val="004C55E7"/>
    <w:rsid w:val="004C5D6E"/>
    <w:rsid w:val="004D0B46"/>
    <w:rsid w:val="004D231C"/>
    <w:rsid w:val="004D2B51"/>
    <w:rsid w:val="004D2BE7"/>
    <w:rsid w:val="004D32C9"/>
    <w:rsid w:val="004D43A9"/>
    <w:rsid w:val="004D50EC"/>
    <w:rsid w:val="004D57A3"/>
    <w:rsid w:val="004D60BE"/>
    <w:rsid w:val="004D613B"/>
    <w:rsid w:val="004D6872"/>
    <w:rsid w:val="004D7DE2"/>
    <w:rsid w:val="004D7DF7"/>
    <w:rsid w:val="004E0870"/>
    <w:rsid w:val="004E145B"/>
    <w:rsid w:val="004E1E39"/>
    <w:rsid w:val="004E239C"/>
    <w:rsid w:val="004E2AA0"/>
    <w:rsid w:val="004E3E94"/>
    <w:rsid w:val="004E52CA"/>
    <w:rsid w:val="004E55EC"/>
    <w:rsid w:val="004F17A4"/>
    <w:rsid w:val="004F2263"/>
    <w:rsid w:val="004F3230"/>
    <w:rsid w:val="004F3BB2"/>
    <w:rsid w:val="004F4093"/>
    <w:rsid w:val="004F5FB3"/>
    <w:rsid w:val="004F761D"/>
    <w:rsid w:val="004F7A57"/>
    <w:rsid w:val="00501BFC"/>
    <w:rsid w:val="005039E2"/>
    <w:rsid w:val="005045A8"/>
    <w:rsid w:val="0050533E"/>
    <w:rsid w:val="005054D5"/>
    <w:rsid w:val="00505A95"/>
    <w:rsid w:val="00507E26"/>
    <w:rsid w:val="005115B1"/>
    <w:rsid w:val="005120E2"/>
    <w:rsid w:val="0051291C"/>
    <w:rsid w:val="00512F89"/>
    <w:rsid w:val="00513B73"/>
    <w:rsid w:val="00514733"/>
    <w:rsid w:val="00514E48"/>
    <w:rsid w:val="005158C5"/>
    <w:rsid w:val="00515C8E"/>
    <w:rsid w:val="00516F15"/>
    <w:rsid w:val="0051769B"/>
    <w:rsid w:val="00517D6D"/>
    <w:rsid w:val="00520C06"/>
    <w:rsid w:val="00521068"/>
    <w:rsid w:val="00521377"/>
    <w:rsid w:val="005213B2"/>
    <w:rsid w:val="00522C00"/>
    <w:rsid w:val="00523177"/>
    <w:rsid w:val="00524847"/>
    <w:rsid w:val="00525EA4"/>
    <w:rsid w:val="00526E1D"/>
    <w:rsid w:val="0053016C"/>
    <w:rsid w:val="0053064A"/>
    <w:rsid w:val="00532573"/>
    <w:rsid w:val="00532588"/>
    <w:rsid w:val="00533476"/>
    <w:rsid w:val="0053446A"/>
    <w:rsid w:val="00534892"/>
    <w:rsid w:val="00535887"/>
    <w:rsid w:val="005372FC"/>
    <w:rsid w:val="0053762A"/>
    <w:rsid w:val="0053791D"/>
    <w:rsid w:val="0054017A"/>
    <w:rsid w:val="005402DC"/>
    <w:rsid w:val="0054156E"/>
    <w:rsid w:val="00541E8D"/>
    <w:rsid w:val="005429A9"/>
    <w:rsid w:val="00543659"/>
    <w:rsid w:val="00544BE1"/>
    <w:rsid w:val="0054588F"/>
    <w:rsid w:val="0054645A"/>
    <w:rsid w:val="00547695"/>
    <w:rsid w:val="00547B69"/>
    <w:rsid w:val="0055148F"/>
    <w:rsid w:val="00551E39"/>
    <w:rsid w:val="00552CE5"/>
    <w:rsid w:val="0055330C"/>
    <w:rsid w:val="005544E6"/>
    <w:rsid w:val="00554A2D"/>
    <w:rsid w:val="00555457"/>
    <w:rsid w:val="00557A3E"/>
    <w:rsid w:val="00557DE6"/>
    <w:rsid w:val="00560798"/>
    <w:rsid w:val="005616C8"/>
    <w:rsid w:val="00562368"/>
    <w:rsid w:val="00562A1E"/>
    <w:rsid w:val="005632FA"/>
    <w:rsid w:val="00564B94"/>
    <w:rsid w:val="00564D4B"/>
    <w:rsid w:val="005650E1"/>
    <w:rsid w:val="00566148"/>
    <w:rsid w:val="00567397"/>
    <w:rsid w:val="00570BA5"/>
    <w:rsid w:val="005714CE"/>
    <w:rsid w:val="00571B43"/>
    <w:rsid w:val="0057361A"/>
    <w:rsid w:val="00573CEF"/>
    <w:rsid w:val="00577E72"/>
    <w:rsid w:val="005820A1"/>
    <w:rsid w:val="00583C08"/>
    <w:rsid w:val="00584173"/>
    <w:rsid w:val="0058437B"/>
    <w:rsid w:val="005857CE"/>
    <w:rsid w:val="00590100"/>
    <w:rsid w:val="00593AA6"/>
    <w:rsid w:val="00595274"/>
    <w:rsid w:val="00595846"/>
    <w:rsid w:val="00595AFA"/>
    <w:rsid w:val="00596A52"/>
    <w:rsid w:val="0059759A"/>
    <w:rsid w:val="005A1A92"/>
    <w:rsid w:val="005A2C66"/>
    <w:rsid w:val="005A2E8A"/>
    <w:rsid w:val="005A32C3"/>
    <w:rsid w:val="005A3A6F"/>
    <w:rsid w:val="005A41BE"/>
    <w:rsid w:val="005A43A6"/>
    <w:rsid w:val="005A462F"/>
    <w:rsid w:val="005A4BBC"/>
    <w:rsid w:val="005A565E"/>
    <w:rsid w:val="005A6575"/>
    <w:rsid w:val="005A696A"/>
    <w:rsid w:val="005A7065"/>
    <w:rsid w:val="005A7E8C"/>
    <w:rsid w:val="005B019A"/>
    <w:rsid w:val="005B0489"/>
    <w:rsid w:val="005B0775"/>
    <w:rsid w:val="005B07C8"/>
    <w:rsid w:val="005B29EF"/>
    <w:rsid w:val="005B3468"/>
    <w:rsid w:val="005B4345"/>
    <w:rsid w:val="005B5126"/>
    <w:rsid w:val="005B5A29"/>
    <w:rsid w:val="005B68D7"/>
    <w:rsid w:val="005C04F9"/>
    <w:rsid w:val="005C2913"/>
    <w:rsid w:val="005C39FF"/>
    <w:rsid w:val="005C3A81"/>
    <w:rsid w:val="005C3E85"/>
    <w:rsid w:val="005C56E4"/>
    <w:rsid w:val="005D1735"/>
    <w:rsid w:val="005D2B46"/>
    <w:rsid w:val="005D426E"/>
    <w:rsid w:val="005D4F24"/>
    <w:rsid w:val="005D4F5E"/>
    <w:rsid w:val="005D565E"/>
    <w:rsid w:val="005D5E08"/>
    <w:rsid w:val="005D68E1"/>
    <w:rsid w:val="005D6F45"/>
    <w:rsid w:val="005D7B9A"/>
    <w:rsid w:val="005E0B7B"/>
    <w:rsid w:val="005E15C9"/>
    <w:rsid w:val="005E2152"/>
    <w:rsid w:val="005E2519"/>
    <w:rsid w:val="005E2F4F"/>
    <w:rsid w:val="005E39B8"/>
    <w:rsid w:val="005E4BFF"/>
    <w:rsid w:val="005E55E9"/>
    <w:rsid w:val="005E5755"/>
    <w:rsid w:val="005E6A92"/>
    <w:rsid w:val="005E6E7B"/>
    <w:rsid w:val="005F0CC4"/>
    <w:rsid w:val="005F11DB"/>
    <w:rsid w:val="005F1D12"/>
    <w:rsid w:val="005F3CC5"/>
    <w:rsid w:val="005F458E"/>
    <w:rsid w:val="005F4905"/>
    <w:rsid w:val="005F6135"/>
    <w:rsid w:val="005F65EC"/>
    <w:rsid w:val="005F7D19"/>
    <w:rsid w:val="00600676"/>
    <w:rsid w:val="006020EB"/>
    <w:rsid w:val="0060261D"/>
    <w:rsid w:val="00604748"/>
    <w:rsid w:val="006047FF"/>
    <w:rsid w:val="00605F6D"/>
    <w:rsid w:val="006069DF"/>
    <w:rsid w:val="00607ACB"/>
    <w:rsid w:val="00607AF8"/>
    <w:rsid w:val="00610BE2"/>
    <w:rsid w:val="0061135C"/>
    <w:rsid w:val="00611A83"/>
    <w:rsid w:val="00611AFC"/>
    <w:rsid w:val="006158F3"/>
    <w:rsid w:val="00616AAE"/>
    <w:rsid w:val="00616CE4"/>
    <w:rsid w:val="00617268"/>
    <w:rsid w:val="00617434"/>
    <w:rsid w:val="0062041B"/>
    <w:rsid w:val="00620A96"/>
    <w:rsid w:val="00620CA5"/>
    <w:rsid w:val="00621EB2"/>
    <w:rsid w:val="00623E11"/>
    <w:rsid w:val="00625677"/>
    <w:rsid w:val="00627BF7"/>
    <w:rsid w:val="00630923"/>
    <w:rsid w:val="00631AB2"/>
    <w:rsid w:val="00632BF3"/>
    <w:rsid w:val="0063314E"/>
    <w:rsid w:val="0063457B"/>
    <w:rsid w:val="0063515B"/>
    <w:rsid w:val="006357EC"/>
    <w:rsid w:val="00635A31"/>
    <w:rsid w:val="00636713"/>
    <w:rsid w:val="00636E73"/>
    <w:rsid w:val="006374AD"/>
    <w:rsid w:val="00640F3B"/>
    <w:rsid w:val="0064158E"/>
    <w:rsid w:val="006424AD"/>
    <w:rsid w:val="00643702"/>
    <w:rsid w:val="00643E75"/>
    <w:rsid w:val="00644174"/>
    <w:rsid w:val="006457EF"/>
    <w:rsid w:val="00645BD2"/>
    <w:rsid w:val="00646859"/>
    <w:rsid w:val="00647783"/>
    <w:rsid w:val="00650E3B"/>
    <w:rsid w:val="00653AFD"/>
    <w:rsid w:val="00653E71"/>
    <w:rsid w:val="00654B89"/>
    <w:rsid w:val="00654CEC"/>
    <w:rsid w:val="0065643B"/>
    <w:rsid w:val="006565E9"/>
    <w:rsid w:val="006567AF"/>
    <w:rsid w:val="0065689E"/>
    <w:rsid w:val="00660457"/>
    <w:rsid w:val="00660946"/>
    <w:rsid w:val="006618EE"/>
    <w:rsid w:val="00661ACC"/>
    <w:rsid w:val="00661C43"/>
    <w:rsid w:val="006626E9"/>
    <w:rsid w:val="00666326"/>
    <w:rsid w:val="00667325"/>
    <w:rsid w:val="00667E76"/>
    <w:rsid w:val="00667F28"/>
    <w:rsid w:val="006732DF"/>
    <w:rsid w:val="0067345E"/>
    <w:rsid w:val="006744B8"/>
    <w:rsid w:val="00676FF1"/>
    <w:rsid w:val="00680E32"/>
    <w:rsid w:val="00682B36"/>
    <w:rsid w:val="00682CE6"/>
    <w:rsid w:val="006863E5"/>
    <w:rsid w:val="00686669"/>
    <w:rsid w:val="006873EC"/>
    <w:rsid w:val="006878F0"/>
    <w:rsid w:val="00692DE0"/>
    <w:rsid w:val="00693B06"/>
    <w:rsid w:val="00694A41"/>
    <w:rsid w:val="00695512"/>
    <w:rsid w:val="006959D3"/>
    <w:rsid w:val="00697420"/>
    <w:rsid w:val="00697940"/>
    <w:rsid w:val="00697EA0"/>
    <w:rsid w:val="006A0C58"/>
    <w:rsid w:val="006A186B"/>
    <w:rsid w:val="006A1B37"/>
    <w:rsid w:val="006A1C10"/>
    <w:rsid w:val="006A26DB"/>
    <w:rsid w:val="006A38ED"/>
    <w:rsid w:val="006A6D02"/>
    <w:rsid w:val="006B18FC"/>
    <w:rsid w:val="006B5AD9"/>
    <w:rsid w:val="006B6903"/>
    <w:rsid w:val="006B7BC8"/>
    <w:rsid w:val="006C0ABF"/>
    <w:rsid w:val="006C1B5A"/>
    <w:rsid w:val="006C1E18"/>
    <w:rsid w:val="006C2E06"/>
    <w:rsid w:val="006C4918"/>
    <w:rsid w:val="006C4C98"/>
    <w:rsid w:val="006C5F8B"/>
    <w:rsid w:val="006C70ED"/>
    <w:rsid w:val="006D0893"/>
    <w:rsid w:val="006D1314"/>
    <w:rsid w:val="006D1623"/>
    <w:rsid w:val="006D1A18"/>
    <w:rsid w:val="006D1B1A"/>
    <w:rsid w:val="006D1CB1"/>
    <w:rsid w:val="006D1F67"/>
    <w:rsid w:val="006D2158"/>
    <w:rsid w:val="006D2808"/>
    <w:rsid w:val="006D4854"/>
    <w:rsid w:val="006D486A"/>
    <w:rsid w:val="006D56FD"/>
    <w:rsid w:val="006D59AF"/>
    <w:rsid w:val="006D707D"/>
    <w:rsid w:val="006E03AA"/>
    <w:rsid w:val="006E2042"/>
    <w:rsid w:val="006E46CB"/>
    <w:rsid w:val="006E600A"/>
    <w:rsid w:val="006E657B"/>
    <w:rsid w:val="006E6710"/>
    <w:rsid w:val="006F02AB"/>
    <w:rsid w:val="006F02B5"/>
    <w:rsid w:val="006F0FC3"/>
    <w:rsid w:val="006F1432"/>
    <w:rsid w:val="006F2DEF"/>
    <w:rsid w:val="006F34A7"/>
    <w:rsid w:val="006F3C57"/>
    <w:rsid w:val="006F42DB"/>
    <w:rsid w:val="006F4552"/>
    <w:rsid w:val="006F4B08"/>
    <w:rsid w:val="006F4DAF"/>
    <w:rsid w:val="006F4DB9"/>
    <w:rsid w:val="006F6050"/>
    <w:rsid w:val="006F61C7"/>
    <w:rsid w:val="006F67AA"/>
    <w:rsid w:val="006F7597"/>
    <w:rsid w:val="007041B6"/>
    <w:rsid w:val="00706A0F"/>
    <w:rsid w:val="00706B93"/>
    <w:rsid w:val="00707436"/>
    <w:rsid w:val="007101ED"/>
    <w:rsid w:val="00710267"/>
    <w:rsid w:val="007110F0"/>
    <w:rsid w:val="00712677"/>
    <w:rsid w:val="007127CE"/>
    <w:rsid w:val="00712EB4"/>
    <w:rsid w:val="00712F01"/>
    <w:rsid w:val="00715297"/>
    <w:rsid w:val="00716C86"/>
    <w:rsid w:val="00717ADF"/>
    <w:rsid w:val="00717E4D"/>
    <w:rsid w:val="00722057"/>
    <w:rsid w:val="0072214E"/>
    <w:rsid w:val="00722218"/>
    <w:rsid w:val="00722C27"/>
    <w:rsid w:val="00722F8E"/>
    <w:rsid w:val="0072330A"/>
    <w:rsid w:val="0072365D"/>
    <w:rsid w:val="00723888"/>
    <w:rsid w:val="00724391"/>
    <w:rsid w:val="007245EF"/>
    <w:rsid w:val="00725F2C"/>
    <w:rsid w:val="00726357"/>
    <w:rsid w:val="007321AF"/>
    <w:rsid w:val="00732F7E"/>
    <w:rsid w:val="00733065"/>
    <w:rsid w:val="00733506"/>
    <w:rsid w:val="007337C4"/>
    <w:rsid w:val="00736033"/>
    <w:rsid w:val="007363D7"/>
    <w:rsid w:val="007377E8"/>
    <w:rsid w:val="00737FB7"/>
    <w:rsid w:val="00740F9D"/>
    <w:rsid w:val="00742C6A"/>
    <w:rsid w:val="00744B7D"/>
    <w:rsid w:val="0074528A"/>
    <w:rsid w:val="00747362"/>
    <w:rsid w:val="007473EE"/>
    <w:rsid w:val="007474EE"/>
    <w:rsid w:val="007524D2"/>
    <w:rsid w:val="00752734"/>
    <w:rsid w:val="00755DD7"/>
    <w:rsid w:val="00756686"/>
    <w:rsid w:val="00757DEF"/>
    <w:rsid w:val="007601DB"/>
    <w:rsid w:val="007602FF"/>
    <w:rsid w:val="007628F3"/>
    <w:rsid w:val="007644E7"/>
    <w:rsid w:val="007655A3"/>
    <w:rsid w:val="007659C9"/>
    <w:rsid w:val="0076695A"/>
    <w:rsid w:val="007670A2"/>
    <w:rsid w:val="007676FC"/>
    <w:rsid w:val="00767CD6"/>
    <w:rsid w:val="007704E9"/>
    <w:rsid w:val="007713EB"/>
    <w:rsid w:val="00771402"/>
    <w:rsid w:val="00771C98"/>
    <w:rsid w:val="00773C3F"/>
    <w:rsid w:val="00774D15"/>
    <w:rsid w:val="00775B39"/>
    <w:rsid w:val="00776F11"/>
    <w:rsid w:val="00781753"/>
    <w:rsid w:val="00782AEF"/>
    <w:rsid w:val="007836B0"/>
    <w:rsid w:val="007838BC"/>
    <w:rsid w:val="00784518"/>
    <w:rsid w:val="00784773"/>
    <w:rsid w:val="0078485C"/>
    <w:rsid w:val="00784E15"/>
    <w:rsid w:val="0078524D"/>
    <w:rsid w:val="00785785"/>
    <w:rsid w:val="00785DA3"/>
    <w:rsid w:val="0078650A"/>
    <w:rsid w:val="00790041"/>
    <w:rsid w:val="00790FCE"/>
    <w:rsid w:val="0079141B"/>
    <w:rsid w:val="00793B69"/>
    <w:rsid w:val="00794582"/>
    <w:rsid w:val="007952BB"/>
    <w:rsid w:val="00797F66"/>
    <w:rsid w:val="007A0AED"/>
    <w:rsid w:val="007A23DA"/>
    <w:rsid w:val="007A2978"/>
    <w:rsid w:val="007A41D4"/>
    <w:rsid w:val="007A469D"/>
    <w:rsid w:val="007A6E55"/>
    <w:rsid w:val="007A71E9"/>
    <w:rsid w:val="007A7620"/>
    <w:rsid w:val="007A76A6"/>
    <w:rsid w:val="007A7BE5"/>
    <w:rsid w:val="007B07C5"/>
    <w:rsid w:val="007B2C57"/>
    <w:rsid w:val="007B2ED8"/>
    <w:rsid w:val="007B3628"/>
    <w:rsid w:val="007B43EB"/>
    <w:rsid w:val="007B654C"/>
    <w:rsid w:val="007B77EF"/>
    <w:rsid w:val="007B796A"/>
    <w:rsid w:val="007C02DE"/>
    <w:rsid w:val="007C0679"/>
    <w:rsid w:val="007C1E62"/>
    <w:rsid w:val="007C2663"/>
    <w:rsid w:val="007C53EC"/>
    <w:rsid w:val="007C6B64"/>
    <w:rsid w:val="007D03BE"/>
    <w:rsid w:val="007D04C4"/>
    <w:rsid w:val="007D1D92"/>
    <w:rsid w:val="007D61B0"/>
    <w:rsid w:val="007D76F9"/>
    <w:rsid w:val="007E0395"/>
    <w:rsid w:val="007E0CEC"/>
    <w:rsid w:val="007E1C02"/>
    <w:rsid w:val="007E2C1B"/>
    <w:rsid w:val="007E3B0C"/>
    <w:rsid w:val="007E43AF"/>
    <w:rsid w:val="007E6597"/>
    <w:rsid w:val="007E7394"/>
    <w:rsid w:val="007F001D"/>
    <w:rsid w:val="007F151E"/>
    <w:rsid w:val="007F488C"/>
    <w:rsid w:val="007F5DBB"/>
    <w:rsid w:val="007F706C"/>
    <w:rsid w:val="00801F23"/>
    <w:rsid w:val="00803610"/>
    <w:rsid w:val="00806954"/>
    <w:rsid w:val="00806D71"/>
    <w:rsid w:val="00807A42"/>
    <w:rsid w:val="00810D6D"/>
    <w:rsid w:val="00812401"/>
    <w:rsid w:val="008133FF"/>
    <w:rsid w:val="008142A8"/>
    <w:rsid w:val="00814944"/>
    <w:rsid w:val="00821D61"/>
    <w:rsid w:val="00821DEC"/>
    <w:rsid w:val="00822530"/>
    <w:rsid w:val="00825E38"/>
    <w:rsid w:val="008269AB"/>
    <w:rsid w:val="008317C5"/>
    <w:rsid w:val="008318A5"/>
    <w:rsid w:val="00832409"/>
    <w:rsid w:val="008326E5"/>
    <w:rsid w:val="0083301C"/>
    <w:rsid w:val="008334A4"/>
    <w:rsid w:val="00833D58"/>
    <w:rsid w:val="00833FB9"/>
    <w:rsid w:val="008344EE"/>
    <w:rsid w:val="008348EC"/>
    <w:rsid w:val="008353EB"/>
    <w:rsid w:val="00835B11"/>
    <w:rsid w:val="00835DAC"/>
    <w:rsid w:val="00836CC6"/>
    <w:rsid w:val="00842334"/>
    <w:rsid w:val="00844CD6"/>
    <w:rsid w:val="00845023"/>
    <w:rsid w:val="0084609A"/>
    <w:rsid w:val="00846753"/>
    <w:rsid w:val="0084774D"/>
    <w:rsid w:val="008502BB"/>
    <w:rsid w:val="00850875"/>
    <w:rsid w:val="00851CD2"/>
    <w:rsid w:val="008520A3"/>
    <w:rsid w:val="00857A65"/>
    <w:rsid w:val="00857FE9"/>
    <w:rsid w:val="00860ADC"/>
    <w:rsid w:val="0086252C"/>
    <w:rsid w:val="00862799"/>
    <w:rsid w:val="00863285"/>
    <w:rsid w:val="008632BB"/>
    <w:rsid w:val="00863F15"/>
    <w:rsid w:val="00863F2E"/>
    <w:rsid w:val="0086560D"/>
    <w:rsid w:val="008674D0"/>
    <w:rsid w:val="00870716"/>
    <w:rsid w:val="00871E0D"/>
    <w:rsid w:val="00874E98"/>
    <w:rsid w:val="008755D6"/>
    <w:rsid w:val="00875D81"/>
    <w:rsid w:val="00877BB3"/>
    <w:rsid w:val="0088013B"/>
    <w:rsid w:val="00880275"/>
    <w:rsid w:val="00882A0E"/>
    <w:rsid w:val="00882F7B"/>
    <w:rsid w:val="008833FF"/>
    <w:rsid w:val="008835DD"/>
    <w:rsid w:val="00883A67"/>
    <w:rsid w:val="00885526"/>
    <w:rsid w:val="0088567A"/>
    <w:rsid w:val="00886F62"/>
    <w:rsid w:val="00890FD5"/>
    <w:rsid w:val="00891680"/>
    <w:rsid w:val="00891C63"/>
    <w:rsid w:val="00893399"/>
    <w:rsid w:val="008943E4"/>
    <w:rsid w:val="008974A2"/>
    <w:rsid w:val="008A1173"/>
    <w:rsid w:val="008A1FFF"/>
    <w:rsid w:val="008A22D2"/>
    <w:rsid w:val="008A3A2D"/>
    <w:rsid w:val="008A3E89"/>
    <w:rsid w:val="008A4B62"/>
    <w:rsid w:val="008A619F"/>
    <w:rsid w:val="008A7325"/>
    <w:rsid w:val="008B09FE"/>
    <w:rsid w:val="008B0E5C"/>
    <w:rsid w:val="008B0F6E"/>
    <w:rsid w:val="008B1390"/>
    <w:rsid w:val="008B1885"/>
    <w:rsid w:val="008B2E4F"/>
    <w:rsid w:val="008B412F"/>
    <w:rsid w:val="008B4F30"/>
    <w:rsid w:val="008B5546"/>
    <w:rsid w:val="008B7974"/>
    <w:rsid w:val="008C1A79"/>
    <w:rsid w:val="008C2209"/>
    <w:rsid w:val="008C4870"/>
    <w:rsid w:val="008C6C5C"/>
    <w:rsid w:val="008D07F5"/>
    <w:rsid w:val="008D0BF4"/>
    <w:rsid w:val="008D0FB2"/>
    <w:rsid w:val="008D16E7"/>
    <w:rsid w:val="008D185C"/>
    <w:rsid w:val="008D198E"/>
    <w:rsid w:val="008D44F5"/>
    <w:rsid w:val="008D4CC0"/>
    <w:rsid w:val="008D56C0"/>
    <w:rsid w:val="008D596A"/>
    <w:rsid w:val="008E23B4"/>
    <w:rsid w:val="008E37B7"/>
    <w:rsid w:val="008E3878"/>
    <w:rsid w:val="008E4E11"/>
    <w:rsid w:val="008E790F"/>
    <w:rsid w:val="008F1E1A"/>
    <w:rsid w:val="008F2802"/>
    <w:rsid w:val="008F2BA9"/>
    <w:rsid w:val="008F2EA2"/>
    <w:rsid w:val="008F49AF"/>
    <w:rsid w:val="00900BD9"/>
    <w:rsid w:val="0090155D"/>
    <w:rsid w:val="00901E99"/>
    <w:rsid w:val="0090210E"/>
    <w:rsid w:val="009044E3"/>
    <w:rsid w:val="00904A26"/>
    <w:rsid w:val="00904B32"/>
    <w:rsid w:val="00904FE3"/>
    <w:rsid w:val="009064EB"/>
    <w:rsid w:val="00907122"/>
    <w:rsid w:val="009078B5"/>
    <w:rsid w:val="0091324A"/>
    <w:rsid w:val="00913720"/>
    <w:rsid w:val="00916443"/>
    <w:rsid w:val="00917500"/>
    <w:rsid w:val="00921569"/>
    <w:rsid w:val="0092387F"/>
    <w:rsid w:val="009248DE"/>
    <w:rsid w:val="00927212"/>
    <w:rsid w:val="009301B3"/>
    <w:rsid w:val="0093027D"/>
    <w:rsid w:val="009303F3"/>
    <w:rsid w:val="009318E1"/>
    <w:rsid w:val="009319EE"/>
    <w:rsid w:val="009324C2"/>
    <w:rsid w:val="00932D59"/>
    <w:rsid w:val="0093363C"/>
    <w:rsid w:val="00933E2F"/>
    <w:rsid w:val="00937037"/>
    <w:rsid w:val="00937DF7"/>
    <w:rsid w:val="00940733"/>
    <w:rsid w:val="00940CD5"/>
    <w:rsid w:val="00940D98"/>
    <w:rsid w:val="00942BD0"/>
    <w:rsid w:val="00942C62"/>
    <w:rsid w:val="00944331"/>
    <w:rsid w:val="00945756"/>
    <w:rsid w:val="00945E96"/>
    <w:rsid w:val="009469B7"/>
    <w:rsid w:val="00950382"/>
    <w:rsid w:val="00950853"/>
    <w:rsid w:val="00951AF7"/>
    <w:rsid w:val="009551C6"/>
    <w:rsid w:val="00955F91"/>
    <w:rsid w:val="00957E2D"/>
    <w:rsid w:val="00960B60"/>
    <w:rsid w:val="009613E7"/>
    <w:rsid w:val="00964794"/>
    <w:rsid w:val="0096607D"/>
    <w:rsid w:val="00966B90"/>
    <w:rsid w:val="00967023"/>
    <w:rsid w:val="0096785A"/>
    <w:rsid w:val="00967CCA"/>
    <w:rsid w:val="009704CF"/>
    <w:rsid w:val="0097151A"/>
    <w:rsid w:val="00971E95"/>
    <w:rsid w:val="0097628F"/>
    <w:rsid w:val="0097722B"/>
    <w:rsid w:val="00982092"/>
    <w:rsid w:val="0098302A"/>
    <w:rsid w:val="00984DA2"/>
    <w:rsid w:val="009860E7"/>
    <w:rsid w:val="009913CF"/>
    <w:rsid w:val="00992620"/>
    <w:rsid w:val="00993814"/>
    <w:rsid w:val="00993E64"/>
    <w:rsid w:val="00993F0D"/>
    <w:rsid w:val="009940AD"/>
    <w:rsid w:val="009943DE"/>
    <w:rsid w:val="009957A3"/>
    <w:rsid w:val="0099596E"/>
    <w:rsid w:val="009965B5"/>
    <w:rsid w:val="00996754"/>
    <w:rsid w:val="009A04BE"/>
    <w:rsid w:val="009A1784"/>
    <w:rsid w:val="009A1B70"/>
    <w:rsid w:val="009A243F"/>
    <w:rsid w:val="009A2649"/>
    <w:rsid w:val="009A2714"/>
    <w:rsid w:val="009A373F"/>
    <w:rsid w:val="009A6017"/>
    <w:rsid w:val="009A64EA"/>
    <w:rsid w:val="009A675B"/>
    <w:rsid w:val="009A6D4F"/>
    <w:rsid w:val="009A7447"/>
    <w:rsid w:val="009A76E1"/>
    <w:rsid w:val="009B3203"/>
    <w:rsid w:val="009B3839"/>
    <w:rsid w:val="009B3973"/>
    <w:rsid w:val="009B3BE8"/>
    <w:rsid w:val="009B3E20"/>
    <w:rsid w:val="009B4FDD"/>
    <w:rsid w:val="009B6E6D"/>
    <w:rsid w:val="009B7E3F"/>
    <w:rsid w:val="009C06E7"/>
    <w:rsid w:val="009C2A5F"/>
    <w:rsid w:val="009C447B"/>
    <w:rsid w:val="009C44B0"/>
    <w:rsid w:val="009C46EC"/>
    <w:rsid w:val="009C578D"/>
    <w:rsid w:val="009C5807"/>
    <w:rsid w:val="009C5F1B"/>
    <w:rsid w:val="009C6374"/>
    <w:rsid w:val="009C6C28"/>
    <w:rsid w:val="009D042A"/>
    <w:rsid w:val="009D1354"/>
    <w:rsid w:val="009D1727"/>
    <w:rsid w:val="009D2B0C"/>
    <w:rsid w:val="009D43C1"/>
    <w:rsid w:val="009D47E9"/>
    <w:rsid w:val="009D4916"/>
    <w:rsid w:val="009D4A4E"/>
    <w:rsid w:val="009D660E"/>
    <w:rsid w:val="009D6636"/>
    <w:rsid w:val="009D6A8B"/>
    <w:rsid w:val="009E0428"/>
    <w:rsid w:val="009E23A2"/>
    <w:rsid w:val="009E37B4"/>
    <w:rsid w:val="009E3CC6"/>
    <w:rsid w:val="009E459F"/>
    <w:rsid w:val="009E74AE"/>
    <w:rsid w:val="009F44B3"/>
    <w:rsid w:val="009F4BFD"/>
    <w:rsid w:val="009F53C9"/>
    <w:rsid w:val="009F793B"/>
    <w:rsid w:val="00A012F3"/>
    <w:rsid w:val="00A02847"/>
    <w:rsid w:val="00A0314E"/>
    <w:rsid w:val="00A051C2"/>
    <w:rsid w:val="00A05FB1"/>
    <w:rsid w:val="00A060EA"/>
    <w:rsid w:val="00A11418"/>
    <w:rsid w:val="00A11533"/>
    <w:rsid w:val="00A11B4F"/>
    <w:rsid w:val="00A12845"/>
    <w:rsid w:val="00A12C87"/>
    <w:rsid w:val="00A13DE8"/>
    <w:rsid w:val="00A1526B"/>
    <w:rsid w:val="00A15EF5"/>
    <w:rsid w:val="00A20667"/>
    <w:rsid w:val="00A20FA4"/>
    <w:rsid w:val="00A22626"/>
    <w:rsid w:val="00A226B9"/>
    <w:rsid w:val="00A23536"/>
    <w:rsid w:val="00A24CF5"/>
    <w:rsid w:val="00A260B5"/>
    <w:rsid w:val="00A26341"/>
    <w:rsid w:val="00A31250"/>
    <w:rsid w:val="00A3139F"/>
    <w:rsid w:val="00A328AC"/>
    <w:rsid w:val="00A32C79"/>
    <w:rsid w:val="00A33215"/>
    <w:rsid w:val="00A340A1"/>
    <w:rsid w:val="00A35068"/>
    <w:rsid w:val="00A3512C"/>
    <w:rsid w:val="00A3604A"/>
    <w:rsid w:val="00A37B92"/>
    <w:rsid w:val="00A37D8A"/>
    <w:rsid w:val="00A419FF"/>
    <w:rsid w:val="00A43417"/>
    <w:rsid w:val="00A4438B"/>
    <w:rsid w:val="00A4525E"/>
    <w:rsid w:val="00A47141"/>
    <w:rsid w:val="00A509ED"/>
    <w:rsid w:val="00A50DD3"/>
    <w:rsid w:val="00A55083"/>
    <w:rsid w:val="00A5590F"/>
    <w:rsid w:val="00A55E72"/>
    <w:rsid w:val="00A5620F"/>
    <w:rsid w:val="00A56C13"/>
    <w:rsid w:val="00A56E37"/>
    <w:rsid w:val="00A57783"/>
    <w:rsid w:val="00A57B7E"/>
    <w:rsid w:val="00A62BF8"/>
    <w:rsid w:val="00A642EC"/>
    <w:rsid w:val="00A653A9"/>
    <w:rsid w:val="00A658F3"/>
    <w:rsid w:val="00A6591B"/>
    <w:rsid w:val="00A6672A"/>
    <w:rsid w:val="00A66D4E"/>
    <w:rsid w:val="00A67687"/>
    <w:rsid w:val="00A7124F"/>
    <w:rsid w:val="00A71A8A"/>
    <w:rsid w:val="00A71C81"/>
    <w:rsid w:val="00A727D3"/>
    <w:rsid w:val="00A72F7D"/>
    <w:rsid w:val="00A730B5"/>
    <w:rsid w:val="00A73E73"/>
    <w:rsid w:val="00A7557D"/>
    <w:rsid w:val="00A75C0B"/>
    <w:rsid w:val="00A80050"/>
    <w:rsid w:val="00A82DAA"/>
    <w:rsid w:val="00A86DDF"/>
    <w:rsid w:val="00A87DB3"/>
    <w:rsid w:val="00A900A0"/>
    <w:rsid w:val="00A905A9"/>
    <w:rsid w:val="00A9413D"/>
    <w:rsid w:val="00A9477F"/>
    <w:rsid w:val="00A949B2"/>
    <w:rsid w:val="00A96E60"/>
    <w:rsid w:val="00AA1323"/>
    <w:rsid w:val="00AA1AD3"/>
    <w:rsid w:val="00AA30A2"/>
    <w:rsid w:val="00AA69E8"/>
    <w:rsid w:val="00AA6EE7"/>
    <w:rsid w:val="00AA7102"/>
    <w:rsid w:val="00AB01EE"/>
    <w:rsid w:val="00AB0DB7"/>
    <w:rsid w:val="00AB0FFB"/>
    <w:rsid w:val="00AB2D93"/>
    <w:rsid w:val="00AB3711"/>
    <w:rsid w:val="00AB417F"/>
    <w:rsid w:val="00AB591F"/>
    <w:rsid w:val="00AB5B8F"/>
    <w:rsid w:val="00AB6B83"/>
    <w:rsid w:val="00AC0672"/>
    <w:rsid w:val="00AC0A64"/>
    <w:rsid w:val="00AC0CEA"/>
    <w:rsid w:val="00AC42F0"/>
    <w:rsid w:val="00AC524B"/>
    <w:rsid w:val="00AC6C6C"/>
    <w:rsid w:val="00AC72C3"/>
    <w:rsid w:val="00AC7468"/>
    <w:rsid w:val="00AD1A36"/>
    <w:rsid w:val="00AD1A86"/>
    <w:rsid w:val="00AD1C9C"/>
    <w:rsid w:val="00AD206B"/>
    <w:rsid w:val="00AD2533"/>
    <w:rsid w:val="00AD256D"/>
    <w:rsid w:val="00AD281A"/>
    <w:rsid w:val="00AD4D63"/>
    <w:rsid w:val="00AD5656"/>
    <w:rsid w:val="00AE1075"/>
    <w:rsid w:val="00AE1AF0"/>
    <w:rsid w:val="00AE1BA7"/>
    <w:rsid w:val="00AE1CF3"/>
    <w:rsid w:val="00AE2DC1"/>
    <w:rsid w:val="00AE3566"/>
    <w:rsid w:val="00AE4BFC"/>
    <w:rsid w:val="00AE6785"/>
    <w:rsid w:val="00AF018C"/>
    <w:rsid w:val="00AF13DA"/>
    <w:rsid w:val="00AF306C"/>
    <w:rsid w:val="00AF336E"/>
    <w:rsid w:val="00AF48BC"/>
    <w:rsid w:val="00AF6D19"/>
    <w:rsid w:val="00AF73CE"/>
    <w:rsid w:val="00AF774C"/>
    <w:rsid w:val="00AF794E"/>
    <w:rsid w:val="00B00572"/>
    <w:rsid w:val="00B00BCC"/>
    <w:rsid w:val="00B00E0E"/>
    <w:rsid w:val="00B027D7"/>
    <w:rsid w:val="00B02F54"/>
    <w:rsid w:val="00B03367"/>
    <w:rsid w:val="00B03427"/>
    <w:rsid w:val="00B07F6D"/>
    <w:rsid w:val="00B10196"/>
    <w:rsid w:val="00B10F41"/>
    <w:rsid w:val="00B115B5"/>
    <w:rsid w:val="00B11C9C"/>
    <w:rsid w:val="00B15302"/>
    <w:rsid w:val="00B16C0A"/>
    <w:rsid w:val="00B22844"/>
    <w:rsid w:val="00B232EB"/>
    <w:rsid w:val="00B236DB"/>
    <w:rsid w:val="00B256EF"/>
    <w:rsid w:val="00B27DAB"/>
    <w:rsid w:val="00B305C1"/>
    <w:rsid w:val="00B348AB"/>
    <w:rsid w:val="00B35808"/>
    <w:rsid w:val="00B373C6"/>
    <w:rsid w:val="00B416A1"/>
    <w:rsid w:val="00B42F7C"/>
    <w:rsid w:val="00B449E2"/>
    <w:rsid w:val="00B46999"/>
    <w:rsid w:val="00B5044D"/>
    <w:rsid w:val="00B50E47"/>
    <w:rsid w:val="00B55435"/>
    <w:rsid w:val="00B563A2"/>
    <w:rsid w:val="00B56433"/>
    <w:rsid w:val="00B57BF0"/>
    <w:rsid w:val="00B61F5C"/>
    <w:rsid w:val="00B62DDD"/>
    <w:rsid w:val="00B63483"/>
    <w:rsid w:val="00B63966"/>
    <w:rsid w:val="00B6645E"/>
    <w:rsid w:val="00B70399"/>
    <w:rsid w:val="00B70F73"/>
    <w:rsid w:val="00B72A16"/>
    <w:rsid w:val="00B72D81"/>
    <w:rsid w:val="00B72F6C"/>
    <w:rsid w:val="00B734A5"/>
    <w:rsid w:val="00B741D0"/>
    <w:rsid w:val="00B74EB6"/>
    <w:rsid w:val="00B74F91"/>
    <w:rsid w:val="00B76D32"/>
    <w:rsid w:val="00B772ED"/>
    <w:rsid w:val="00B77E48"/>
    <w:rsid w:val="00B80662"/>
    <w:rsid w:val="00B80C16"/>
    <w:rsid w:val="00B80E99"/>
    <w:rsid w:val="00B815B3"/>
    <w:rsid w:val="00B82B19"/>
    <w:rsid w:val="00B82D43"/>
    <w:rsid w:val="00B839EB"/>
    <w:rsid w:val="00B83C96"/>
    <w:rsid w:val="00B84BB2"/>
    <w:rsid w:val="00B85030"/>
    <w:rsid w:val="00B85590"/>
    <w:rsid w:val="00B858FB"/>
    <w:rsid w:val="00B90B1C"/>
    <w:rsid w:val="00B90EC2"/>
    <w:rsid w:val="00B9187C"/>
    <w:rsid w:val="00B91F39"/>
    <w:rsid w:val="00B92508"/>
    <w:rsid w:val="00B9360A"/>
    <w:rsid w:val="00B94172"/>
    <w:rsid w:val="00B944C7"/>
    <w:rsid w:val="00B94A49"/>
    <w:rsid w:val="00B969EF"/>
    <w:rsid w:val="00B96E58"/>
    <w:rsid w:val="00BA0549"/>
    <w:rsid w:val="00BA14BC"/>
    <w:rsid w:val="00BA3213"/>
    <w:rsid w:val="00BA4ECD"/>
    <w:rsid w:val="00BA582D"/>
    <w:rsid w:val="00BA5D2A"/>
    <w:rsid w:val="00BA6298"/>
    <w:rsid w:val="00BA6487"/>
    <w:rsid w:val="00BB0602"/>
    <w:rsid w:val="00BB35F0"/>
    <w:rsid w:val="00BB40E3"/>
    <w:rsid w:val="00BB432F"/>
    <w:rsid w:val="00BB4915"/>
    <w:rsid w:val="00BB67D4"/>
    <w:rsid w:val="00BB6EBD"/>
    <w:rsid w:val="00BB7CAA"/>
    <w:rsid w:val="00BC070A"/>
    <w:rsid w:val="00BC1636"/>
    <w:rsid w:val="00BC4402"/>
    <w:rsid w:val="00BC468A"/>
    <w:rsid w:val="00BC4E58"/>
    <w:rsid w:val="00BC5F76"/>
    <w:rsid w:val="00BC6813"/>
    <w:rsid w:val="00BC6D01"/>
    <w:rsid w:val="00BC782C"/>
    <w:rsid w:val="00BD1E7C"/>
    <w:rsid w:val="00BD2251"/>
    <w:rsid w:val="00BD39BA"/>
    <w:rsid w:val="00BE2336"/>
    <w:rsid w:val="00BE2DE2"/>
    <w:rsid w:val="00BE3ABA"/>
    <w:rsid w:val="00BE5939"/>
    <w:rsid w:val="00BF146F"/>
    <w:rsid w:val="00BF1841"/>
    <w:rsid w:val="00BF30E0"/>
    <w:rsid w:val="00BF4915"/>
    <w:rsid w:val="00BF4A4A"/>
    <w:rsid w:val="00BF55D0"/>
    <w:rsid w:val="00BF66A4"/>
    <w:rsid w:val="00BF7478"/>
    <w:rsid w:val="00BF7A4A"/>
    <w:rsid w:val="00C00550"/>
    <w:rsid w:val="00C01F16"/>
    <w:rsid w:val="00C03DF4"/>
    <w:rsid w:val="00C055A5"/>
    <w:rsid w:val="00C07E44"/>
    <w:rsid w:val="00C1049D"/>
    <w:rsid w:val="00C105A1"/>
    <w:rsid w:val="00C10F14"/>
    <w:rsid w:val="00C1220E"/>
    <w:rsid w:val="00C12C2F"/>
    <w:rsid w:val="00C13486"/>
    <w:rsid w:val="00C13839"/>
    <w:rsid w:val="00C13C99"/>
    <w:rsid w:val="00C14E80"/>
    <w:rsid w:val="00C1516C"/>
    <w:rsid w:val="00C15363"/>
    <w:rsid w:val="00C20619"/>
    <w:rsid w:val="00C21445"/>
    <w:rsid w:val="00C21D7F"/>
    <w:rsid w:val="00C228CF"/>
    <w:rsid w:val="00C22D4B"/>
    <w:rsid w:val="00C241D9"/>
    <w:rsid w:val="00C24448"/>
    <w:rsid w:val="00C259F3"/>
    <w:rsid w:val="00C268AD"/>
    <w:rsid w:val="00C2691F"/>
    <w:rsid w:val="00C30959"/>
    <w:rsid w:val="00C31C54"/>
    <w:rsid w:val="00C3298D"/>
    <w:rsid w:val="00C337E3"/>
    <w:rsid w:val="00C351CA"/>
    <w:rsid w:val="00C3526E"/>
    <w:rsid w:val="00C35FDD"/>
    <w:rsid w:val="00C400EC"/>
    <w:rsid w:val="00C4059A"/>
    <w:rsid w:val="00C40AD3"/>
    <w:rsid w:val="00C41D89"/>
    <w:rsid w:val="00C41F29"/>
    <w:rsid w:val="00C4363A"/>
    <w:rsid w:val="00C43652"/>
    <w:rsid w:val="00C437A3"/>
    <w:rsid w:val="00C4415C"/>
    <w:rsid w:val="00C44EFE"/>
    <w:rsid w:val="00C456DE"/>
    <w:rsid w:val="00C459A8"/>
    <w:rsid w:val="00C4639C"/>
    <w:rsid w:val="00C504C8"/>
    <w:rsid w:val="00C546E4"/>
    <w:rsid w:val="00C5482E"/>
    <w:rsid w:val="00C54AEC"/>
    <w:rsid w:val="00C56C34"/>
    <w:rsid w:val="00C57E6B"/>
    <w:rsid w:val="00C617AA"/>
    <w:rsid w:val="00C6187B"/>
    <w:rsid w:val="00C61D4E"/>
    <w:rsid w:val="00C628DD"/>
    <w:rsid w:val="00C63930"/>
    <w:rsid w:val="00C64D94"/>
    <w:rsid w:val="00C671B5"/>
    <w:rsid w:val="00C70115"/>
    <w:rsid w:val="00C71234"/>
    <w:rsid w:val="00C72652"/>
    <w:rsid w:val="00C72696"/>
    <w:rsid w:val="00C73363"/>
    <w:rsid w:val="00C74C00"/>
    <w:rsid w:val="00C752DA"/>
    <w:rsid w:val="00C76EF8"/>
    <w:rsid w:val="00C80109"/>
    <w:rsid w:val="00C80B76"/>
    <w:rsid w:val="00C81713"/>
    <w:rsid w:val="00C81CB3"/>
    <w:rsid w:val="00C8247D"/>
    <w:rsid w:val="00C827B0"/>
    <w:rsid w:val="00C837CE"/>
    <w:rsid w:val="00C83C0F"/>
    <w:rsid w:val="00C85F9C"/>
    <w:rsid w:val="00C86965"/>
    <w:rsid w:val="00C919BD"/>
    <w:rsid w:val="00C9274D"/>
    <w:rsid w:val="00C940F5"/>
    <w:rsid w:val="00C95404"/>
    <w:rsid w:val="00C95710"/>
    <w:rsid w:val="00CA1682"/>
    <w:rsid w:val="00CA21CB"/>
    <w:rsid w:val="00CA24E7"/>
    <w:rsid w:val="00CA2665"/>
    <w:rsid w:val="00CA308B"/>
    <w:rsid w:val="00CA32A8"/>
    <w:rsid w:val="00CA3659"/>
    <w:rsid w:val="00CA52F5"/>
    <w:rsid w:val="00CA5592"/>
    <w:rsid w:val="00CA6EA9"/>
    <w:rsid w:val="00CA7B86"/>
    <w:rsid w:val="00CB0BB2"/>
    <w:rsid w:val="00CB1422"/>
    <w:rsid w:val="00CB24B6"/>
    <w:rsid w:val="00CB319F"/>
    <w:rsid w:val="00CB3874"/>
    <w:rsid w:val="00CB4213"/>
    <w:rsid w:val="00CB4264"/>
    <w:rsid w:val="00CB4B40"/>
    <w:rsid w:val="00CB5551"/>
    <w:rsid w:val="00CB5AED"/>
    <w:rsid w:val="00CB7173"/>
    <w:rsid w:val="00CC1D69"/>
    <w:rsid w:val="00CC4BE9"/>
    <w:rsid w:val="00CC5061"/>
    <w:rsid w:val="00CC5CFC"/>
    <w:rsid w:val="00CC741A"/>
    <w:rsid w:val="00CD0DB8"/>
    <w:rsid w:val="00CD112B"/>
    <w:rsid w:val="00CD3FA6"/>
    <w:rsid w:val="00CD5E46"/>
    <w:rsid w:val="00CE46D1"/>
    <w:rsid w:val="00CE4915"/>
    <w:rsid w:val="00CE4E0E"/>
    <w:rsid w:val="00CE5474"/>
    <w:rsid w:val="00CE6781"/>
    <w:rsid w:val="00CE7FDF"/>
    <w:rsid w:val="00CF19CE"/>
    <w:rsid w:val="00CF1C4D"/>
    <w:rsid w:val="00CF2A8F"/>
    <w:rsid w:val="00CF39D3"/>
    <w:rsid w:val="00CF5A95"/>
    <w:rsid w:val="00CF668C"/>
    <w:rsid w:val="00D033D9"/>
    <w:rsid w:val="00D03560"/>
    <w:rsid w:val="00D07B56"/>
    <w:rsid w:val="00D07F9E"/>
    <w:rsid w:val="00D10DB0"/>
    <w:rsid w:val="00D11C38"/>
    <w:rsid w:val="00D13F92"/>
    <w:rsid w:val="00D15716"/>
    <w:rsid w:val="00D15B13"/>
    <w:rsid w:val="00D17638"/>
    <w:rsid w:val="00D17779"/>
    <w:rsid w:val="00D2070F"/>
    <w:rsid w:val="00D230A8"/>
    <w:rsid w:val="00D244E7"/>
    <w:rsid w:val="00D24AAC"/>
    <w:rsid w:val="00D25879"/>
    <w:rsid w:val="00D26840"/>
    <w:rsid w:val="00D271AB"/>
    <w:rsid w:val="00D27284"/>
    <w:rsid w:val="00D30537"/>
    <w:rsid w:val="00D30F1F"/>
    <w:rsid w:val="00D316B0"/>
    <w:rsid w:val="00D31DFC"/>
    <w:rsid w:val="00D3225E"/>
    <w:rsid w:val="00D33431"/>
    <w:rsid w:val="00D3346A"/>
    <w:rsid w:val="00D33FB6"/>
    <w:rsid w:val="00D37A24"/>
    <w:rsid w:val="00D40055"/>
    <w:rsid w:val="00D442BD"/>
    <w:rsid w:val="00D45358"/>
    <w:rsid w:val="00D4565D"/>
    <w:rsid w:val="00D4567F"/>
    <w:rsid w:val="00D45CF8"/>
    <w:rsid w:val="00D4631C"/>
    <w:rsid w:val="00D50A8F"/>
    <w:rsid w:val="00D50DD2"/>
    <w:rsid w:val="00D51586"/>
    <w:rsid w:val="00D521D0"/>
    <w:rsid w:val="00D52EF7"/>
    <w:rsid w:val="00D55E1E"/>
    <w:rsid w:val="00D56B47"/>
    <w:rsid w:val="00D60024"/>
    <w:rsid w:val="00D60134"/>
    <w:rsid w:val="00D61D43"/>
    <w:rsid w:val="00D62258"/>
    <w:rsid w:val="00D6452F"/>
    <w:rsid w:val="00D65E52"/>
    <w:rsid w:val="00D66ECF"/>
    <w:rsid w:val="00D714C0"/>
    <w:rsid w:val="00D72BFF"/>
    <w:rsid w:val="00D73674"/>
    <w:rsid w:val="00D75A38"/>
    <w:rsid w:val="00D75D8E"/>
    <w:rsid w:val="00D778AD"/>
    <w:rsid w:val="00D81085"/>
    <w:rsid w:val="00D845BC"/>
    <w:rsid w:val="00D856E8"/>
    <w:rsid w:val="00D867E6"/>
    <w:rsid w:val="00D873AA"/>
    <w:rsid w:val="00D90B1A"/>
    <w:rsid w:val="00D912AA"/>
    <w:rsid w:val="00D9228A"/>
    <w:rsid w:val="00D92BB3"/>
    <w:rsid w:val="00D92E4C"/>
    <w:rsid w:val="00D9438D"/>
    <w:rsid w:val="00D96AD8"/>
    <w:rsid w:val="00DA1493"/>
    <w:rsid w:val="00DA24CF"/>
    <w:rsid w:val="00DA2CC0"/>
    <w:rsid w:val="00DA2E75"/>
    <w:rsid w:val="00DA41F9"/>
    <w:rsid w:val="00DA6589"/>
    <w:rsid w:val="00DA754D"/>
    <w:rsid w:val="00DA7C42"/>
    <w:rsid w:val="00DB096B"/>
    <w:rsid w:val="00DB20E2"/>
    <w:rsid w:val="00DB2358"/>
    <w:rsid w:val="00DB48D3"/>
    <w:rsid w:val="00DB51CD"/>
    <w:rsid w:val="00DC0DEC"/>
    <w:rsid w:val="00DC21D8"/>
    <w:rsid w:val="00DC2346"/>
    <w:rsid w:val="00DC371E"/>
    <w:rsid w:val="00DC3BBE"/>
    <w:rsid w:val="00DC3C12"/>
    <w:rsid w:val="00DC51F8"/>
    <w:rsid w:val="00DC540B"/>
    <w:rsid w:val="00DC6C6E"/>
    <w:rsid w:val="00DC7E6E"/>
    <w:rsid w:val="00DD048A"/>
    <w:rsid w:val="00DD04A1"/>
    <w:rsid w:val="00DD0FA0"/>
    <w:rsid w:val="00DD1037"/>
    <w:rsid w:val="00DD15E1"/>
    <w:rsid w:val="00DD3C4A"/>
    <w:rsid w:val="00DD5125"/>
    <w:rsid w:val="00DD56F9"/>
    <w:rsid w:val="00DD6633"/>
    <w:rsid w:val="00DD7718"/>
    <w:rsid w:val="00DE08CD"/>
    <w:rsid w:val="00DE0F08"/>
    <w:rsid w:val="00DE1512"/>
    <w:rsid w:val="00DE17B2"/>
    <w:rsid w:val="00DE2240"/>
    <w:rsid w:val="00DE35B8"/>
    <w:rsid w:val="00DE4243"/>
    <w:rsid w:val="00DE58C6"/>
    <w:rsid w:val="00DE624F"/>
    <w:rsid w:val="00DE6976"/>
    <w:rsid w:val="00DE69D4"/>
    <w:rsid w:val="00DE7657"/>
    <w:rsid w:val="00DF0B5E"/>
    <w:rsid w:val="00DF146B"/>
    <w:rsid w:val="00DF24B1"/>
    <w:rsid w:val="00DF29EB"/>
    <w:rsid w:val="00DF2C90"/>
    <w:rsid w:val="00DF2E92"/>
    <w:rsid w:val="00DF66CD"/>
    <w:rsid w:val="00E00809"/>
    <w:rsid w:val="00E00BE5"/>
    <w:rsid w:val="00E01409"/>
    <w:rsid w:val="00E03324"/>
    <w:rsid w:val="00E03A5C"/>
    <w:rsid w:val="00E0675E"/>
    <w:rsid w:val="00E07B31"/>
    <w:rsid w:val="00E11B1F"/>
    <w:rsid w:val="00E147C3"/>
    <w:rsid w:val="00E151BE"/>
    <w:rsid w:val="00E15D01"/>
    <w:rsid w:val="00E15DAA"/>
    <w:rsid w:val="00E162D0"/>
    <w:rsid w:val="00E1636B"/>
    <w:rsid w:val="00E16ED5"/>
    <w:rsid w:val="00E175E6"/>
    <w:rsid w:val="00E17BA4"/>
    <w:rsid w:val="00E2162B"/>
    <w:rsid w:val="00E21B5C"/>
    <w:rsid w:val="00E23517"/>
    <w:rsid w:val="00E23C8F"/>
    <w:rsid w:val="00E23F77"/>
    <w:rsid w:val="00E241C4"/>
    <w:rsid w:val="00E243BA"/>
    <w:rsid w:val="00E25103"/>
    <w:rsid w:val="00E255C2"/>
    <w:rsid w:val="00E258C7"/>
    <w:rsid w:val="00E3288A"/>
    <w:rsid w:val="00E32A40"/>
    <w:rsid w:val="00E32B0F"/>
    <w:rsid w:val="00E32E5F"/>
    <w:rsid w:val="00E3332A"/>
    <w:rsid w:val="00E344C1"/>
    <w:rsid w:val="00E34523"/>
    <w:rsid w:val="00E34EEA"/>
    <w:rsid w:val="00E352AD"/>
    <w:rsid w:val="00E368E6"/>
    <w:rsid w:val="00E3697C"/>
    <w:rsid w:val="00E37272"/>
    <w:rsid w:val="00E37DD5"/>
    <w:rsid w:val="00E4014F"/>
    <w:rsid w:val="00E42778"/>
    <w:rsid w:val="00E431D8"/>
    <w:rsid w:val="00E47719"/>
    <w:rsid w:val="00E52432"/>
    <w:rsid w:val="00E53382"/>
    <w:rsid w:val="00E53C48"/>
    <w:rsid w:val="00E54F5F"/>
    <w:rsid w:val="00E57134"/>
    <w:rsid w:val="00E6057F"/>
    <w:rsid w:val="00E61923"/>
    <w:rsid w:val="00E62162"/>
    <w:rsid w:val="00E6280B"/>
    <w:rsid w:val="00E66D3B"/>
    <w:rsid w:val="00E708FF"/>
    <w:rsid w:val="00E71C4C"/>
    <w:rsid w:val="00E720FA"/>
    <w:rsid w:val="00E74E79"/>
    <w:rsid w:val="00E84309"/>
    <w:rsid w:val="00E848CE"/>
    <w:rsid w:val="00E8611E"/>
    <w:rsid w:val="00E87113"/>
    <w:rsid w:val="00E87C81"/>
    <w:rsid w:val="00E91408"/>
    <w:rsid w:val="00E91DCF"/>
    <w:rsid w:val="00E91FD5"/>
    <w:rsid w:val="00E938E1"/>
    <w:rsid w:val="00E93F0B"/>
    <w:rsid w:val="00E97308"/>
    <w:rsid w:val="00E97D80"/>
    <w:rsid w:val="00EA0681"/>
    <w:rsid w:val="00EA350F"/>
    <w:rsid w:val="00EA4E5A"/>
    <w:rsid w:val="00EA54D3"/>
    <w:rsid w:val="00EA59B2"/>
    <w:rsid w:val="00EA6F41"/>
    <w:rsid w:val="00EA78C5"/>
    <w:rsid w:val="00EA7CB0"/>
    <w:rsid w:val="00EB0C4D"/>
    <w:rsid w:val="00EB305B"/>
    <w:rsid w:val="00EB3D10"/>
    <w:rsid w:val="00EB5817"/>
    <w:rsid w:val="00EC084D"/>
    <w:rsid w:val="00EC0CDB"/>
    <w:rsid w:val="00EC3D15"/>
    <w:rsid w:val="00EC54B5"/>
    <w:rsid w:val="00EC647C"/>
    <w:rsid w:val="00ED126B"/>
    <w:rsid w:val="00ED137C"/>
    <w:rsid w:val="00ED1513"/>
    <w:rsid w:val="00ED2853"/>
    <w:rsid w:val="00ED3676"/>
    <w:rsid w:val="00ED5E3E"/>
    <w:rsid w:val="00ED5FCE"/>
    <w:rsid w:val="00ED623C"/>
    <w:rsid w:val="00ED6E60"/>
    <w:rsid w:val="00EE146B"/>
    <w:rsid w:val="00EE1A8E"/>
    <w:rsid w:val="00EE3833"/>
    <w:rsid w:val="00EE5616"/>
    <w:rsid w:val="00EE5F18"/>
    <w:rsid w:val="00EE6BBD"/>
    <w:rsid w:val="00EF1A62"/>
    <w:rsid w:val="00EF235E"/>
    <w:rsid w:val="00EF2592"/>
    <w:rsid w:val="00EF4304"/>
    <w:rsid w:val="00EF5C14"/>
    <w:rsid w:val="00EF6019"/>
    <w:rsid w:val="00F0154E"/>
    <w:rsid w:val="00F0252F"/>
    <w:rsid w:val="00F037CF"/>
    <w:rsid w:val="00F0606A"/>
    <w:rsid w:val="00F062DB"/>
    <w:rsid w:val="00F0722D"/>
    <w:rsid w:val="00F076F7"/>
    <w:rsid w:val="00F07F90"/>
    <w:rsid w:val="00F10208"/>
    <w:rsid w:val="00F1186E"/>
    <w:rsid w:val="00F12295"/>
    <w:rsid w:val="00F12BAD"/>
    <w:rsid w:val="00F13FA8"/>
    <w:rsid w:val="00F14A91"/>
    <w:rsid w:val="00F151BD"/>
    <w:rsid w:val="00F159E7"/>
    <w:rsid w:val="00F168E2"/>
    <w:rsid w:val="00F16DD7"/>
    <w:rsid w:val="00F17178"/>
    <w:rsid w:val="00F175EE"/>
    <w:rsid w:val="00F1763A"/>
    <w:rsid w:val="00F201BC"/>
    <w:rsid w:val="00F20593"/>
    <w:rsid w:val="00F2257A"/>
    <w:rsid w:val="00F250B6"/>
    <w:rsid w:val="00F26660"/>
    <w:rsid w:val="00F2674A"/>
    <w:rsid w:val="00F27F60"/>
    <w:rsid w:val="00F30C65"/>
    <w:rsid w:val="00F3108B"/>
    <w:rsid w:val="00F34776"/>
    <w:rsid w:val="00F35201"/>
    <w:rsid w:val="00F352B0"/>
    <w:rsid w:val="00F360D9"/>
    <w:rsid w:val="00F3629D"/>
    <w:rsid w:val="00F407B6"/>
    <w:rsid w:val="00F40D54"/>
    <w:rsid w:val="00F40D79"/>
    <w:rsid w:val="00F41AA3"/>
    <w:rsid w:val="00F41B80"/>
    <w:rsid w:val="00F42B8C"/>
    <w:rsid w:val="00F44F42"/>
    <w:rsid w:val="00F46CC0"/>
    <w:rsid w:val="00F501E7"/>
    <w:rsid w:val="00F50B98"/>
    <w:rsid w:val="00F50C19"/>
    <w:rsid w:val="00F5209D"/>
    <w:rsid w:val="00F53095"/>
    <w:rsid w:val="00F5460B"/>
    <w:rsid w:val="00F55679"/>
    <w:rsid w:val="00F55CF1"/>
    <w:rsid w:val="00F56C76"/>
    <w:rsid w:val="00F57359"/>
    <w:rsid w:val="00F57C6B"/>
    <w:rsid w:val="00F6020A"/>
    <w:rsid w:val="00F60C72"/>
    <w:rsid w:val="00F60E5C"/>
    <w:rsid w:val="00F61145"/>
    <w:rsid w:val="00F623E2"/>
    <w:rsid w:val="00F625F3"/>
    <w:rsid w:val="00F64093"/>
    <w:rsid w:val="00F664A4"/>
    <w:rsid w:val="00F669BB"/>
    <w:rsid w:val="00F670AE"/>
    <w:rsid w:val="00F71678"/>
    <w:rsid w:val="00F723E9"/>
    <w:rsid w:val="00F73127"/>
    <w:rsid w:val="00F73EA4"/>
    <w:rsid w:val="00F74302"/>
    <w:rsid w:val="00F7441E"/>
    <w:rsid w:val="00F74AAC"/>
    <w:rsid w:val="00F75C4F"/>
    <w:rsid w:val="00F75CFF"/>
    <w:rsid w:val="00F80B90"/>
    <w:rsid w:val="00F81542"/>
    <w:rsid w:val="00F81D4A"/>
    <w:rsid w:val="00F83C7B"/>
    <w:rsid w:val="00F846B5"/>
    <w:rsid w:val="00F84E9F"/>
    <w:rsid w:val="00F8571A"/>
    <w:rsid w:val="00F85746"/>
    <w:rsid w:val="00F865D6"/>
    <w:rsid w:val="00F867B3"/>
    <w:rsid w:val="00F870B7"/>
    <w:rsid w:val="00F87B61"/>
    <w:rsid w:val="00F91C4D"/>
    <w:rsid w:val="00F924EC"/>
    <w:rsid w:val="00F930B5"/>
    <w:rsid w:val="00F93D63"/>
    <w:rsid w:val="00F93DB1"/>
    <w:rsid w:val="00F93E27"/>
    <w:rsid w:val="00F94007"/>
    <w:rsid w:val="00F947AE"/>
    <w:rsid w:val="00F95C10"/>
    <w:rsid w:val="00FA055F"/>
    <w:rsid w:val="00FA1622"/>
    <w:rsid w:val="00FA285B"/>
    <w:rsid w:val="00FA3945"/>
    <w:rsid w:val="00FA3CE7"/>
    <w:rsid w:val="00FA4499"/>
    <w:rsid w:val="00FA48A0"/>
    <w:rsid w:val="00FA62EC"/>
    <w:rsid w:val="00FA6C60"/>
    <w:rsid w:val="00FB0C11"/>
    <w:rsid w:val="00FB4543"/>
    <w:rsid w:val="00FB4D09"/>
    <w:rsid w:val="00FB5843"/>
    <w:rsid w:val="00FB71B6"/>
    <w:rsid w:val="00FC1B44"/>
    <w:rsid w:val="00FC1DB3"/>
    <w:rsid w:val="00FC2E05"/>
    <w:rsid w:val="00FC4977"/>
    <w:rsid w:val="00FC5A11"/>
    <w:rsid w:val="00FC5CA7"/>
    <w:rsid w:val="00FC72B1"/>
    <w:rsid w:val="00FD01F9"/>
    <w:rsid w:val="00FD0CC7"/>
    <w:rsid w:val="00FD1230"/>
    <w:rsid w:val="00FD16C0"/>
    <w:rsid w:val="00FD27B0"/>
    <w:rsid w:val="00FD27DE"/>
    <w:rsid w:val="00FD2C86"/>
    <w:rsid w:val="00FD3CF7"/>
    <w:rsid w:val="00FD4E85"/>
    <w:rsid w:val="00FD6AF1"/>
    <w:rsid w:val="00FE0A6B"/>
    <w:rsid w:val="00FE12F0"/>
    <w:rsid w:val="00FE1C10"/>
    <w:rsid w:val="00FE21EF"/>
    <w:rsid w:val="00FE309A"/>
    <w:rsid w:val="00FE3F75"/>
    <w:rsid w:val="00FE649D"/>
    <w:rsid w:val="00FE6701"/>
    <w:rsid w:val="00FE7180"/>
    <w:rsid w:val="00FE7333"/>
    <w:rsid w:val="00FF0CE6"/>
    <w:rsid w:val="00FF1B03"/>
    <w:rsid w:val="00FF32BB"/>
    <w:rsid w:val="00FF413D"/>
    <w:rsid w:val="00FF6BBC"/>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A8320"/>
  <w15:docId w15:val="{FB596041-DD0D-43DF-B6E6-E7EBEA9F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4E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ALTS FOOTNOTE,ALTS FOOTNOTE Char Char,ALTS FOOTNOTE Char Char Char Char,Footnote Text Char Char,Footnote Text Char Char Char Char,Footnote Text Char1,Footnote Text Char1 Char Char,fn,fn Char,fn Char Char,fn Char Char Char Char,fn Char1"/>
    <w:basedOn w:val="Normal"/>
    <w:link w:val="FootnoteTextChar"/>
    <w:unhideWhenUsed/>
    <w:rsid w:val="00F870B7"/>
    <w:pPr>
      <w:spacing w:after="0" w:line="240" w:lineRule="auto"/>
    </w:pPr>
    <w:rPr>
      <w:sz w:val="20"/>
      <w:szCs w:val="20"/>
    </w:rPr>
  </w:style>
  <w:style w:type="character" w:customStyle="1" w:styleId="FootnoteTextChar">
    <w:name w:val="Footnote Text Char"/>
    <w:aliases w:val="ALTS FOOTNOTE Char,ALTS FOOTNOTE Char Char Char,ALTS FOOTNOTE Char Char Char Char Char,Footnote Text Char Char Char,Footnote Text Char Char Char Char Char,Footnote Text Char1 Char,Footnote Text Char1 Char Char Char,fn Char2"/>
    <w:basedOn w:val="DefaultParagraphFont"/>
    <w:link w:val="FootnoteText"/>
    <w:rsid w:val="00F870B7"/>
    <w:rPr>
      <w:sz w:val="20"/>
      <w:szCs w:val="20"/>
    </w:rPr>
  </w:style>
  <w:style w:type="character" w:styleId="FootnoteReference">
    <w:name w:val="footnote reference"/>
    <w:basedOn w:val="DefaultParagraphFont"/>
    <w:uiPriority w:val="99"/>
    <w:semiHidden/>
    <w:unhideWhenUsed/>
    <w:rsid w:val="00F870B7"/>
    <w:rPr>
      <w:vertAlign w:val="superscript"/>
    </w:rPr>
  </w:style>
  <w:style w:type="paragraph" w:styleId="ListParagraph">
    <w:name w:val="List Paragraph"/>
    <w:basedOn w:val="Normal"/>
    <w:uiPriority w:val="34"/>
    <w:qFormat/>
    <w:rsid w:val="006B7BC8"/>
    <w:pPr>
      <w:ind w:left="720"/>
      <w:contextualSpacing/>
    </w:pPr>
  </w:style>
  <w:style w:type="character" w:styleId="Hyperlink">
    <w:name w:val="Hyperlink"/>
    <w:basedOn w:val="DefaultParagraphFont"/>
    <w:uiPriority w:val="99"/>
    <w:unhideWhenUsed/>
    <w:rsid w:val="00785DA3"/>
    <w:rPr>
      <w:color w:val="0000FF" w:themeColor="hyperlink"/>
      <w:u w:val="single"/>
    </w:rPr>
  </w:style>
  <w:style w:type="paragraph" w:styleId="BalloonText">
    <w:name w:val="Balloon Text"/>
    <w:basedOn w:val="Normal"/>
    <w:link w:val="BalloonTextChar"/>
    <w:uiPriority w:val="99"/>
    <w:semiHidden/>
    <w:unhideWhenUsed/>
    <w:rsid w:val="004308B3"/>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4308B3"/>
    <w:rPr>
      <w:rFonts w:ascii="Arial" w:hAnsi="Arial" w:cs="Arial"/>
      <w:sz w:val="16"/>
      <w:szCs w:val="16"/>
    </w:rPr>
  </w:style>
  <w:style w:type="paragraph" w:styleId="Header">
    <w:name w:val="header"/>
    <w:basedOn w:val="Normal"/>
    <w:link w:val="HeaderChar"/>
    <w:uiPriority w:val="99"/>
    <w:unhideWhenUsed/>
    <w:rsid w:val="00656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89E"/>
  </w:style>
  <w:style w:type="paragraph" w:styleId="Footer">
    <w:name w:val="footer"/>
    <w:basedOn w:val="Normal"/>
    <w:link w:val="FooterChar"/>
    <w:uiPriority w:val="99"/>
    <w:unhideWhenUsed/>
    <w:rsid w:val="006568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89E"/>
  </w:style>
  <w:style w:type="character" w:styleId="FollowedHyperlink">
    <w:name w:val="FollowedHyperlink"/>
    <w:basedOn w:val="DefaultParagraphFont"/>
    <w:uiPriority w:val="99"/>
    <w:semiHidden/>
    <w:unhideWhenUsed/>
    <w:rsid w:val="004A725A"/>
    <w:rPr>
      <w:color w:val="800080" w:themeColor="followedHyperlink"/>
      <w:u w:val="single"/>
    </w:rPr>
  </w:style>
  <w:style w:type="character" w:styleId="CommentReference">
    <w:name w:val="annotation reference"/>
    <w:basedOn w:val="DefaultParagraphFont"/>
    <w:uiPriority w:val="99"/>
    <w:semiHidden/>
    <w:unhideWhenUsed/>
    <w:rsid w:val="00035BC9"/>
    <w:rPr>
      <w:sz w:val="16"/>
      <w:szCs w:val="16"/>
    </w:rPr>
  </w:style>
  <w:style w:type="paragraph" w:styleId="CommentText">
    <w:name w:val="annotation text"/>
    <w:basedOn w:val="Normal"/>
    <w:link w:val="CommentTextChar"/>
    <w:uiPriority w:val="99"/>
    <w:semiHidden/>
    <w:unhideWhenUsed/>
    <w:rsid w:val="00035BC9"/>
    <w:pPr>
      <w:spacing w:line="240" w:lineRule="auto"/>
    </w:pPr>
    <w:rPr>
      <w:sz w:val="20"/>
      <w:szCs w:val="20"/>
    </w:rPr>
  </w:style>
  <w:style w:type="character" w:customStyle="1" w:styleId="CommentTextChar">
    <w:name w:val="Comment Text Char"/>
    <w:basedOn w:val="DefaultParagraphFont"/>
    <w:link w:val="CommentText"/>
    <w:uiPriority w:val="99"/>
    <w:semiHidden/>
    <w:rsid w:val="00035BC9"/>
    <w:rPr>
      <w:sz w:val="20"/>
      <w:szCs w:val="20"/>
    </w:rPr>
  </w:style>
  <w:style w:type="paragraph" w:styleId="CommentSubject">
    <w:name w:val="annotation subject"/>
    <w:basedOn w:val="CommentText"/>
    <w:next w:val="CommentText"/>
    <w:link w:val="CommentSubjectChar"/>
    <w:uiPriority w:val="99"/>
    <w:semiHidden/>
    <w:unhideWhenUsed/>
    <w:rsid w:val="00035BC9"/>
    <w:rPr>
      <w:b/>
      <w:bCs/>
    </w:rPr>
  </w:style>
  <w:style w:type="character" w:customStyle="1" w:styleId="CommentSubjectChar">
    <w:name w:val="Comment Subject Char"/>
    <w:basedOn w:val="CommentTextChar"/>
    <w:link w:val="CommentSubject"/>
    <w:uiPriority w:val="99"/>
    <w:semiHidden/>
    <w:rsid w:val="00035BC9"/>
    <w:rPr>
      <w:b/>
      <w:bCs/>
      <w:sz w:val="20"/>
      <w:szCs w:val="20"/>
    </w:rPr>
  </w:style>
  <w:style w:type="character" w:styleId="PageNumber">
    <w:name w:val="page number"/>
    <w:basedOn w:val="DefaultParagraphFont"/>
    <w:uiPriority w:val="99"/>
    <w:semiHidden/>
    <w:unhideWhenUsed/>
    <w:rsid w:val="002F5C48"/>
  </w:style>
  <w:style w:type="character" w:customStyle="1" w:styleId="UnresolvedMention1">
    <w:name w:val="Unresolved Mention1"/>
    <w:basedOn w:val="DefaultParagraphFont"/>
    <w:uiPriority w:val="99"/>
    <w:semiHidden/>
    <w:unhideWhenUsed/>
    <w:rsid w:val="00E97D80"/>
    <w:rPr>
      <w:color w:val="605E5C"/>
      <w:shd w:val="clear" w:color="auto" w:fill="E1DFDD"/>
    </w:rPr>
  </w:style>
  <w:style w:type="paragraph" w:styleId="Revision">
    <w:name w:val="Revision"/>
    <w:hidden/>
    <w:uiPriority w:val="99"/>
    <w:semiHidden/>
    <w:rsid w:val="00A71A8A"/>
    <w:pPr>
      <w:spacing w:after="0" w:line="240" w:lineRule="auto"/>
    </w:pPr>
  </w:style>
  <w:style w:type="character" w:customStyle="1" w:styleId="UnresolvedMention2">
    <w:name w:val="Unresolved Mention2"/>
    <w:basedOn w:val="DefaultParagraphFont"/>
    <w:uiPriority w:val="99"/>
    <w:semiHidden/>
    <w:unhideWhenUsed/>
    <w:rsid w:val="004B3A4C"/>
    <w:rPr>
      <w:color w:val="605E5C"/>
      <w:shd w:val="clear" w:color="auto" w:fill="E1DFDD"/>
    </w:rPr>
  </w:style>
  <w:style w:type="character" w:customStyle="1" w:styleId="UnresolvedMention3">
    <w:name w:val="Unresolved Mention3"/>
    <w:basedOn w:val="DefaultParagraphFont"/>
    <w:uiPriority w:val="99"/>
    <w:semiHidden/>
    <w:unhideWhenUsed/>
    <w:rsid w:val="00B5044D"/>
    <w:rPr>
      <w:color w:val="605E5C"/>
      <w:shd w:val="clear" w:color="auto" w:fill="E1DFDD"/>
    </w:rPr>
  </w:style>
  <w:style w:type="character" w:customStyle="1" w:styleId="UnresolvedMention4">
    <w:name w:val="Unresolved Mention4"/>
    <w:basedOn w:val="DefaultParagraphFont"/>
    <w:uiPriority w:val="99"/>
    <w:semiHidden/>
    <w:unhideWhenUsed/>
    <w:rsid w:val="008B412F"/>
    <w:rPr>
      <w:color w:val="605E5C"/>
      <w:shd w:val="clear" w:color="auto" w:fill="E1DFDD"/>
    </w:rPr>
  </w:style>
  <w:style w:type="character" w:customStyle="1" w:styleId="Heading1Char">
    <w:name w:val="Heading 1 Char"/>
    <w:basedOn w:val="DefaultParagraphFont"/>
    <w:link w:val="Heading1"/>
    <w:uiPriority w:val="9"/>
    <w:rsid w:val="00784E15"/>
    <w:rPr>
      <w:rFonts w:asciiTheme="majorHAnsi" w:eastAsiaTheme="majorEastAsia" w:hAnsiTheme="majorHAnsi" w:cstheme="majorBidi"/>
      <w:b/>
      <w:bCs/>
      <w:color w:val="365F91" w:themeColor="accent1" w:themeShade="BF"/>
      <w:sz w:val="28"/>
      <w:szCs w:val="28"/>
    </w:rPr>
  </w:style>
  <w:style w:type="character" w:customStyle="1" w:styleId="UnresolvedMention5">
    <w:name w:val="Unresolved Mention5"/>
    <w:basedOn w:val="DefaultParagraphFont"/>
    <w:uiPriority w:val="99"/>
    <w:semiHidden/>
    <w:unhideWhenUsed/>
    <w:rsid w:val="003F67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3463">
      <w:bodyDiv w:val="1"/>
      <w:marLeft w:val="0"/>
      <w:marRight w:val="0"/>
      <w:marTop w:val="0"/>
      <w:marBottom w:val="0"/>
      <w:divBdr>
        <w:top w:val="none" w:sz="0" w:space="0" w:color="auto"/>
        <w:left w:val="none" w:sz="0" w:space="0" w:color="auto"/>
        <w:bottom w:val="none" w:sz="0" w:space="0" w:color="auto"/>
        <w:right w:val="none" w:sz="0" w:space="0" w:color="auto"/>
      </w:divBdr>
      <w:divsChild>
        <w:div w:id="197205482">
          <w:marLeft w:val="0"/>
          <w:marRight w:val="0"/>
          <w:marTop w:val="0"/>
          <w:marBottom w:val="0"/>
          <w:divBdr>
            <w:top w:val="none" w:sz="0" w:space="0" w:color="auto"/>
            <w:left w:val="none" w:sz="0" w:space="0" w:color="auto"/>
            <w:bottom w:val="none" w:sz="0" w:space="0" w:color="auto"/>
            <w:right w:val="none" w:sz="0" w:space="0" w:color="auto"/>
          </w:divBdr>
        </w:div>
        <w:div w:id="969168035">
          <w:marLeft w:val="0"/>
          <w:marRight w:val="0"/>
          <w:marTop w:val="0"/>
          <w:marBottom w:val="0"/>
          <w:divBdr>
            <w:top w:val="none" w:sz="0" w:space="0" w:color="auto"/>
            <w:left w:val="none" w:sz="0" w:space="0" w:color="auto"/>
            <w:bottom w:val="none" w:sz="0" w:space="0" w:color="auto"/>
            <w:right w:val="none" w:sz="0" w:space="0" w:color="auto"/>
          </w:divBdr>
        </w:div>
        <w:div w:id="113523176">
          <w:marLeft w:val="0"/>
          <w:marRight w:val="0"/>
          <w:marTop w:val="0"/>
          <w:marBottom w:val="0"/>
          <w:divBdr>
            <w:top w:val="none" w:sz="0" w:space="0" w:color="auto"/>
            <w:left w:val="none" w:sz="0" w:space="0" w:color="auto"/>
            <w:bottom w:val="none" w:sz="0" w:space="0" w:color="auto"/>
            <w:right w:val="none" w:sz="0" w:space="0" w:color="auto"/>
          </w:divBdr>
        </w:div>
      </w:divsChild>
    </w:div>
    <w:div w:id="166791058">
      <w:bodyDiv w:val="1"/>
      <w:marLeft w:val="0"/>
      <w:marRight w:val="0"/>
      <w:marTop w:val="0"/>
      <w:marBottom w:val="0"/>
      <w:divBdr>
        <w:top w:val="none" w:sz="0" w:space="0" w:color="auto"/>
        <w:left w:val="none" w:sz="0" w:space="0" w:color="auto"/>
        <w:bottom w:val="none" w:sz="0" w:space="0" w:color="auto"/>
        <w:right w:val="none" w:sz="0" w:space="0" w:color="auto"/>
      </w:divBdr>
      <w:divsChild>
        <w:div w:id="1954163483">
          <w:marLeft w:val="0"/>
          <w:marRight w:val="0"/>
          <w:marTop w:val="0"/>
          <w:marBottom w:val="0"/>
          <w:divBdr>
            <w:top w:val="none" w:sz="0" w:space="0" w:color="auto"/>
            <w:left w:val="none" w:sz="0" w:space="0" w:color="auto"/>
            <w:bottom w:val="none" w:sz="0" w:space="0" w:color="auto"/>
            <w:right w:val="none" w:sz="0" w:space="0" w:color="auto"/>
          </w:divBdr>
        </w:div>
        <w:div w:id="998458746">
          <w:marLeft w:val="0"/>
          <w:marRight w:val="0"/>
          <w:marTop w:val="0"/>
          <w:marBottom w:val="0"/>
          <w:divBdr>
            <w:top w:val="none" w:sz="0" w:space="0" w:color="auto"/>
            <w:left w:val="none" w:sz="0" w:space="0" w:color="auto"/>
            <w:bottom w:val="none" w:sz="0" w:space="0" w:color="auto"/>
            <w:right w:val="none" w:sz="0" w:space="0" w:color="auto"/>
          </w:divBdr>
        </w:div>
        <w:div w:id="2024436300">
          <w:marLeft w:val="0"/>
          <w:marRight w:val="0"/>
          <w:marTop w:val="0"/>
          <w:marBottom w:val="0"/>
          <w:divBdr>
            <w:top w:val="none" w:sz="0" w:space="0" w:color="auto"/>
            <w:left w:val="none" w:sz="0" w:space="0" w:color="auto"/>
            <w:bottom w:val="none" w:sz="0" w:space="0" w:color="auto"/>
            <w:right w:val="none" w:sz="0" w:space="0" w:color="auto"/>
          </w:divBdr>
        </w:div>
      </w:divsChild>
    </w:div>
    <w:div w:id="845679983">
      <w:bodyDiv w:val="1"/>
      <w:marLeft w:val="0"/>
      <w:marRight w:val="0"/>
      <w:marTop w:val="0"/>
      <w:marBottom w:val="0"/>
      <w:divBdr>
        <w:top w:val="none" w:sz="0" w:space="0" w:color="auto"/>
        <w:left w:val="none" w:sz="0" w:space="0" w:color="auto"/>
        <w:bottom w:val="none" w:sz="0" w:space="0" w:color="auto"/>
        <w:right w:val="none" w:sz="0" w:space="0" w:color="auto"/>
      </w:divBdr>
    </w:div>
    <w:div w:id="1024524896">
      <w:bodyDiv w:val="1"/>
      <w:marLeft w:val="0"/>
      <w:marRight w:val="0"/>
      <w:marTop w:val="0"/>
      <w:marBottom w:val="0"/>
      <w:divBdr>
        <w:top w:val="none" w:sz="0" w:space="0" w:color="auto"/>
        <w:left w:val="none" w:sz="0" w:space="0" w:color="auto"/>
        <w:bottom w:val="none" w:sz="0" w:space="0" w:color="auto"/>
        <w:right w:val="none" w:sz="0" w:space="0" w:color="auto"/>
      </w:divBdr>
    </w:div>
    <w:div w:id="1294865515">
      <w:bodyDiv w:val="1"/>
      <w:marLeft w:val="0"/>
      <w:marRight w:val="0"/>
      <w:marTop w:val="0"/>
      <w:marBottom w:val="0"/>
      <w:divBdr>
        <w:top w:val="none" w:sz="0" w:space="0" w:color="auto"/>
        <w:left w:val="none" w:sz="0" w:space="0" w:color="auto"/>
        <w:bottom w:val="none" w:sz="0" w:space="0" w:color="auto"/>
        <w:right w:val="none" w:sz="0" w:space="0" w:color="auto"/>
      </w:divBdr>
      <w:divsChild>
        <w:div w:id="5794765">
          <w:marLeft w:val="0"/>
          <w:marRight w:val="0"/>
          <w:marTop w:val="0"/>
          <w:marBottom w:val="0"/>
          <w:divBdr>
            <w:top w:val="none" w:sz="0" w:space="0" w:color="auto"/>
            <w:left w:val="none" w:sz="0" w:space="0" w:color="auto"/>
            <w:bottom w:val="none" w:sz="0" w:space="0" w:color="auto"/>
            <w:right w:val="none" w:sz="0" w:space="0" w:color="auto"/>
          </w:divBdr>
        </w:div>
        <w:div w:id="757865568">
          <w:marLeft w:val="0"/>
          <w:marRight w:val="0"/>
          <w:marTop w:val="0"/>
          <w:marBottom w:val="0"/>
          <w:divBdr>
            <w:top w:val="none" w:sz="0" w:space="0" w:color="auto"/>
            <w:left w:val="none" w:sz="0" w:space="0" w:color="auto"/>
            <w:bottom w:val="none" w:sz="0" w:space="0" w:color="auto"/>
            <w:right w:val="none" w:sz="0" w:space="0" w:color="auto"/>
          </w:divBdr>
        </w:div>
        <w:div w:id="573245486">
          <w:marLeft w:val="0"/>
          <w:marRight w:val="0"/>
          <w:marTop w:val="0"/>
          <w:marBottom w:val="0"/>
          <w:divBdr>
            <w:top w:val="none" w:sz="0" w:space="0" w:color="auto"/>
            <w:left w:val="none" w:sz="0" w:space="0" w:color="auto"/>
            <w:bottom w:val="none" w:sz="0" w:space="0" w:color="auto"/>
            <w:right w:val="none" w:sz="0" w:space="0" w:color="auto"/>
          </w:divBdr>
        </w:div>
      </w:divsChild>
    </w:div>
    <w:div w:id="1586382425">
      <w:bodyDiv w:val="1"/>
      <w:marLeft w:val="0"/>
      <w:marRight w:val="0"/>
      <w:marTop w:val="0"/>
      <w:marBottom w:val="0"/>
      <w:divBdr>
        <w:top w:val="none" w:sz="0" w:space="0" w:color="auto"/>
        <w:left w:val="none" w:sz="0" w:space="0" w:color="auto"/>
        <w:bottom w:val="none" w:sz="0" w:space="0" w:color="auto"/>
        <w:right w:val="none" w:sz="0" w:space="0" w:color="auto"/>
      </w:divBdr>
    </w:div>
    <w:div w:id="1761177263">
      <w:bodyDiv w:val="1"/>
      <w:marLeft w:val="0"/>
      <w:marRight w:val="0"/>
      <w:marTop w:val="0"/>
      <w:marBottom w:val="0"/>
      <w:divBdr>
        <w:top w:val="none" w:sz="0" w:space="0" w:color="auto"/>
        <w:left w:val="none" w:sz="0" w:space="0" w:color="auto"/>
        <w:bottom w:val="none" w:sz="0" w:space="0" w:color="auto"/>
        <w:right w:val="none" w:sz="0" w:space="0" w:color="auto"/>
      </w:divBdr>
    </w:div>
    <w:div w:id="198974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fundsforlearning.com/blog/2018/08/no-funds-yet-for-wan-construction-in-2018" TargetMode="External"/><Relationship Id="rId13" Type="http://schemas.openxmlformats.org/officeDocument/2006/relationships/hyperlink" Target="https://transition.fcc.gov/wcb/ACAM040115.pdf" TargetMode="External"/><Relationship Id="rId18" Type="http://schemas.openxmlformats.org/officeDocument/2006/relationships/hyperlink" Target="https://www.usac.org/_res/documents/about/pdf/rfp/rfp-sl-business-process-outsourcing-service.pdf" TargetMode="External"/><Relationship Id="rId26" Type="http://schemas.openxmlformats.org/officeDocument/2006/relationships/hyperlink" Target="https://www.usac.org/sl/tools/news-briefs/preview.aspx?id=817" TargetMode="External"/><Relationship Id="rId3" Type="http://schemas.openxmlformats.org/officeDocument/2006/relationships/hyperlink" Target="https://1drv.ms/f/s!AhW4eV2CMXljg95Jluh7HCQr7_XICw" TargetMode="External"/><Relationship Id="rId21" Type="http://schemas.openxmlformats.org/officeDocument/2006/relationships/hyperlink" Target="https://www.reginfo.gov/public/do/PRAViewICR?ref_nbr=201808-3060-005" TargetMode="External"/><Relationship Id="rId7" Type="http://schemas.openxmlformats.org/officeDocument/2006/relationships/hyperlink" Target="https://s3-us-west-1.amazonaws.com/esh-sots-pdfs/2018%20State%20of%20the%20States.pdf" TargetMode="External"/><Relationship Id="rId12" Type="http://schemas.openxmlformats.org/officeDocument/2006/relationships/hyperlink" Target="https://www.fcc.gov/general/summary-e-rate-modernization-order" TargetMode="External"/><Relationship Id="rId17" Type="http://schemas.openxmlformats.org/officeDocument/2006/relationships/hyperlink" Target="https://www.reginfo.gov/public/do/PRAMain" TargetMode="External"/><Relationship Id="rId25" Type="http://schemas.openxmlformats.org/officeDocument/2006/relationships/hyperlink" Target="https://www.usac.org/sl/tools/news-briefs/preview.aspx?id=813" TargetMode="External"/><Relationship Id="rId2" Type="http://schemas.openxmlformats.org/officeDocument/2006/relationships/hyperlink" Target="https://connectamericansnow.com/bridging-the-digital-divide-among-schools-is-within-reach-despite-fcc-red-tape/" TargetMode="External"/><Relationship Id="rId16" Type="http://schemas.openxmlformats.org/officeDocument/2006/relationships/hyperlink" Target="https://www.opm.gov/about-us/open-government/digital-government-strategy/fitara/paperwork-reduction-act-guide.pdf" TargetMode="External"/><Relationship Id="rId20" Type="http://schemas.openxmlformats.org/officeDocument/2006/relationships/hyperlink" Target="https://www.reginfo.gov/public/do/PRAViewICR?ref_nbr=201711-3060-008" TargetMode="External"/><Relationship Id="rId1" Type="http://schemas.openxmlformats.org/officeDocument/2006/relationships/hyperlink" Target="https://data.usac.org/publicreports/FRN/Status/FundYear" TargetMode="External"/><Relationship Id="rId6" Type="http://schemas.openxmlformats.org/officeDocument/2006/relationships/hyperlink" Target="https://www.usac.org/sl/about/faqs/faqs-fiber.aspx" TargetMode="External"/><Relationship Id="rId11" Type="http://schemas.openxmlformats.org/officeDocument/2006/relationships/hyperlink" Target="https://tea.texas.gov/Academics/Learning_Support_and_Programs/Technology_Planning/Classroom_Connectivity/Texas_State_Match_Fund_FAQ/" TargetMode="External"/><Relationship Id="rId24" Type="http://schemas.openxmlformats.org/officeDocument/2006/relationships/hyperlink" Target="https://www.usac.org/_res/documents/li/pdf/nv/li_recertification_nvstates.pdf" TargetMode="External"/><Relationship Id="rId5" Type="http://schemas.openxmlformats.org/officeDocument/2006/relationships/hyperlink" Target="https://www.usac.org/sl/applicants/beforeyoubegin/fiber.aspx" TargetMode="External"/><Relationship Id="rId15" Type="http://schemas.openxmlformats.org/officeDocument/2006/relationships/hyperlink" Target="https://www.usac.org/sl/tools/news-briefs/preview.aspx?id=687" TargetMode="External"/><Relationship Id="rId23" Type="http://schemas.openxmlformats.org/officeDocument/2006/relationships/hyperlink" Target="https://www.reginfo.gov/public/do/PRAViewICR?ref_nbr=201804-3060-015" TargetMode="External"/><Relationship Id="rId10" Type="http://schemas.openxmlformats.org/officeDocument/2006/relationships/hyperlink" Target="https://www.usac.org/sl/applicants/beforeyoubegin/state-matching-provision.aspx" TargetMode="External"/><Relationship Id="rId19" Type="http://schemas.openxmlformats.org/officeDocument/2006/relationships/hyperlink" Target="https://www.reginfo.gov/public/do/PRAViewICR?ref_nbr=201606-3060-022" TargetMode="External"/><Relationship Id="rId4" Type="http://schemas.openxmlformats.org/officeDocument/2006/relationships/hyperlink" Target="http://www.ala.org/advocacy/erate" TargetMode="External"/><Relationship Id="rId9" Type="http://schemas.openxmlformats.org/officeDocument/2006/relationships/hyperlink" Target="https://cds.educationsuperhighway.org/wp-content/uploads/2018/08/Letter-to-Chairman-Pai-from-EducationSuperHighway-8-30-2018.pdf" TargetMode="External"/><Relationship Id="rId14" Type="http://schemas.openxmlformats.org/officeDocument/2006/relationships/hyperlink" Target="https://www.usac.org/_res/documents/sl/pdf/handouts/SL-Glossary-of-Terms.pdf" TargetMode="External"/><Relationship Id="rId22" Type="http://schemas.openxmlformats.org/officeDocument/2006/relationships/hyperlink" Target="https://www.reginfo.gov/public/do/PRAViewICR?ref_nbr=201804-3060-012" TargetMode="External"/><Relationship Id="rId27" Type="http://schemas.openxmlformats.org/officeDocument/2006/relationships/hyperlink" Target="https://www.usac.org/rhc/healthcare-connect/individual/step03/contract-mod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D9B85-3941-4482-BFF1-92F5DCE6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8776</Words>
  <Characters>50026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Steptoe &amp; Johnson, LLP</Company>
  <LinksUpToDate>false</LinksUpToDate>
  <CharactersWithSpaces>58685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Sallet</dc:creator>
  <cp:lastModifiedBy>Kip Roderick</cp:lastModifiedBy>
  <cp:revision>4</cp:revision>
  <cp:lastPrinted>2018-12-19T15:09:00Z</cp:lastPrinted>
  <dcterms:created xsi:type="dcterms:W3CDTF">2019-03-11T15:03:00Z</dcterms:created>
  <dcterms:modified xsi:type="dcterms:W3CDTF">2019-03-11T16:02:00Z</dcterms:modified>
</cp:coreProperties>
</file>