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A04" w:rsidRDefault="00317A04">
      <w:pPr>
        <w:rPr>
          <w:rFonts w:ascii="inherit" w:hAnsi="inherit"/>
          <w:color w:val="222222"/>
          <w:shd w:val="clear" w:color="auto" w:fill="FFFFFF"/>
        </w:rPr>
      </w:pPr>
      <w:r>
        <w:rPr>
          <w:rFonts w:ascii="inherit" w:hAnsi="inherit"/>
          <w:color w:val="222222"/>
          <w:shd w:val="clear" w:color="auto" w:fill="FFFFFF"/>
        </w:rPr>
        <w:t xml:space="preserve">Confusion with the 472 (BEAR) for submittals. It was always my understanding that once we submitted and Funds were committed, my portion was complete. There is the case of the refund </w:t>
      </w:r>
      <w:proofErr w:type="gramStart"/>
      <w:r>
        <w:rPr>
          <w:rFonts w:ascii="inherit" w:hAnsi="inherit"/>
          <w:color w:val="222222"/>
          <w:shd w:val="clear" w:color="auto" w:fill="FFFFFF"/>
        </w:rPr>
        <w:t>process which</w:t>
      </w:r>
      <w:proofErr w:type="gramEnd"/>
      <w:r>
        <w:rPr>
          <w:rFonts w:ascii="inherit" w:hAnsi="inherit"/>
          <w:color w:val="222222"/>
          <w:shd w:val="clear" w:color="auto" w:fill="FFFFFF"/>
        </w:rPr>
        <w:t xml:space="preserve"> is the BEAR apparently. The, "Last day to invoice" limit is apparently NOT the last day to invoice for services but to invoice to get reimbursements?</w:t>
      </w:r>
    </w:p>
    <w:p w:rsidR="00317A04" w:rsidRDefault="00317A04">
      <w:pPr>
        <w:rPr>
          <w:rFonts w:ascii="inherit" w:hAnsi="inherit"/>
          <w:color w:val="222222"/>
          <w:shd w:val="clear" w:color="auto" w:fill="FFFFFF"/>
        </w:rPr>
      </w:pPr>
      <w:r>
        <w:rPr>
          <w:rFonts w:ascii="inherit" w:hAnsi="inherit"/>
          <w:color w:val="222222"/>
          <w:shd w:val="clear" w:color="auto" w:fill="FFFFFF"/>
        </w:rPr>
        <w:t>State of MS ITS Dept. only just yesterday alerted me to the, “E-rate Central” site and I noticed ALL of the funds yet to be reimbursed to us. Nobody on my Accounting end ever about funds reimbursement.  The few times I actually filed the 472 were times that MS ITS offices alerted me.  My confusion was I thought MY Finance office had missed a filing and I was doing them a favor, never fully realizing the 472 is an annual necessity on MY part.</w:t>
      </w:r>
    </w:p>
    <w:p w:rsidR="003C7C05" w:rsidRDefault="00317A04">
      <w:pPr>
        <w:rPr>
          <w:rFonts w:ascii="inherit" w:hAnsi="inherit"/>
          <w:color w:val="222222"/>
          <w:shd w:val="clear" w:color="auto" w:fill="FFFFFF"/>
        </w:rPr>
      </w:pPr>
      <w:r>
        <w:rPr>
          <w:rFonts w:ascii="inherit" w:hAnsi="inherit"/>
          <w:color w:val="222222"/>
          <w:shd w:val="clear" w:color="auto" w:fill="FFFFFF"/>
        </w:rPr>
        <w:t xml:space="preserve">Going forward, I am going to submit quarterly or, at minimum, semi-annual, BEAR forms to whichever vendor it may pertain. My appeal to you is therefore, is there ANY possible way to recoup ANY of the funds we have sitting out there. I was never fully aware of the whole reimbursement process as I thought that was handled by our Finance office and whoever the billing vendor was to coordinate with you </w:t>
      </w:r>
      <w:proofErr w:type="gramStart"/>
      <w:r>
        <w:rPr>
          <w:rFonts w:ascii="inherit" w:hAnsi="inherit"/>
          <w:color w:val="222222"/>
          <w:shd w:val="clear" w:color="auto" w:fill="FFFFFF"/>
        </w:rPr>
        <w:t>guys</w:t>
      </w:r>
      <w:proofErr w:type="gramEnd"/>
      <w:r>
        <w:rPr>
          <w:rFonts w:ascii="inherit" w:hAnsi="inherit"/>
          <w:color w:val="222222"/>
          <w:shd w:val="clear" w:color="auto" w:fill="FFFFFF"/>
        </w:rPr>
        <w:t xml:space="preserve"> for the balance reimbursed.</w:t>
      </w:r>
    </w:p>
    <w:p w:rsidR="00A2718A" w:rsidRDefault="00A2718A">
      <w:pPr>
        <w:rPr>
          <w:rFonts w:ascii="inherit" w:hAnsi="inherit"/>
          <w:color w:val="222222"/>
          <w:shd w:val="clear" w:color="auto" w:fill="FFFFFF"/>
        </w:rPr>
      </w:pP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61"/>
        <w:gridCol w:w="838"/>
        <w:gridCol w:w="918"/>
        <w:gridCol w:w="838"/>
        <w:gridCol w:w="1475"/>
        <w:gridCol w:w="762"/>
        <w:gridCol w:w="838"/>
        <w:gridCol w:w="1155"/>
        <w:gridCol w:w="169"/>
        <w:gridCol w:w="928"/>
        <w:gridCol w:w="452"/>
        <w:gridCol w:w="826"/>
      </w:tblGrid>
      <w:tr w:rsidR="00A2718A" w:rsidRPr="00A2718A" w:rsidTr="00A2718A">
        <w:trPr>
          <w:tblCellSpacing w:w="0" w:type="dxa"/>
        </w:trPr>
        <w:tc>
          <w:tcPr>
            <w:tcW w:w="0" w:type="auto"/>
            <w:vAlign w:val="bottom"/>
            <w:hideMark/>
          </w:tcPr>
          <w:p w:rsidR="00A2718A" w:rsidRPr="00A2718A" w:rsidRDefault="00A2718A" w:rsidP="00A2718A">
            <w:pPr>
              <w:spacing w:after="0" w:line="240" w:lineRule="auto"/>
              <w:rPr>
                <w:rFonts w:ascii="Times New Roman" w:eastAsia="Times New Roman" w:hAnsi="Times New Roman" w:cs="Times New Roman"/>
                <w:sz w:val="24"/>
                <w:szCs w:val="24"/>
              </w:rPr>
            </w:pPr>
          </w:p>
        </w:tc>
        <w:tc>
          <w:tcPr>
            <w:tcW w:w="0" w:type="auto"/>
            <w:vAlign w:val="bottom"/>
            <w:hideMark/>
          </w:tcPr>
          <w:p w:rsidR="00A2718A" w:rsidRPr="00A2718A" w:rsidRDefault="00A2718A" w:rsidP="00A2718A">
            <w:pPr>
              <w:spacing w:after="0" w:line="240" w:lineRule="auto"/>
              <w:rPr>
                <w:rFonts w:ascii="Verdana" w:eastAsia="Times New Roman" w:hAnsi="Verdana" w:cs="Times New Roman"/>
                <w:b/>
                <w:bCs/>
                <w:color w:val="000000"/>
                <w:sz w:val="20"/>
                <w:szCs w:val="20"/>
              </w:rPr>
            </w:pPr>
            <w:hyperlink r:id="rId4" w:history="1">
              <w:r w:rsidRPr="00A2718A">
                <w:rPr>
                  <w:rFonts w:ascii="Verdana" w:eastAsia="Times New Roman" w:hAnsi="Verdana" w:cs="Times New Roman"/>
                  <w:b/>
                  <w:bCs/>
                  <w:color w:val="0000FF"/>
                  <w:sz w:val="20"/>
                  <w:szCs w:val="20"/>
                  <w:u w:val="single"/>
                </w:rPr>
                <w:t>471</w:t>
              </w:r>
            </w:hyperlink>
          </w:p>
        </w:tc>
        <w:tc>
          <w:tcPr>
            <w:tcW w:w="0" w:type="auto"/>
            <w:vAlign w:val="bottom"/>
            <w:hideMark/>
          </w:tcPr>
          <w:p w:rsidR="00A2718A" w:rsidRPr="00A2718A" w:rsidRDefault="00A2718A" w:rsidP="00A2718A">
            <w:pPr>
              <w:spacing w:after="0" w:line="240" w:lineRule="auto"/>
              <w:rPr>
                <w:rFonts w:ascii="Verdana" w:eastAsia="Times New Roman" w:hAnsi="Verdana" w:cs="Times New Roman"/>
                <w:b/>
                <w:bCs/>
                <w:color w:val="000000"/>
                <w:sz w:val="20"/>
                <w:szCs w:val="20"/>
              </w:rPr>
            </w:pPr>
            <w:hyperlink r:id="rId5" w:history="1">
              <w:r w:rsidRPr="00A2718A">
                <w:rPr>
                  <w:rFonts w:ascii="Verdana" w:eastAsia="Times New Roman" w:hAnsi="Verdana" w:cs="Times New Roman"/>
                  <w:b/>
                  <w:bCs/>
                  <w:color w:val="0000FF"/>
                  <w:sz w:val="20"/>
                  <w:szCs w:val="20"/>
                  <w:u w:val="single"/>
                </w:rPr>
                <w:t>FRN</w:t>
              </w:r>
            </w:hyperlink>
          </w:p>
        </w:tc>
        <w:tc>
          <w:tcPr>
            <w:tcW w:w="0" w:type="auto"/>
            <w:vAlign w:val="bottom"/>
            <w:hideMark/>
          </w:tcPr>
          <w:p w:rsidR="00A2718A" w:rsidRPr="00A2718A" w:rsidRDefault="00A2718A" w:rsidP="00A2718A">
            <w:pPr>
              <w:spacing w:after="0" w:line="240" w:lineRule="auto"/>
              <w:rPr>
                <w:rFonts w:ascii="Verdana" w:eastAsia="Times New Roman" w:hAnsi="Verdana" w:cs="Times New Roman"/>
                <w:b/>
                <w:bCs/>
                <w:color w:val="000000"/>
                <w:sz w:val="20"/>
                <w:szCs w:val="20"/>
              </w:rPr>
            </w:pPr>
            <w:hyperlink r:id="rId6" w:history="1">
              <w:r w:rsidRPr="00A2718A">
                <w:rPr>
                  <w:rFonts w:ascii="Verdana" w:eastAsia="Times New Roman" w:hAnsi="Verdana" w:cs="Times New Roman"/>
                  <w:b/>
                  <w:bCs/>
                  <w:color w:val="0000FF"/>
                  <w:sz w:val="20"/>
                  <w:szCs w:val="20"/>
                  <w:u w:val="single"/>
                </w:rPr>
                <w:t>SPIN</w:t>
              </w:r>
            </w:hyperlink>
          </w:p>
        </w:tc>
        <w:tc>
          <w:tcPr>
            <w:tcW w:w="0" w:type="auto"/>
            <w:vAlign w:val="bottom"/>
            <w:hideMark/>
          </w:tcPr>
          <w:p w:rsidR="00A2718A" w:rsidRPr="00A2718A" w:rsidRDefault="00A2718A" w:rsidP="00A2718A">
            <w:pPr>
              <w:spacing w:after="0" w:line="240" w:lineRule="auto"/>
              <w:rPr>
                <w:rFonts w:ascii="Verdana" w:eastAsia="Times New Roman" w:hAnsi="Verdana" w:cs="Times New Roman"/>
                <w:b/>
                <w:bCs/>
                <w:color w:val="000000"/>
                <w:sz w:val="20"/>
                <w:szCs w:val="20"/>
              </w:rPr>
            </w:pPr>
            <w:hyperlink r:id="rId7" w:history="1">
              <w:r w:rsidRPr="00A2718A">
                <w:rPr>
                  <w:rFonts w:ascii="Verdana" w:eastAsia="Times New Roman" w:hAnsi="Verdana" w:cs="Times New Roman"/>
                  <w:b/>
                  <w:bCs/>
                  <w:color w:val="0000FF"/>
                  <w:sz w:val="20"/>
                  <w:szCs w:val="20"/>
                  <w:u w:val="single"/>
                </w:rPr>
                <w:t>Service Provider</w:t>
              </w:r>
            </w:hyperlink>
          </w:p>
        </w:tc>
        <w:tc>
          <w:tcPr>
            <w:tcW w:w="0" w:type="auto"/>
            <w:vAlign w:val="bottom"/>
            <w:hideMark/>
          </w:tcPr>
          <w:p w:rsidR="00A2718A" w:rsidRPr="00A2718A" w:rsidRDefault="00A2718A" w:rsidP="00A2718A">
            <w:pPr>
              <w:spacing w:after="0" w:line="240" w:lineRule="auto"/>
              <w:jc w:val="center"/>
              <w:rPr>
                <w:rFonts w:ascii="Verdana" w:eastAsia="Times New Roman" w:hAnsi="Verdana" w:cs="Times New Roman"/>
                <w:b/>
                <w:bCs/>
                <w:color w:val="000000"/>
                <w:sz w:val="20"/>
                <w:szCs w:val="20"/>
              </w:rPr>
            </w:pPr>
            <w:hyperlink r:id="rId8" w:history="1">
              <w:r w:rsidRPr="00A2718A">
                <w:rPr>
                  <w:rFonts w:ascii="Verdana" w:eastAsia="Times New Roman" w:hAnsi="Verdana" w:cs="Times New Roman"/>
                  <w:b/>
                  <w:bCs/>
                  <w:color w:val="0000FF"/>
                  <w:sz w:val="20"/>
                  <w:szCs w:val="20"/>
                  <w:u w:val="single"/>
                </w:rPr>
                <w:t>Service</w:t>
              </w:r>
            </w:hyperlink>
            <w:r w:rsidRPr="00A2718A">
              <w:rPr>
                <w:rFonts w:ascii="Verdana" w:eastAsia="Times New Roman" w:hAnsi="Verdana" w:cs="Times New Roman"/>
                <w:b/>
                <w:bCs/>
                <w:color w:val="000000"/>
                <w:sz w:val="15"/>
                <w:szCs w:val="15"/>
                <w:vertAlign w:val="superscript"/>
              </w:rPr>
              <w:t>*</w:t>
            </w:r>
          </w:p>
        </w:tc>
        <w:tc>
          <w:tcPr>
            <w:tcW w:w="0" w:type="auto"/>
            <w:vAlign w:val="bottom"/>
            <w:hideMark/>
          </w:tcPr>
          <w:p w:rsidR="00A2718A" w:rsidRPr="00A2718A" w:rsidRDefault="00A2718A" w:rsidP="00A2718A">
            <w:pPr>
              <w:spacing w:after="0" w:line="240" w:lineRule="auto"/>
              <w:jc w:val="right"/>
              <w:rPr>
                <w:rFonts w:ascii="Verdana" w:eastAsia="Times New Roman" w:hAnsi="Verdana" w:cs="Times New Roman"/>
                <w:b/>
                <w:bCs/>
                <w:color w:val="000000"/>
                <w:sz w:val="20"/>
                <w:szCs w:val="20"/>
              </w:rPr>
            </w:pPr>
            <w:r w:rsidRPr="00A2718A">
              <w:rPr>
                <w:rFonts w:ascii="Verdana" w:eastAsia="Times New Roman" w:hAnsi="Verdana" w:cs="Times New Roman"/>
                <w:b/>
                <w:bCs/>
                <w:color w:val="000000"/>
                <w:sz w:val="20"/>
                <w:szCs w:val="20"/>
              </w:rPr>
              <w:t>Original Request</w:t>
            </w:r>
          </w:p>
        </w:tc>
        <w:tc>
          <w:tcPr>
            <w:tcW w:w="0" w:type="auto"/>
            <w:vAlign w:val="bottom"/>
            <w:hideMark/>
          </w:tcPr>
          <w:p w:rsidR="00A2718A" w:rsidRPr="00A2718A" w:rsidRDefault="00A2718A" w:rsidP="00A2718A">
            <w:pPr>
              <w:spacing w:after="0" w:line="240" w:lineRule="auto"/>
              <w:jc w:val="right"/>
              <w:rPr>
                <w:rFonts w:ascii="Verdana" w:eastAsia="Times New Roman" w:hAnsi="Verdana" w:cs="Times New Roman"/>
                <w:b/>
                <w:bCs/>
                <w:color w:val="000000"/>
                <w:sz w:val="20"/>
                <w:szCs w:val="20"/>
              </w:rPr>
            </w:pPr>
            <w:r w:rsidRPr="00A2718A">
              <w:rPr>
                <w:rFonts w:ascii="Verdana" w:eastAsia="Times New Roman" w:hAnsi="Verdana" w:cs="Times New Roman"/>
                <w:b/>
                <w:bCs/>
                <w:color w:val="000000"/>
                <w:sz w:val="20"/>
                <w:szCs w:val="20"/>
              </w:rPr>
              <w:t>Current Commitment</w:t>
            </w:r>
          </w:p>
        </w:tc>
        <w:tc>
          <w:tcPr>
            <w:tcW w:w="0" w:type="auto"/>
            <w:vAlign w:val="bottom"/>
            <w:hideMark/>
          </w:tcPr>
          <w:p w:rsidR="00A2718A" w:rsidRPr="00A2718A" w:rsidRDefault="00A2718A" w:rsidP="00A2718A">
            <w:pPr>
              <w:spacing w:after="0" w:line="240" w:lineRule="auto"/>
              <w:jc w:val="right"/>
              <w:rPr>
                <w:rFonts w:ascii="Verdana" w:eastAsia="Times New Roman" w:hAnsi="Verdana" w:cs="Times New Roman"/>
                <w:b/>
                <w:bCs/>
                <w:color w:val="000000"/>
                <w:sz w:val="20"/>
                <w:szCs w:val="20"/>
              </w:rPr>
            </w:pPr>
            <w:r w:rsidRPr="00A2718A">
              <w:rPr>
                <w:rFonts w:ascii="Verdana" w:eastAsia="Times New Roman" w:hAnsi="Verdana" w:cs="Times New Roman"/>
                <w:b/>
                <w:bCs/>
                <w:color w:val="000000"/>
                <w:sz w:val="20"/>
                <w:szCs w:val="20"/>
              </w:rPr>
              <w:t> </w:t>
            </w:r>
          </w:p>
        </w:tc>
        <w:tc>
          <w:tcPr>
            <w:tcW w:w="0" w:type="auto"/>
            <w:vAlign w:val="bottom"/>
            <w:hideMark/>
          </w:tcPr>
          <w:p w:rsidR="00A2718A" w:rsidRPr="00A2718A" w:rsidRDefault="00A2718A" w:rsidP="00A2718A">
            <w:pPr>
              <w:spacing w:after="0" w:line="240" w:lineRule="auto"/>
              <w:jc w:val="right"/>
              <w:rPr>
                <w:rFonts w:ascii="Verdana" w:eastAsia="Times New Roman" w:hAnsi="Verdana" w:cs="Times New Roman"/>
                <w:b/>
                <w:bCs/>
                <w:color w:val="000000"/>
                <w:sz w:val="20"/>
                <w:szCs w:val="20"/>
              </w:rPr>
            </w:pPr>
            <w:r w:rsidRPr="00A2718A">
              <w:rPr>
                <w:rFonts w:ascii="Verdana" w:eastAsia="Times New Roman" w:hAnsi="Verdana" w:cs="Times New Roman"/>
                <w:b/>
                <w:bCs/>
                <w:color w:val="000000"/>
                <w:sz w:val="20"/>
                <w:szCs w:val="20"/>
              </w:rPr>
              <w:t>Disbursed</w:t>
            </w:r>
          </w:p>
        </w:tc>
        <w:tc>
          <w:tcPr>
            <w:tcW w:w="0" w:type="auto"/>
            <w:vAlign w:val="bottom"/>
            <w:hideMark/>
          </w:tcPr>
          <w:p w:rsidR="00A2718A" w:rsidRPr="00A2718A" w:rsidRDefault="00A2718A" w:rsidP="00A2718A">
            <w:pPr>
              <w:spacing w:after="0" w:line="240" w:lineRule="auto"/>
              <w:jc w:val="right"/>
              <w:rPr>
                <w:rFonts w:ascii="Verdana" w:eastAsia="Times New Roman" w:hAnsi="Verdana" w:cs="Times New Roman"/>
                <w:b/>
                <w:bCs/>
                <w:color w:val="000000"/>
                <w:sz w:val="20"/>
                <w:szCs w:val="20"/>
              </w:rPr>
            </w:pPr>
            <w:r w:rsidRPr="00A2718A">
              <w:rPr>
                <w:rFonts w:ascii="Verdana" w:eastAsia="Times New Roman" w:hAnsi="Verdana" w:cs="Times New Roman"/>
                <w:b/>
                <w:bCs/>
                <w:color w:val="000000"/>
                <w:sz w:val="20"/>
                <w:szCs w:val="20"/>
              </w:rPr>
              <w:t>Util. %</w:t>
            </w:r>
          </w:p>
        </w:tc>
        <w:tc>
          <w:tcPr>
            <w:tcW w:w="0" w:type="auto"/>
            <w:vAlign w:val="bottom"/>
            <w:hideMark/>
          </w:tcPr>
          <w:p w:rsidR="00A2718A" w:rsidRPr="00A2718A" w:rsidRDefault="00A2718A" w:rsidP="00A2718A">
            <w:pPr>
              <w:spacing w:after="0" w:line="240" w:lineRule="auto"/>
              <w:jc w:val="center"/>
              <w:rPr>
                <w:rFonts w:ascii="Verdana" w:eastAsia="Times New Roman" w:hAnsi="Verdana" w:cs="Times New Roman"/>
                <w:b/>
                <w:bCs/>
                <w:color w:val="000000"/>
                <w:sz w:val="20"/>
                <w:szCs w:val="20"/>
              </w:rPr>
            </w:pPr>
            <w:hyperlink r:id="rId9" w:history="1">
              <w:r w:rsidRPr="00A2718A">
                <w:rPr>
                  <w:rFonts w:ascii="Verdana" w:eastAsia="Times New Roman" w:hAnsi="Verdana" w:cs="Times New Roman"/>
                  <w:b/>
                  <w:bCs/>
                  <w:color w:val="0000FF"/>
                  <w:sz w:val="20"/>
                  <w:szCs w:val="20"/>
                  <w:u w:val="single"/>
                </w:rPr>
                <w:t>Discount</w:t>
              </w:r>
            </w:hyperlink>
          </w:p>
        </w:tc>
      </w:tr>
      <w:tr w:rsidR="00A2718A" w:rsidRPr="00A2718A" w:rsidTr="00A2718A">
        <w:trPr>
          <w:tblCellSpacing w:w="0" w:type="dxa"/>
        </w:trPr>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 </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181041790</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hyperlink r:id="rId10" w:history="1">
              <w:r w:rsidRPr="00A2718A">
                <w:rPr>
                  <w:rFonts w:ascii="Arial" w:eastAsia="Times New Roman" w:hAnsi="Arial" w:cs="Arial"/>
                  <w:color w:val="0000FF"/>
                  <w:sz w:val="20"/>
                  <w:szCs w:val="20"/>
                  <w:u w:val="single"/>
                </w:rPr>
                <w:t>1899081717</w:t>
              </w:r>
            </w:hyperlink>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143004824</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BellSouth Telecommunications, LLC</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IA</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$48,787.20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$48,787.20</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 </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80%</w:t>
            </w:r>
          </w:p>
        </w:tc>
      </w:tr>
    </w:tbl>
    <w:p w:rsidR="00A2718A" w:rsidRDefault="00A2718A"/>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077"/>
        <w:gridCol w:w="1183"/>
        <w:gridCol w:w="1078"/>
        <w:gridCol w:w="1926"/>
        <w:gridCol w:w="375"/>
        <w:gridCol w:w="1077"/>
        <w:gridCol w:w="1077"/>
        <w:gridCol w:w="174"/>
        <w:gridCol w:w="493"/>
        <w:gridCol w:w="397"/>
        <w:gridCol w:w="503"/>
      </w:tblGrid>
      <w:tr w:rsidR="00A2718A" w:rsidRPr="00A2718A" w:rsidTr="00A2718A">
        <w:trPr>
          <w:tblCellSpacing w:w="0" w:type="dxa"/>
        </w:trPr>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171024155</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hyperlink r:id="rId11" w:history="1">
              <w:r w:rsidRPr="00A2718A">
                <w:rPr>
                  <w:rFonts w:ascii="Arial" w:eastAsia="Times New Roman" w:hAnsi="Arial" w:cs="Arial"/>
                  <w:color w:val="666666"/>
                  <w:sz w:val="20"/>
                  <w:szCs w:val="20"/>
                  <w:u w:val="single"/>
                </w:rPr>
                <w:t>1799050680</w:t>
              </w:r>
            </w:hyperlink>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143004824</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BellSouth Telecommunications, LLC</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IA</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$48,787.20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$48,787.20</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 </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0.00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80%</w:t>
            </w:r>
          </w:p>
        </w:tc>
      </w:tr>
      <w:tr w:rsidR="00A2718A" w:rsidRPr="00A2718A" w:rsidTr="00A2718A">
        <w:trPr>
          <w:tblCellSpacing w:w="0" w:type="dxa"/>
        </w:trPr>
        <w:tc>
          <w:tcPr>
            <w:tcW w:w="0" w:type="auto"/>
          </w:tcPr>
          <w:p w:rsidR="00A2718A" w:rsidRPr="00A2718A" w:rsidRDefault="00A2718A" w:rsidP="00A2718A">
            <w:pPr>
              <w:spacing w:after="0" w:line="240" w:lineRule="auto"/>
              <w:rPr>
                <w:rFonts w:ascii="Arial" w:eastAsia="Times New Roman" w:hAnsi="Arial" w:cs="Arial"/>
                <w:color w:val="666666"/>
                <w:sz w:val="20"/>
                <w:szCs w:val="20"/>
              </w:rPr>
            </w:pPr>
            <w:bookmarkStart w:id="0" w:name="_GoBack"/>
            <w:bookmarkEnd w:id="0"/>
          </w:p>
        </w:tc>
        <w:tc>
          <w:tcPr>
            <w:tcW w:w="0" w:type="auto"/>
          </w:tcPr>
          <w:p w:rsidR="00A2718A" w:rsidRPr="00A2718A" w:rsidRDefault="00A2718A" w:rsidP="00A2718A">
            <w:pPr>
              <w:spacing w:after="0" w:line="240" w:lineRule="auto"/>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jc w:val="center"/>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jc w:val="right"/>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jc w:val="right"/>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jc w:val="right"/>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jc w:val="right"/>
              <w:rPr>
                <w:rFonts w:ascii="Arial" w:eastAsia="Times New Roman" w:hAnsi="Arial" w:cs="Arial"/>
                <w:color w:val="666666"/>
                <w:sz w:val="20"/>
                <w:szCs w:val="20"/>
              </w:rPr>
            </w:pPr>
          </w:p>
        </w:tc>
        <w:tc>
          <w:tcPr>
            <w:tcW w:w="0" w:type="auto"/>
          </w:tcPr>
          <w:p w:rsidR="00A2718A" w:rsidRPr="00A2718A" w:rsidRDefault="00A2718A" w:rsidP="00A2718A">
            <w:pPr>
              <w:spacing w:after="0" w:line="240" w:lineRule="auto"/>
              <w:jc w:val="center"/>
              <w:rPr>
                <w:rFonts w:ascii="Arial" w:eastAsia="Times New Roman" w:hAnsi="Arial" w:cs="Arial"/>
                <w:color w:val="666666"/>
                <w:sz w:val="20"/>
                <w:szCs w:val="20"/>
              </w:rPr>
            </w:pPr>
          </w:p>
        </w:tc>
      </w:tr>
      <w:tr w:rsidR="00A2718A" w:rsidRPr="00A2718A" w:rsidTr="00A2718A">
        <w:trPr>
          <w:tblCellSpacing w:w="0" w:type="dxa"/>
        </w:trPr>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171015620</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hyperlink r:id="rId12" w:history="1">
              <w:r w:rsidRPr="00A2718A">
                <w:rPr>
                  <w:rStyle w:val="Hyperlink"/>
                  <w:rFonts w:ascii="Arial" w:eastAsia="Times New Roman" w:hAnsi="Arial" w:cs="Arial"/>
                  <w:sz w:val="20"/>
                  <w:szCs w:val="20"/>
                </w:rPr>
                <w:t>1799029797</w:t>
              </w:r>
            </w:hyperlink>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143000428</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Cellular South, Inc.</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VS</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$661.75</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$661.75</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 </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20%</w:t>
            </w:r>
          </w:p>
        </w:tc>
      </w:tr>
    </w:tbl>
    <w:p w:rsidR="00A2718A" w:rsidRDefault="00A2718A"/>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119"/>
        <w:gridCol w:w="1231"/>
        <w:gridCol w:w="1120"/>
        <w:gridCol w:w="2006"/>
        <w:gridCol w:w="309"/>
        <w:gridCol w:w="1119"/>
        <w:gridCol w:w="1119"/>
        <w:gridCol w:w="176"/>
        <w:gridCol w:w="232"/>
        <w:gridCol w:w="409"/>
        <w:gridCol w:w="520"/>
      </w:tblGrid>
      <w:tr w:rsidR="00A2718A" w:rsidRPr="00A2718A" w:rsidTr="00A2718A">
        <w:trPr>
          <w:tblCellSpacing w:w="0" w:type="dxa"/>
        </w:trPr>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161050361</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hyperlink r:id="rId13" w:history="1">
              <w:r w:rsidRPr="00A2718A">
                <w:rPr>
                  <w:rFonts w:ascii="Arial" w:eastAsia="Times New Roman" w:hAnsi="Arial" w:cs="Arial"/>
                  <w:color w:val="0000FF"/>
                  <w:sz w:val="20"/>
                  <w:szCs w:val="20"/>
                  <w:u w:val="single"/>
                </w:rPr>
                <w:t>1699115287</w:t>
              </w:r>
            </w:hyperlink>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143004824</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BellSouth Telecommunications, LLC</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IA</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$88,368.00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$88,368.00</w:t>
            </w:r>
          </w:p>
        </w:tc>
        <w:tc>
          <w:tcPr>
            <w:tcW w:w="0" w:type="auto"/>
            <w:hideMark/>
          </w:tcPr>
          <w:p w:rsidR="00A2718A" w:rsidRPr="00A2718A" w:rsidRDefault="00A2718A" w:rsidP="00A2718A">
            <w:pPr>
              <w:spacing w:after="0" w:line="240" w:lineRule="auto"/>
              <w:rPr>
                <w:rFonts w:ascii="Arial" w:eastAsia="Times New Roman" w:hAnsi="Arial" w:cs="Arial"/>
                <w:color w:val="666666"/>
                <w:sz w:val="20"/>
                <w:szCs w:val="20"/>
              </w:rPr>
            </w:pPr>
            <w:r w:rsidRPr="00A2718A">
              <w:rPr>
                <w:rFonts w:ascii="Arial" w:eastAsia="Times New Roman" w:hAnsi="Arial" w:cs="Arial"/>
                <w:color w:val="666666"/>
                <w:sz w:val="20"/>
                <w:szCs w:val="20"/>
              </w:rPr>
              <w:t> </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right"/>
              <w:rPr>
                <w:rFonts w:ascii="Arial" w:eastAsia="Times New Roman" w:hAnsi="Arial" w:cs="Arial"/>
                <w:color w:val="666666"/>
                <w:sz w:val="20"/>
                <w:szCs w:val="20"/>
              </w:rPr>
            </w:pPr>
            <w:r w:rsidRPr="00A2718A">
              <w:rPr>
                <w:rFonts w:ascii="Arial" w:eastAsia="Times New Roman" w:hAnsi="Arial" w:cs="Arial"/>
                <w:color w:val="666666"/>
                <w:sz w:val="20"/>
                <w:szCs w:val="20"/>
              </w:rPr>
              <w:t>0%</w:t>
            </w:r>
          </w:p>
        </w:tc>
        <w:tc>
          <w:tcPr>
            <w:tcW w:w="0" w:type="auto"/>
            <w:hideMark/>
          </w:tcPr>
          <w:p w:rsidR="00A2718A" w:rsidRPr="00A2718A" w:rsidRDefault="00A2718A" w:rsidP="00A2718A">
            <w:pPr>
              <w:spacing w:after="0" w:line="240" w:lineRule="auto"/>
              <w:jc w:val="center"/>
              <w:rPr>
                <w:rFonts w:ascii="Arial" w:eastAsia="Times New Roman" w:hAnsi="Arial" w:cs="Arial"/>
                <w:color w:val="666666"/>
                <w:sz w:val="20"/>
                <w:szCs w:val="20"/>
              </w:rPr>
            </w:pPr>
            <w:r w:rsidRPr="00A2718A">
              <w:rPr>
                <w:rFonts w:ascii="Arial" w:eastAsia="Times New Roman" w:hAnsi="Arial" w:cs="Arial"/>
                <w:color w:val="666666"/>
                <w:sz w:val="20"/>
                <w:szCs w:val="20"/>
              </w:rPr>
              <w:t>80%</w:t>
            </w:r>
          </w:p>
        </w:tc>
      </w:tr>
    </w:tbl>
    <w:p w:rsidR="00A2718A" w:rsidRDefault="00A2718A"/>
    <w:sectPr w:rsidR="00A271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A04"/>
    <w:rsid w:val="00030EF7"/>
    <w:rsid w:val="00317A04"/>
    <w:rsid w:val="005A52CE"/>
    <w:rsid w:val="00A27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C1812"/>
  <w15:chartTrackingRefBased/>
  <w15:docId w15:val="{4390C49B-4747-444B-9616-3634F7F01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71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41848">
      <w:bodyDiv w:val="1"/>
      <w:marLeft w:val="0"/>
      <w:marRight w:val="0"/>
      <w:marTop w:val="0"/>
      <w:marBottom w:val="0"/>
      <w:divBdr>
        <w:top w:val="none" w:sz="0" w:space="0" w:color="auto"/>
        <w:left w:val="none" w:sz="0" w:space="0" w:color="auto"/>
        <w:bottom w:val="none" w:sz="0" w:space="0" w:color="auto"/>
        <w:right w:val="none" w:sz="0" w:space="0" w:color="auto"/>
      </w:divBdr>
    </w:div>
    <w:div w:id="650062531">
      <w:bodyDiv w:val="1"/>
      <w:marLeft w:val="0"/>
      <w:marRight w:val="0"/>
      <w:marTop w:val="0"/>
      <w:marBottom w:val="0"/>
      <w:divBdr>
        <w:top w:val="none" w:sz="0" w:space="0" w:color="auto"/>
        <w:left w:val="none" w:sz="0" w:space="0" w:color="auto"/>
        <w:bottom w:val="none" w:sz="0" w:space="0" w:color="auto"/>
        <w:right w:val="none" w:sz="0" w:space="0" w:color="auto"/>
      </w:divBdr>
    </w:div>
    <w:div w:id="1560898218">
      <w:bodyDiv w:val="1"/>
      <w:marLeft w:val="0"/>
      <w:marRight w:val="0"/>
      <w:marTop w:val="0"/>
      <w:marBottom w:val="0"/>
      <w:divBdr>
        <w:top w:val="none" w:sz="0" w:space="0" w:color="auto"/>
        <w:left w:val="none" w:sz="0" w:space="0" w:color="auto"/>
        <w:bottom w:val="none" w:sz="0" w:space="0" w:color="auto"/>
        <w:right w:val="none" w:sz="0" w:space="0" w:color="auto"/>
      </w:divBdr>
    </w:div>
    <w:div w:id="204682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ols.e-ratecentral.com/us/public/fundingHistoryDetail_ben.asp?v=&amp;typ=entNum&amp;fy=2018&amp;ky=128702&amp;sortBy=svceType&amp;desc=1" TargetMode="External"/><Relationship Id="rId13" Type="http://schemas.openxmlformats.org/officeDocument/2006/relationships/hyperlink" Target="https://tools.e-ratecentral.com/us/public/frnDetail_all.asp?v=&amp;frn=1699115287&amp;fy=2016&amp;ste=" TargetMode="External"/><Relationship Id="rId3" Type="http://schemas.openxmlformats.org/officeDocument/2006/relationships/webSettings" Target="webSettings.xml"/><Relationship Id="rId7" Type="http://schemas.openxmlformats.org/officeDocument/2006/relationships/hyperlink" Target="https://tools.e-ratecentral.com/us/public/fundingHistoryDetail_ben.asp?v=&amp;typ=entNum&amp;fy=2018&amp;ky=128702&amp;sortBy=svceProv&amp;desc=1" TargetMode="External"/><Relationship Id="rId12" Type="http://schemas.openxmlformats.org/officeDocument/2006/relationships/hyperlink" Target="https://tools.e-ratecentral.com/us/public/frnDetail_all.asp?v=&amp;frn=1799029797&amp;fy=2017&amp;s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ools.e-ratecentral.com/us/public/fundingHistoryDetail_ben.asp?v=&amp;typ=entNum&amp;fy=2018&amp;ky=128702&amp;sortBy=SPIN&amp;desc=1" TargetMode="External"/><Relationship Id="rId11" Type="http://schemas.openxmlformats.org/officeDocument/2006/relationships/hyperlink" Target="https://tools.e-ratecentral.com/us/public/frnDetail_all.asp?v=&amp;frn=1799050680&amp;fy=2017&amp;ste=" TargetMode="External"/><Relationship Id="rId5" Type="http://schemas.openxmlformats.org/officeDocument/2006/relationships/hyperlink" Target="https://tools.e-ratecentral.com/us/public/fundingHistoryDetail_ben.asp?v=&amp;typ=entNum&amp;fy=2018&amp;ky=128702&amp;sortBy=FRN&amp;desc=1" TargetMode="External"/><Relationship Id="rId15" Type="http://schemas.openxmlformats.org/officeDocument/2006/relationships/theme" Target="theme/theme1.xml"/><Relationship Id="rId10" Type="http://schemas.openxmlformats.org/officeDocument/2006/relationships/hyperlink" Target="https://tools.e-ratecentral.com/us/public/frnDetail_all.asp?v=&amp;frn=1899081717&amp;fy=2018&amp;ste=" TargetMode="External"/><Relationship Id="rId4" Type="http://schemas.openxmlformats.org/officeDocument/2006/relationships/hyperlink" Target="https://tools.e-ratecentral.com/us/public/fundingHistoryDetail_ben.asp?v=&amp;typ=entNum&amp;fy=2018&amp;ky=128702&amp;sortBy=intApp471&amp;desc=1" TargetMode="External"/><Relationship Id="rId9" Type="http://schemas.openxmlformats.org/officeDocument/2006/relationships/hyperlink" Target="https://tools.e-ratecentral.com/us/public/fundingHistoryDetail_ben.asp?v=&amp;typ=entNum&amp;fy=2018&amp;ky=128702&amp;sortBy=pcntDiscount&amp;desc=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Palisi, Dominic</dc:creator>
  <cp:keywords/>
  <dc:description/>
  <cp:lastModifiedBy>Palisi, Dominic</cp:lastModifiedBy>
  <cp:revision>2</cp:revision>
  <dcterms:created xsi:type="dcterms:W3CDTF">2019-03-12T15:58:00Z</dcterms:created>
  <dcterms:modified xsi:type="dcterms:W3CDTF">2019-03-12T16:07:00Z</dcterms:modified>
</cp:coreProperties>
</file>