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461E" w:rsidRDefault="004D461E" w:rsidP="002A018C">
      <w:pPr>
        <w:rPr>
          <w:rFonts w:ascii="Arial" w:hAnsi="Arial" w:cs="Arial"/>
          <w:iCs/>
          <w:sz w:val="24"/>
          <w:szCs w:val="24"/>
        </w:rPr>
      </w:pPr>
    </w:p>
    <w:p w:rsidR="004D461E" w:rsidRPr="004D42F2" w:rsidRDefault="004D461E" w:rsidP="002A018C">
      <w:pPr>
        <w:rPr>
          <w:rFonts w:ascii="Arial" w:hAnsi="Arial" w:cs="Arial"/>
          <w:iCs/>
          <w:sz w:val="24"/>
          <w:szCs w:val="24"/>
          <w:lang w:val="de-DE"/>
        </w:rPr>
      </w:pPr>
      <w:r>
        <w:rPr>
          <w:rFonts w:ascii="Arial" w:hAnsi="Arial" w:cs="Arial"/>
          <w:iCs/>
          <w:sz w:val="24"/>
          <w:szCs w:val="24"/>
        </w:rPr>
        <w:tab/>
      </w:r>
      <w:r>
        <w:rPr>
          <w:rFonts w:ascii="Arial" w:hAnsi="Arial" w:cs="Arial"/>
          <w:iCs/>
          <w:sz w:val="24"/>
          <w:szCs w:val="24"/>
        </w:rPr>
        <w:tab/>
      </w:r>
      <w:r>
        <w:rPr>
          <w:rFonts w:ascii="Arial" w:hAnsi="Arial" w:cs="Arial"/>
          <w:iCs/>
          <w:sz w:val="24"/>
          <w:szCs w:val="24"/>
        </w:rPr>
        <w:tab/>
      </w:r>
      <w:r>
        <w:rPr>
          <w:rFonts w:ascii="Arial" w:hAnsi="Arial" w:cs="Arial"/>
          <w:iCs/>
          <w:sz w:val="24"/>
          <w:szCs w:val="24"/>
        </w:rPr>
        <w:tab/>
      </w:r>
      <w:r>
        <w:rPr>
          <w:rFonts w:ascii="Arial" w:hAnsi="Arial" w:cs="Arial"/>
          <w:iCs/>
          <w:sz w:val="24"/>
          <w:szCs w:val="24"/>
        </w:rPr>
        <w:tab/>
      </w:r>
      <w:r>
        <w:rPr>
          <w:rFonts w:ascii="Arial" w:hAnsi="Arial" w:cs="Arial"/>
          <w:iCs/>
          <w:sz w:val="24"/>
          <w:szCs w:val="24"/>
        </w:rPr>
        <w:tab/>
      </w:r>
      <w:r>
        <w:rPr>
          <w:rFonts w:ascii="Arial" w:hAnsi="Arial" w:cs="Arial"/>
          <w:iCs/>
          <w:sz w:val="24"/>
          <w:szCs w:val="24"/>
        </w:rPr>
        <w:tab/>
      </w:r>
      <w:r>
        <w:rPr>
          <w:rFonts w:ascii="Arial" w:hAnsi="Arial" w:cs="Arial"/>
          <w:iCs/>
          <w:sz w:val="24"/>
          <w:szCs w:val="24"/>
        </w:rPr>
        <w:tab/>
      </w:r>
      <w:r w:rsidRPr="004D42F2">
        <w:rPr>
          <w:rFonts w:ascii="Arial" w:hAnsi="Arial" w:cs="Arial"/>
          <w:iCs/>
          <w:sz w:val="24"/>
          <w:szCs w:val="24"/>
          <w:lang w:val="de-DE"/>
        </w:rPr>
        <w:t>Rietheim-Weilheim</w:t>
      </w:r>
      <w:r w:rsidRPr="004D42F2">
        <w:rPr>
          <w:rFonts w:ascii="Arial" w:hAnsi="Arial" w:cs="Arial"/>
          <w:iCs/>
          <w:sz w:val="24"/>
          <w:szCs w:val="24"/>
          <w:lang w:val="de-DE"/>
        </w:rPr>
        <w:tab/>
        <w:t>11.03.2019</w:t>
      </w:r>
      <w:r w:rsidR="006F5BD5" w:rsidRPr="004D42F2">
        <w:rPr>
          <w:rFonts w:ascii="Arial" w:hAnsi="Arial" w:cs="Arial"/>
          <w:iCs/>
          <w:sz w:val="24"/>
          <w:szCs w:val="24"/>
          <w:lang w:val="de-DE"/>
        </w:rPr>
        <w:tab/>
      </w:r>
      <w:r w:rsidRPr="004D42F2">
        <w:rPr>
          <w:rFonts w:ascii="Arial" w:hAnsi="Arial" w:cs="Arial"/>
          <w:iCs/>
          <w:sz w:val="24"/>
          <w:szCs w:val="24"/>
          <w:lang w:val="de-DE"/>
        </w:rPr>
        <w:tab/>
      </w:r>
      <w:r w:rsidRPr="004D42F2">
        <w:rPr>
          <w:rFonts w:ascii="Arial" w:hAnsi="Arial" w:cs="Arial"/>
          <w:iCs/>
          <w:sz w:val="24"/>
          <w:szCs w:val="24"/>
          <w:lang w:val="de-DE"/>
        </w:rPr>
        <w:tab/>
      </w:r>
      <w:r w:rsidRPr="004D42F2">
        <w:rPr>
          <w:rFonts w:ascii="Arial" w:hAnsi="Arial" w:cs="Arial"/>
          <w:iCs/>
          <w:sz w:val="24"/>
          <w:szCs w:val="24"/>
          <w:lang w:val="de-DE"/>
        </w:rPr>
        <w:tab/>
      </w:r>
      <w:r w:rsidRPr="004D42F2">
        <w:rPr>
          <w:rFonts w:ascii="Arial" w:hAnsi="Arial" w:cs="Arial"/>
          <w:iCs/>
          <w:sz w:val="24"/>
          <w:szCs w:val="24"/>
          <w:lang w:val="de-DE"/>
        </w:rPr>
        <w:tab/>
      </w:r>
      <w:r w:rsidRPr="004D42F2">
        <w:rPr>
          <w:rFonts w:ascii="Arial" w:hAnsi="Arial" w:cs="Arial"/>
          <w:iCs/>
          <w:sz w:val="24"/>
          <w:szCs w:val="24"/>
          <w:lang w:val="de-DE"/>
        </w:rPr>
        <w:tab/>
      </w:r>
      <w:r w:rsidRPr="004D42F2">
        <w:rPr>
          <w:rFonts w:ascii="Arial" w:hAnsi="Arial" w:cs="Arial"/>
          <w:iCs/>
          <w:sz w:val="24"/>
          <w:szCs w:val="24"/>
          <w:lang w:val="de-DE"/>
        </w:rPr>
        <w:tab/>
      </w:r>
      <w:r w:rsidRPr="004D42F2">
        <w:rPr>
          <w:rFonts w:ascii="Arial" w:hAnsi="Arial" w:cs="Arial"/>
          <w:iCs/>
          <w:sz w:val="24"/>
          <w:szCs w:val="24"/>
          <w:lang w:val="de-DE"/>
        </w:rPr>
        <w:tab/>
      </w:r>
      <w:r w:rsidRPr="004D42F2">
        <w:rPr>
          <w:rFonts w:ascii="Arial" w:hAnsi="Arial" w:cs="Arial"/>
          <w:iCs/>
          <w:sz w:val="24"/>
          <w:szCs w:val="24"/>
          <w:lang w:val="de-DE"/>
        </w:rPr>
        <w:tab/>
      </w:r>
    </w:p>
    <w:p w:rsidR="004D461E" w:rsidRPr="004D42F2" w:rsidRDefault="004D461E" w:rsidP="002A018C">
      <w:pPr>
        <w:rPr>
          <w:rFonts w:ascii="Arial" w:hAnsi="Arial" w:cs="Arial"/>
          <w:b/>
          <w:bCs/>
          <w:iCs/>
          <w:sz w:val="24"/>
          <w:szCs w:val="24"/>
          <w:lang w:val="de-DE"/>
        </w:rPr>
      </w:pPr>
    </w:p>
    <w:p w:rsidR="003F6189" w:rsidRPr="004D42F2" w:rsidRDefault="004D461E" w:rsidP="002A018C">
      <w:pPr>
        <w:rPr>
          <w:rFonts w:ascii="Arial" w:hAnsi="Arial" w:cs="Arial"/>
          <w:b/>
          <w:bCs/>
          <w:iCs/>
          <w:sz w:val="24"/>
          <w:szCs w:val="24"/>
          <w:lang w:val="de-DE"/>
        </w:rPr>
      </w:pPr>
      <w:r w:rsidRPr="004D42F2">
        <w:rPr>
          <w:rFonts w:ascii="Arial" w:hAnsi="Arial" w:cs="Arial"/>
          <w:b/>
          <w:bCs/>
          <w:iCs/>
          <w:sz w:val="24"/>
          <w:szCs w:val="24"/>
          <w:lang w:val="de-DE"/>
        </w:rPr>
        <w:t>Marquardt GmbH</w:t>
      </w:r>
    </w:p>
    <w:p w:rsidR="004D461E" w:rsidRPr="004D42F2" w:rsidRDefault="006F5BD5" w:rsidP="002A018C">
      <w:pPr>
        <w:rPr>
          <w:rFonts w:ascii="Arial" w:hAnsi="Arial" w:cs="Arial"/>
          <w:b/>
          <w:bCs/>
          <w:iCs/>
          <w:sz w:val="24"/>
          <w:szCs w:val="24"/>
          <w:lang w:val="de-DE"/>
        </w:rPr>
      </w:pPr>
      <w:r w:rsidRPr="004D42F2">
        <w:rPr>
          <w:rFonts w:ascii="Arial" w:hAnsi="Arial" w:cs="Arial"/>
          <w:b/>
          <w:bCs/>
          <w:iCs/>
          <w:sz w:val="24"/>
          <w:szCs w:val="24"/>
          <w:lang w:val="de-DE"/>
        </w:rPr>
        <w:tab/>
      </w:r>
      <w:r w:rsidRPr="004D42F2">
        <w:rPr>
          <w:rFonts w:ascii="Arial" w:hAnsi="Arial" w:cs="Arial"/>
          <w:b/>
          <w:bCs/>
          <w:iCs/>
          <w:sz w:val="24"/>
          <w:szCs w:val="24"/>
          <w:lang w:val="de-DE"/>
        </w:rPr>
        <w:tab/>
      </w:r>
      <w:r w:rsidRPr="004D42F2">
        <w:rPr>
          <w:rFonts w:ascii="Arial" w:hAnsi="Arial" w:cs="Arial"/>
          <w:b/>
          <w:bCs/>
          <w:iCs/>
          <w:sz w:val="24"/>
          <w:szCs w:val="24"/>
          <w:lang w:val="de-DE"/>
        </w:rPr>
        <w:tab/>
      </w:r>
      <w:r w:rsidRPr="004D42F2">
        <w:rPr>
          <w:rFonts w:ascii="Arial" w:hAnsi="Arial" w:cs="Arial"/>
          <w:b/>
          <w:bCs/>
          <w:iCs/>
          <w:sz w:val="24"/>
          <w:szCs w:val="24"/>
          <w:lang w:val="de-DE"/>
        </w:rPr>
        <w:tab/>
      </w:r>
      <w:r w:rsidRPr="004D42F2">
        <w:rPr>
          <w:rFonts w:ascii="Arial" w:hAnsi="Arial" w:cs="Arial"/>
          <w:b/>
          <w:bCs/>
          <w:iCs/>
          <w:sz w:val="24"/>
          <w:szCs w:val="24"/>
          <w:lang w:val="de-DE"/>
        </w:rPr>
        <w:tab/>
      </w:r>
    </w:p>
    <w:p w:rsidR="003F6189" w:rsidRPr="004D42F2" w:rsidRDefault="003F6189" w:rsidP="002A018C">
      <w:pPr>
        <w:rPr>
          <w:rFonts w:ascii="Arial" w:hAnsi="Arial" w:cs="Arial"/>
          <w:iCs/>
          <w:sz w:val="24"/>
          <w:szCs w:val="24"/>
          <w:lang w:val="de-DE"/>
        </w:rPr>
      </w:pPr>
      <w:r w:rsidRPr="004D42F2">
        <w:rPr>
          <w:rFonts w:ascii="Arial" w:hAnsi="Arial" w:cs="Arial"/>
          <w:iCs/>
          <w:sz w:val="24"/>
          <w:szCs w:val="24"/>
          <w:lang w:val="de-DE"/>
        </w:rPr>
        <w:t>Bernd Bär</w:t>
      </w:r>
    </w:p>
    <w:p w:rsidR="004D461E" w:rsidRDefault="004D461E" w:rsidP="002A018C">
      <w:pPr>
        <w:rPr>
          <w:rFonts w:ascii="Arial" w:hAnsi="Arial" w:cs="Arial"/>
          <w:iCs/>
          <w:sz w:val="24"/>
          <w:szCs w:val="24"/>
        </w:rPr>
      </w:pPr>
      <w:r>
        <w:rPr>
          <w:rFonts w:ascii="Arial" w:hAnsi="Arial" w:cs="Arial"/>
          <w:iCs/>
          <w:sz w:val="24"/>
          <w:szCs w:val="24"/>
        </w:rPr>
        <w:t>Schloßstr. 16</w:t>
      </w:r>
    </w:p>
    <w:p w:rsidR="004D461E" w:rsidRDefault="004D461E" w:rsidP="002A018C">
      <w:pPr>
        <w:rPr>
          <w:rFonts w:ascii="Arial" w:hAnsi="Arial" w:cs="Arial"/>
          <w:iCs/>
          <w:sz w:val="24"/>
          <w:szCs w:val="24"/>
        </w:rPr>
      </w:pPr>
      <w:r>
        <w:rPr>
          <w:rFonts w:ascii="Arial" w:hAnsi="Arial" w:cs="Arial"/>
          <w:iCs/>
          <w:sz w:val="24"/>
          <w:szCs w:val="24"/>
        </w:rPr>
        <w:t>78604 Rietheim-Weilheim</w:t>
      </w:r>
    </w:p>
    <w:p w:rsidR="004D461E" w:rsidRDefault="004D461E" w:rsidP="002A018C">
      <w:pPr>
        <w:rPr>
          <w:rFonts w:ascii="Arial" w:hAnsi="Arial" w:cs="Arial"/>
          <w:iCs/>
          <w:sz w:val="24"/>
          <w:szCs w:val="24"/>
        </w:rPr>
      </w:pPr>
      <w:r>
        <w:rPr>
          <w:rFonts w:ascii="Arial" w:hAnsi="Arial" w:cs="Arial"/>
          <w:iCs/>
          <w:sz w:val="24"/>
          <w:szCs w:val="24"/>
        </w:rPr>
        <w:t>Germany</w:t>
      </w:r>
    </w:p>
    <w:p w:rsidR="004D461E" w:rsidRDefault="004D461E" w:rsidP="002A018C">
      <w:pPr>
        <w:rPr>
          <w:rFonts w:ascii="Arial" w:hAnsi="Arial" w:cs="Arial"/>
          <w:iCs/>
          <w:sz w:val="24"/>
          <w:szCs w:val="24"/>
        </w:rPr>
      </w:pPr>
    </w:p>
    <w:p w:rsidR="004D461E" w:rsidRPr="004D461E" w:rsidRDefault="004D461E" w:rsidP="002A018C">
      <w:pPr>
        <w:rPr>
          <w:rFonts w:ascii="Arial" w:hAnsi="Arial" w:cs="Arial"/>
          <w:b/>
          <w:bCs/>
          <w:iCs/>
          <w:sz w:val="24"/>
          <w:szCs w:val="24"/>
        </w:rPr>
      </w:pPr>
      <w:r w:rsidRPr="004D461E">
        <w:rPr>
          <w:rFonts w:ascii="Arial" w:hAnsi="Arial" w:cs="Arial"/>
          <w:b/>
          <w:bCs/>
          <w:iCs/>
          <w:sz w:val="24"/>
          <w:szCs w:val="24"/>
        </w:rPr>
        <w:t xml:space="preserve">Rely to Comment of the UWB Alliance regarding NPRM </w:t>
      </w:r>
    </w:p>
    <w:p w:rsidR="004D461E" w:rsidRDefault="004D461E" w:rsidP="002A018C">
      <w:pPr>
        <w:rPr>
          <w:rFonts w:ascii="Arial" w:hAnsi="Arial" w:cs="Arial"/>
          <w:iCs/>
          <w:sz w:val="24"/>
          <w:szCs w:val="24"/>
        </w:rPr>
      </w:pPr>
    </w:p>
    <w:p w:rsidR="002A018C" w:rsidRPr="004D461E" w:rsidRDefault="004D42F2" w:rsidP="002A018C">
      <w:pPr>
        <w:rPr>
          <w:rFonts w:ascii="Arial" w:hAnsi="Arial" w:cs="Arial"/>
          <w:iCs/>
          <w:sz w:val="24"/>
          <w:szCs w:val="24"/>
        </w:rPr>
      </w:pPr>
      <w:r>
        <w:rPr>
          <w:rFonts w:ascii="Arial" w:hAnsi="Arial" w:cs="Arial"/>
          <w:iCs/>
          <w:sz w:val="24"/>
          <w:szCs w:val="24"/>
        </w:rPr>
        <w:t>The Marquardt GmbH manufactur</w:t>
      </w:r>
      <w:r w:rsidR="002A018C" w:rsidRPr="004D461E">
        <w:rPr>
          <w:rFonts w:ascii="Arial" w:hAnsi="Arial" w:cs="Arial"/>
          <w:iCs/>
          <w:sz w:val="24"/>
          <w:szCs w:val="24"/>
        </w:rPr>
        <w:t>s UWB products operating under the UWB rules from Part 15, Subpart F</w:t>
      </w:r>
    </w:p>
    <w:p w:rsidR="002A018C" w:rsidRPr="004D461E" w:rsidRDefault="002A018C" w:rsidP="002A018C">
      <w:pPr>
        <w:rPr>
          <w:rFonts w:ascii="Arial" w:hAnsi="Arial" w:cs="Arial"/>
          <w:iCs/>
          <w:sz w:val="24"/>
          <w:szCs w:val="24"/>
        </w:rPr>
      </w:pPr>
      <w:r w:rsidRPr="004D461E">
        <w:rPr>
          <w:rFonts w:ascii="Arial" w:hAnsi="Arial" w:cs="Arial"/>
          <w:iCs/>
          <w:sz w:val="24"/>
          <w:szCs w:val="24"/>
        </w:rPr>
        <w:t xml:space="preserve">These products are used for secure automotive access applications which prevent the commonly known relay attacks to passive entry and start systems. The development to achive this accurate and secure type of measurement according to the 15.4 (LRP) standard </w:t>
      </w:r>
      <w:r w:rsidR="004D461E">
        <w:rPr>
          <w:rFonts w:ascii="Arial" w:hAnsi="Arial" w:cs="Arial"/>
          <w:iCs/>
          <w:sz w:val="24"/>
          <w:szCs w:val="24"/>
        </w:rPr>
        <w:t>started already in 2009</w:t>
      </w:r>
      <w:r w:rsidR="004D42F2">
        <w:rPr>
          <w:rFonts w:ascii="Arial" w:hAnsi="Arial" w:cs="Arial"/>
          <w:iCs/>
          <w:sz w:val="24"/>
          <w:szCs w:val="24"/>
        </w:rPr>
        <w:t>.</w:t>
      </w:r>
      <w:r w:rsidRPr="004D461E">
        <w:rPr>
          <w:rFonts w:ascii="Arial" w:hAnsi="Arial" w:cs="Arial"/>
          <w:iCs/>
          <w:sz w:val="24"/>
          <w:szCs w:val="24"/>
        </w:rPr>
        <w:t xml:space="preserve"> </w:t>
      </w:r>
      <w:r w:rsidR="004D42F2">
        <w:rPr>
          <w:rFonts w:ascii="Arial" w:hAnsi="Arial" w:cs="Arial"/>
          <w:iCs/>
          <w:sz w:val="24"/>
          <w:szCs w:val="24"/>
        </w:rPr>
        <w:t>A</w:t>
      </w:r>
      <w:r w:rsidRPr="004D461E">
        <w:rPr>
          <w:rFonts w:ascii="Arial" w:hAnsi="Arial" w:cs="Arial"/>
          <w:iCs/>
          <w:sz w:val="24"/>
          <w:szCs w:val="24"/>
        </w:rPr>
        <w:t>s the only secure solution to the proximity problem is the secure time of fligth measurement.</w:t>
      </w:r>
    </w:p>
    <w:p w:rsidR="002A018C" w:rsidRPr="004D461E" w:rsidRDefault="002A018C" w:rsidP="002A018C">
      <w:pPr>
        <w:rPr>
          <w:rFonts w:ascii="Arial" w:hAnsi="Arial" w:cs="Arial"/>
          <w:iCs/>
          <w:sz w:val="24"/>
          <w:szCs w:val="24"/>
        </w:rPr>
      </w:pPr>
      <w:r w:rsidRPr="004D461E">
        <w:rPr>
          <w:rFonts w:ascii="Arial" w:hAnsi="Arial" w:cs="Arial"/>
          <w:iCs/>
          <w:sz w:val="24"/>
          <w:szCs w:val="24"/>
        </w:rPr>
        <w:t xml:space="preserve">The </w:t>
      </w:r>
      <w:r w:rsidR="004D461E">
        <w:rPr>
          <w:rFonts w:ascii="Arial" w:hAnsi="Arial" w:cs="Arial"/>
          <w:iCs/>
          <w:sz w:val="24"/>
          <w:szCs w:val="24"/>
        </w:rPr>
        <w:t xml:space="preserve">now readily developed </w:t>
      </w:r>
      <w:r w:rsidRPr="004D461E">
        <w:rPr>
          <w:rFonts w:ascii="Arial" w:hAnsi="Arial" w:cs="Arial"/>
          <w:iCs/>
          <w:sz w:val="24"/>
          <w:szCs w:val="24"/>
        </w:rPr>
        <w:t>devices are to be sold world wide for different brands of cars, to solve th</w:t>
      </w:r>
      <w:r w:rsidR="004D461E">
        <w:rPr>
          <w:rFonts w:ascii="Arial" w:hAnsi="Arial" w:cs="Arial"/>
          <w:iCs/>
          <w:sz w:val="24"/>
          <w:szCs w:val="24"/>
        </w:rPr>
        <w:t>e issue of easily stolen cars but</w:t>
      </w:r>
      <w:r w:rsidRPr="004D461E">
        <w:rPr>
          <w:rFonts w:ascii="Arial" w:hAnsi="Arial" w:cs="Arial"/>
          <w:iCs/>
          <w:sz w:val="24"/>
          <w:szCs w:val="24"/>
        </w:rPr>
        <w:t xml:space="preserve"> still keeping the convinience to open and start them in a passive way.</w:t>
      </w:r>
    </w:p>
    <w:p w:rsidR="002A018C" w:rsidRPr="004D461E" w:rsidRDefault="002A018C" w:rsidP="002A018C">
      <w:pPr>
        <w:rPr>
          <w:rFonts w:ascii="Arial" w:hAnsi="Arial" w:cs="Arial"/>
          <w:iCs/>
          <w:sz w:val="24"/>
          <w:szCs w:val="24"/>
        </w:rPr>
      </w:pPr>
      <w:r w:rsidRPr="004D461E">
        <w:rPr>
          <w:rFonts w:ascii="Arial" w:hAnsi="Arial" w:cs="Arial"/>
          <w:iCs/>
          <w:sz w:val="24"/>
          <w:szCs w:val="24"/>
        </w:rPr>
        <w:t xml:space="preserve">The frequency band </w:t>
      </w:r>
      <w:r w:rsidR="004D461E" w:rsidRPr="004D461E">
        <w:rPr>
          <w:rFonts w:ascii="Arial" w:hAnsi="Arial" w:cs="Arial"/>
          <w:iCs/>
          <w:sz w:val="24"/>
          <w:szCs w:val="24"/>
        </w:rPr>
        <w:t xml:space="preserve">just above the </w:t>
      </w:r>
      <w:r w:rsidRPr="004D461E">
        <w:rPr>
          <w:rFonts w:ascii="Arial" w:hAnsi="Arial" w:cs="Arial"/>
          <w:iCs/>
          <w:sz w:val="24"/>
          <w:szCs w:val="24"/>
        </w:rPr>
        <w:t>6GHz is very valuable to those systems as it</w:t>
      </w:r>
      <w:r w:rsidR="004D461E" w:rsidRPr="004D461E">
        <w:rPr>
          <w:rFonts w:ascii="Arial" w:hAnsi="Arial" w:cs="Arial"/>
          <w:iCs/>
          <w:sz w:val="24"/>
          <w:szCs w:val="24"/>
        </w:rPr>
        <w:t xml:space="preserve"> is available nearly worldwide</w:t>
      </w:r>
      <w:r w:rsidR="004D461E">
        <w:rPr>
          <w:rFonts w:ascii="Arial" w:hAnsi="Arial" w:cs="Arial"/>
          <w:iCs/>
          <w:sz w:val="24"/>
          <w:szCs w:val="24"/>
        </w:rPr>
        <w:t xml:space="preserve"> and provides the least freespace losses</w:t>
      </w:r>
      <w:r w:rsidR="004D42F2">
        <w:rPr>
          <w:rFonts w:ascii="Arial" w:hAnsi="Arial" w:cs="Arial"/>
          <w:iCs/>
          <w:sz w:val="24"/>
          <w:szCs w:val="24"/>
        </w:rPr>
        <w:t xml:space="preserve"> within the usfull bands.</w:t>
      </w:r>
    </w:p>
    <w:p w:rsidR="002A018C" w:rsidRPr="004D461E" w:rsidRDefault="002A018C" w:rsidP="002A018C">
      <w:pPr>
        <w:rPr>
          <w:rFonts w:ascii="Arial" w:hAnsi="Arial" w:cs="Arial"/>
          <w:iCs/>
          <w:sz w:val="24"/>
          <w:szCs w:val="24"/>
        </w:rPr>
      </w:pPr>
      <w:r w:rsidRPr="004D461E">
        <w:rPr>
          <w:rFonts w:ascii="Arial" w:hAnsi="Arial" w:cs="Arial"/>
          <w:iCs/>
          <w:sz w:val="24"/>
          <w:szCs w:val="24"/>
        </w:rPr>
        <w:t xml:space="preserve"> It is very important fo</w:t>
      </w:r>
      <w:r w:rsidR="004D461E">
        <w:rPr>
          <w:rFonts w:ascii="Arial" w:hAnsi="Arial" w:cs="Arial"/>
          <w:iCs/>
          <w:sz w:val="24"/>
          <w:szCs w:val="24"/>
        </w:rPr>
        <w:t xml:space="preserve">r us and our customers that UWB with it’s demanding power limitations </w:t>
      </w:r>
      <w:r w:rsidRPr="004D461E">
        <w:rPr>
          <w:rFonts w:ascii="Arial" w:hAnsi="Arial" w:cs="Arial"/>
          <w:iCs/>
          <w:sz w:val="24"/>
          <w:szCs w:val="24"/>
        </w:rPr>
        <w:t>can continue to operate unhindered</w:t>
      </w:r>
      <w:r w:rsidR="004D461E" w:rsidRPr="004D461E">
        <w:rPr>
          <w:rFonts w:ascii="Arial" w:hAnsi="Arial" w:cs="Arial"/>
          <w:iCs/>
          <w:sz w:val="24"/>
          <w:szCs w:val="24"/>
        </w:rPr>
        <w:t xml:space="preserve"> in that frequency band</w:t>
      </w:r>
      <w:r w:rsidRPr="004D461E">
        <w:rPr>
          <w:rFonts w:ascii="Arial" w:hAnsi="Arial" w:cs="Arial"/>
          <w:iCs/>
          <w:sz w:val="24"/>
          <w:szCs w:val="24"/>
        </w:rPr>
        <w:t>. We are very concerned by the proposal in the NPRM and the potential for interference as shown in the coexistence st</w:t>
      </w:r>
      <w:r w:rsidR="004D461E" w:rsidRPr="004D461E">
        <w:rPr>
          <w:rFonts w:ascii="Arial" w:hAnsi="Arial" w:cs="Arial"/>
          <w:iCs/>
          <w:sz w:val="24"/>
          <w:szCs w:val="24"/>
        </w:rPr>
        <w:t xml:space="preserve">udies submitted by </w:t>
      </w:r>
      <w:r w:rsidRPr="004D461E">
        <w:rPr>
          <w:rFonts w:ascii="Arial" w:hAnsi="Arial" w:cs="Arial"/>
          <w:iCs/>
          <w:sz w:val="24"/>
          <w:szCs w:val="24"/>
        </w:rPr>
        <w:t>the UWB Alliance.</w:t>
      </w:r>
      <w:bookmarkStart w:id="0" w:name="_GoBack"/>
      <w:bookmarkEnd w:id="0"/>
    </w:p>
    <w:p w:rsidR="00BD02E7" w:rsidRPr="004D461E" w:rsidRDefault="002A018C">
      <w:pPr>
        <w:rPr>
          <w:rFonts w:ascii="Arial" w:hAnsi="Arial" w:cs="Arial"/>
          <w:iCs/>
          <w:sz w:val="24"/>
          <w:szCs w:val="24"/>
        </w:rPr>
      </w:pPr>
      <w:r w:rsidRPr="004D461E">
        <w:rPr>
          <w:rFonts w:ascii="Arial" w:hAnsi="Arial" w:cs="Arial"/>
          <w:iCs/>
          <w:sz w:val="24"/>
          <w:szCs w:val="24"/>
        </w:rPr>
        <w:t xml:space="preserve">We agree with those organisations and other commenters that, should this go ahead, unlicensed broadband access systems should be limited in duty cycle and transmit power. We </w:t>
      </w:r>
      <w:r w:rsidR="004D461E" w:rsidRPr="004D461E">
        <w:rPr>
          <w:rFonts w:ascii="Arial" w:hAnsi="Arial" w:cs="Arial"/>
          <w:iCs/>
          <w:sz w:val="24"/>
          <w:szCs w:val="24"/>
        </w:rPr>
        <w:t xml:space="preserve">would like to suggest to </w:t>
      </w:r>
      <w:r w:rsidRPr="004D461E">
        <w:rPr>
          <w:rFonts w:ascii="Arial" w:hAnsi="Arial" w:cs="Arial"/>
          <w:iCs/>
          <w:sz w:val="24"/>
          <w:szCs w:val="24"/>
        </w:rPr>
        <w:t xml:space="preserve">the FCC to award only the least amount of spectrum required, </w:t>
      </w:r>
      <w:r w:rsidR="004D461E">
        <w:rPr>
          <w:rFonts w:ascii="Arial" w:hAnsi="Arial" w:cs="Arial"/>
          <w:iCs/>
          <w:sz w:val="24"/>
          <w:szCs w:val="24"/>
        </w:rPr>
        <w:t xml:space="preserve">and </w:t>
      </w:r>
      <w:r w:rsidRPr="004D461E">
        <w:rPr>
          <w:rFonts w:ascii="Arial" w:hAnsi="Arial" w:cs="Arial"/>
          <w:iCs/>
          <w:sz w:val="24"/>
          <w:szCs w:val="24"/>
        </w:rPr>
        <w:t>at as low a frequency as possible.</w:t>
      </w:r>
    </w:p>
    <w:sectPr w:rsidR="00BD02E7" w:rsidRPr="004D461E">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73E8" w:rsidRDefault="00C173E8" w:rsidP="004D42F2">
      <w:pPr>
        <w:spacing w:after="0" w:line="240" w:lineRule="auto"/>
      </w:pPr>
      <w:r>
        <w:separator/>
      </w:r>
    </w:p>
  </w:endnote>
  <w:endnote w:type="continuationSeparator" w:id="0">
    <w:p w:rsidR="00C173E8" w:rsidRDefault="00C173E8" w:rsidP="004D42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73E8" w:rsidRDefault="00C173E8" w:rsidP="004D42F2">
      <w:pPr>
        <w:spacing w:after="0" w:line="240" w:lineRule="auto"/>
      </w:pPr>
      <w:r>
        <w:separator/>
      </w:r>
    </w:p>
  </w:footnote>
  <w:footnote w:type="continuationSeparator" w:id="0">
    <w:p w:rsidR="00C173E8" w:rsidRDefault="00C173E8" w:rsidP="004D42F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18C"/>
    <w:rsid w:val="000900B2"/>
    <w:rsid w:val="002A018C"/>
    <w:rsid w:val="003F6189"/>
    <w:rsid w:val="004D42F2"/>
    <w:rsid w:val="004D461E"/>
    <w:rsid w:val="006F5BD5"/>
    <w:rsid w:val="00BD02E7"/>
    <w:rsid w:val="00C173E8"/>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E1D6AD1-BFD4-4E94-AE8A-151E0A78E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lang w:val="en-US" w:eastAsia="zh-CN"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A018C"/>
    <w:rPr>
      <w:rFonts w:eastAsiaTheme="minorHAnsi"/>
      <w:szCs w:val="22"/>
      <w:lang w:val="en-IE" w:eastAsia="en-US"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D42F2"/>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4D42F2"/>
    <w:rPr>
      <w:rFonts w:eastAsiaTheme="minorHAnsi"/>
      <w:szCs w:val="22"/>
      <w:lang w:val="en-IE" w:eastAsia="en-US" w:bidi="ar-SA"/>
    </w:rPr>
  </w:style>
  <w:style w:type="paragraph" w:styleId="Fuzeile">
    <w:name w:val="footer"/>
    <w:basedOn w:val="Standard"/>
    <w:link w:val="FuzeileZchn"/>
    <w:uiPriority w:val="99"/>
    <w:unhideWhenUsed/>
    <w:rsid w:val="004D42F2"/>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4D42F2"/>
    <w:rPr>
      <w:rFonts w:eastAsiaTheme="minorHAnsi"/>
      <w:szCs w:val="22"/>
      <w:lang w:val="en-IE"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Words>
  <Characters>1394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Marquardt</Company>
  <LinksUpToDate>false</LinksUpToDate>
  <CharactersWithSpaces>1635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Baer, Bernd (TDAD1-RI)</dc:creator>
  <cp:keywords/>
  <dc:description/>
  <cp:lastModifiedBy>Baer, Bernd (TDAD1-RI)</cp:lastModifiedBy>
  <cp:revision>3</cp:revision>
  <dcterms:created xsi:type="dcterms:W3CDTF">2019-03-11T22:34:00Z</dcterms:created>
  <dcterms:modified xsi:type="dcterms:W3CDTF">2019-03-13T21:35:00Z</dcterms:modified>
</cp:coreProperties>
</file>