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B8E27" w14:textId="6EA2B651" w:rsidR="002C02FE" w:rsidRDefault="002C02FE" w:rsidP="002C02FE">
      <w:pPr>
        <w:pStyle w:val="Heading1"/>
        <w:spacing w:before="76"/>
        <w:ind w:left="2240" w:right="3478" w:firstLine="0"/>
        <w:jc w:val="right"/>
      </w:pPr>
      <w:r>
        <w:t xml:space="preserve">                                                                            </w:t>
      </w:r>
    </w:p>
    <w:p w14:paraId="2987A998" w14:textId="7FF61A9B" w:rsidR="002C02FE" w:rsidRDefault="002C02FE" w:rsidP="002C02FE">
      <w:pPr>
        <w:pStyle w:val="Heading1"/>
        <w:spacing w:before="76"/>
        <w:ind w:left="2240" w:right="3478" w:firstLine="0"/>
        <w:jc w:val="center"/>
      </w:pPr>
      <w:r>
        <w:t xml:space="preserve">          </w:t>
      </w:r>
      <w:r w:rsidR="00AB23E8">
        <w:t xml:space="preserve">    </w:t>
      </w:r>
      <w:r>
        <w:t>Before the</w:t>
      </w:r>
    </w:p>
    <w:p w14:paraId="2C2693BA" w14:textId="51EF9EB3" w:rsidR="002C02FE" w:rsidRDefault="002C02FE" w:rsidP="002C02FE">
      <w:pPr>
        <w:pStyle w:val="BodyText"/>
        <w:spacing w:before="4"/>
        <w:ind w:left="0"/>
        <w:jc w:val="center"/>
        <w:rPr>
          <w:b/>
        </w:rPr>
      </w:pPr>
      <w:r>
        <w:rPr>
          <w:b/>
        </w:rPr>
        <w:t>FEDERAL COMMUNICATIONS COMMISSION</w:t>
      </w:r>
    </w:p>
    <w:p w14:paraId="1FEB1B92" w14:textId="5EFE0416" w:rsidR="002C02FE" w:rsidRDefault="002C02FE" w:rsidP="002C02FE">
      <w:pPr>
        <w:pStyle w:val="BodyText"/>
        <w:spacing w:before="4"/>
        <w:ind w:left="0"/>
        <w:jc w:val="center"/>
        <w:rPr>
          <w:b/>
        </w:rPr>
      </w:pPr>
      <w:r>
        <w:rPr>
          <w:b/>
        </w:rPr>
        <w:t>WASHINGTON, D.C. 20554</w:t>
      </w:r>
    </w:p>
    <w:p w14:paraId="3CF90217" w14:textId="77777777" w:rsidR="002C02FE" w:rsidRDefault="002C02FE" w:rsidP="002C02FE">
      <w:pPr>
        <w:pStyle w:val="BodyText"/>
        <w:spacing w:before="4"/>
        <w:ind w:left="0"/>
        <w:jc w:val="center"/>
        <w:rPr>
          <w:b/>
        </w:rPr>
      </w:pPr>
    </w:p>
    <w:tbl>
      <w:tblPr>
        <w:tblW w:w="0" w:type="auto"/>
        <w:tblLayout w:type="fixed"/>
        <w:tblLook w:val="0000" w:firstRow="0" w:lastRow="0" w:firstColumn="0" w:lastColumn="0" w:noHBand="0" w:noVBand="0"/>
      </w:tblPr>
      <w:tblGrid>
        <w:gridCol w:w="4698"/>
        <w:gridCol w:w="630"/>
        <w:gridCol w:w="4248"/>
      </w:tblGrid>
      <w:tr w:rsidR="00B819E0" w14:paraId="25A00CBC" w14:textId="77777777" w:rsidTr="00D66382">
        <w:tc>
          <w:tcPr>
            <w:tcW w:w="4698" w:type="dxa"/>
          </w:tcPr>
          <w:p w14:paraId="28C107AF" w14:textId="77777777" w:rsidR="00B819E0" w:rsidRDefault="00B819E0" w:rsidP="00D66382">
            <w:pPr>
              <w:tabs>
                <w:tab w:val="center" w:pos="4680"/>
              </w:tabs>
              <w:suppressAutoHyphens/>
              <w:rPr>
                <w:spacing w:val="-2"/>
              </w:rPr>
            </w:pPr>
            <w:r>
              <w:rPr>
                <w:spacing w:val="-2"/>
              </w:rPr>
              <w:t>In the Matter of</w:t>
            </w:r>
          </w:p>
          <w:p w14:paraId="10509846" w14:textId="77777777" w:rsidR="00B819E0" w:rsidRDefault="00B819E0" w:rsidP="00D66382">
            <w:pPr>
              <w:tabs>
                <w:tab w:val="center" w:pos="4680"/>
              </w:tabs>
              <w:suppressAutoHyphens/>
              <w:rPr>
                <w:spacing w:val="-2"/>
              </w:rPr>
            </w:pPr>
          </w:p>
          <w:p w14:paraId="7EEE64C8" w14:textId="77777777" w:rsidR="00B819E0" w:rsidRPr="00E86501" w:rsidRDefault="00B819E0" w:rsidP="00D66382">
            <w:pPr>
              <w:pStyle w:val="TOAHeading"/>
              <w:widowControl/>
              <w:rPr>
                <w:sz w:val="24"/>
              </w:rPr>
            </w:pPr>
            <w:r>
              <w:rPr>
                <w:sz w:val="24"/>
              </w:rPr>
              <w:t>Spectrum Horizons</w:t>
            </w:r>
          </w:p>
          <w:p w14:paraId="1A9D4512" w14:textId="77777777" w:rsidR="00B819E0" w:rsidRDefault="00B819E0" w:rsidP="00D66382">
            <w:pPr>
              <w:pStyle w:val="TOAHeading"/>
              <w:widowControl/>
              <w:tabs>
                <w:tab w:val="clear" w:pos="9360"/>
              </w:tabs>
              <w:suppressAutoHyphens w:val="0"/>
            </w:pPr>
          </w:p>
        </w:tc>
        <w:tc>
          <w:tcPr>
            <w:tcW w:w="630" w:type="dxa"/>
          </w:tcPr>
          <w:p w14:paraId="1E6F731F" w14:textId="77777777" w:rsidR="00B819E0" w:rsidRDefault="00B819E0" w:rsidP="00D66382">
            <w:pPr>
              <w:tabs>
                <w:tab w:val="center" w:pos="4680"/>
              </w:tabs>
              <w:suppressAutoHyphens/>
              <w:rPr>
                <w:b/>
                <w:spacing w:val="-2"/>
              </w:rPr>
            </w:pPr>
            <w:r>
              <w:rPr>
                <w:b/>
                <w:spacing w:val="-2"/>
              </w:rPr>
              <w:t>)</w:t>
            </w:r>
          </w:p>
          <w:p w14:paraId="34A02CDA" w14:textId="77777777" w:rsidR="00B819E0" w:rsidRDefault="00B819E0" w:rsidP="00D66382">
            <w:pPr>
              <w:tabs>
                <w:tab w:val="center" w:pos="4680"/>
              </w:tabs>
              <w:suppressAutoHyphens/>
              <w:rPr>
                <w:b/>
                <w:spacing w:val="-2"/>
              </w:rPr>
            </w:pPr>
            <w:r>
              <w:rPr>
                <w:b/>
                <w:spacing w:val="-2"/>
              </w:rPr>
              <w:t>)</w:t>
            </w:r>
          </w:p>
          <w:p w14:paraId="7FE570B2" w14:textId="77777777" w:rsidR="00B819E0" w:rsidRDefault="00B819E0" w:rsidP="00D66382">
            <w:pPr>
              <w:tabs>
                <w:tab w:val="center" w:pos="4680"/>
              </w:tabs>
              <w:suppressAutoHyphens/>
              <w:rPr>
                <w:b/>
                <w:spacing w:val="-2"/>
              </w:rPr>
            </w:pPr>
            <w:r>
              <w:rPr>
                <w:b/>
                <w:spacing w:val="-2"/>
              </w:rPr>
              <w:t>)</w:t>
            </w:r>
          </w:p>
          <w:p w14:paraId="20216423" w14:textId="77777777" w:rsidR="00B819E0" w:rsidRPr="000E7EF1" w:rsidRDefault="00B819E0" w:rsidP="00D66382">
            <w:pPr>
              <w:tabs>
                <w:tab w:val="center" w:pos="4680"/>
              </w:tabs>
              <w:suppressAutoHyphens/>
              <w:rPr>
                <w:b/>
                <w:spacing w:val="-2"/>
              </w:rPr>
            </w:pPr>
            <w:r>
              <w:rPr>
                <w:b/>
                <w:spacing w:val="-2"/>
              </w:rPr>
              <w:t>)</w:t>
            </w:r>
          </w:p>
        </w:tc>
        <w:tc>
          <w:tcPr>
            <w:tcW w:w="4248" w:type="dxa"/>
          </w:tcPr>
          <w:p w14:paraId="3C0B55C7" w14:textId="77777777" w:rsidR="00B819E0" w:rsidRDefault="00B819E0" w:rsidP="00D66382">
            <w:pPr>
              <w:rPr>
                <w:szCs w:val="22"/>
              </w:rPr>
            </w:pPr>
          </w:p>
          <w:p w14:paraId="19E67C93" w14:textId="77777777" w:rsidR="00B819E0" w:rsidRDefault="00B819E0" w:rsidP="00D66382"/>
          <w:p w14:paraId="3A45DF9B" w14:textId="77777777" w:rsidR="00B819E0" w:rsidRPr="000964D0" w:rsidRDefault="00B819E0" w:rsidP="00D66382">
            <w:r>
              <w:t>ET Docket No. 18-21</w:t>
            </w:r>
          </w:p>
        </w:tc>
      </w:tr>
    </w:tbl>
    <w:p w14:paraId="3EB3E936" w14:textId="2068091A" w:rsidR="00B819E0" w:rsidRDefault="00B819E0" w:rsidP="00B819E0">
      <w:pPr>
        <w:pStyle w:val="p1"/>
        <w:jc w:val="center"/>
        <w:rPr>
          <w:rFonts w:cs="Arial"/>
          <w:sz w:val="22"/>
          <w:szCs w:val="22"/>
        </w:rPr>
      </w:pPr>
    </w:p>
    <w:p w14:paraId="5231EB1C" w14:textId="77777777" w:rsidR="00BB6CC2" w:rsidRDefault="00BB6CC2" w:rsidP="00B819E0">
      <w:pPr>
        <w:pStyle w:val="p1"/>
        <w:jc w:val="center"/>
        <w:rPr>
          <w:rFonts w:cs="Arial"/>
          <w:b/>
          <w:sz w:val="22"/>
          <w:szCs w:val="22"/>
        </w:rPr>
      </w:pPr>
    </w:p>
    <w:p w14:paraId="23958F8E" w14:textId="65BDD57C" w:rsidR="00385003" w:rsidRPr="00385003" w:rsidRDefault="00B819E0" w:rsidP="00B819E0">
      <w:pPr>
        <w:pStyle w:val="p1"/>
        <w:jc w:val="center"/>
        <w:rPr>
          <w:rFonts w:cs="Arial"/>
          <w:b/>
          <w:sz w:val="22"/>
          <w:szCs w:val="22"/>
        </w:rPr>
      </w:pPr>
      <w:r>
        <w:rPr>
          <w:rFonts w:cs="Arial"/>
          <w:b/>
          <w:sz w:val="22"/>
          <w:szCs w:val="22"/>
        </w:rPr>
        <w:t>C</w:t>
      </w:r>
      <w:r w:rsidR="002C02FE">
        <w:rPr>
          <w:rFonts w:cs="Arial"/>
          <w:b/>
          <w:sz w:val="22"/>
          <w:szCs w:val="22"/>
        </w:rPr>
        <w:t>omments</w:t>
      </w:r>
      <w:r w:rsidR="00385003" w:rsidRPr="00385003">
        <w:rPr>
          <w:rFonts w:cs="Arial"/>
          <w:b/>
          <w:sz w:val="22"/>
          <w:szCs w:val="22"/>
        </w:rPr>
        <w:t xml:space="preserve"> </w:t>
      </w:r>
      <w:r w:rsidR="002C02FE">
        <w:rPr>
          <w:rFonts w:cs="Arial"/>
          <w:b/>
          <w:sz w:val="22"/>
          <w:szCs w:val="22"/>
        </w:rPr>
        <w:t xml:space="preserve">of </w:t>
      </w:r>
      <w:r w:rsidR="00385003" w:rsidRPr="00385003">
        <w:rPr>
          <w:rFonts w:cs="Arial"/>
          <w:b/>
          <w:sz w:val="22"/>
          <w:szCs w:val="22"/>
        </w:rPr>
        <w:t>the National Radio Astronomy Observatory</w:t>
      </w:r>
    </w:p>
    <w:p w14:paraId="506EF4F8" w14:textId="77777777" w:rsidR="00385003" w:rsidRPr="001E4ABF" w:rsidRDefault="00385003" w:rsidP="00EC2DFB">
      <w:pPr>
        <w:pStyle w:val="p1"/>
        <w:rPr>
          <w:rFonts w:cs="Arial"/>
          <w:sz w:val="22"/>
          <w:szCs w:val="22"/>
        </w:rPr>
      </w:pPr>
    </w:p>
    <w:p w14:paraId="6D018CF4" w14:textId="731687C0" w:rsidR="001E4ABF" w:rsidRDefault="000B09CF" w:rsidP="00EC2DFB">
      <w:pPr>
        <w:pStyle w:val="p1"/>
        <w:rPr>
          <w:rFonts w:cs="Arial"/>
          <w:sz w:val="22"/>
          <w:szCs w:val="22"/>
        </w:rPr>
      </w:pPr>
      <w:r>
        <w:rPr>
          <w:rFonts w:cs="Arial"/>
          <w:sz w:val="22"/>
          <w:szCs w:val="22"/>
        </w:rPr>
        <w:t>14</w:t>
      </w:r>
      <w:r w:rsidR="00BB6CC2">
        <w:rPr>
          <w:rFonts w:cs="Arial"/>
          <w:sz w:val="22"/>
          <w:szCs w:val="22"/>
        </w:rPr>
        <w:t xml:space="preserve"> March</w:t>
      </w:r>
      <w:r w:rsidR="002C02FE">
        <w:rPr>
          <w:rFonts w:cs="Arial"/>
          <w:sz w:val="22"/>
          <w:szCs w:val="22"/>
        </w:rPr>
        <w:t xml:space="preserve"> 2018</w:t>
      </w:r>
    </w:p>
    <w:p w14:paraId="733932F0" w14:textId="77777777" w:rsidR="002C02FE" w:rsidRDefault="002C02FE" w:rsidP="00EC2DFB">
      <w:pPr>
        <w:pStyle w:val="p1"/>
        <w:rPr>
          <w:rFonts w:cs="Arial"/>
          <w:sz w:val="22"/>
          <w:szCs w:val="22"/>
        </w:rPr>
      </w:pPr>
    </w:p>
    <w:p w14:paraId="3952C6FD" w14:textId="4546464D" w:rsidR="00D656DF" w:rsidRDefault="001E4ABF" w:rsidP="00EC2DFB">
      <w:pPr>
        <w:pStyle w:val="p1"/>
        <w:rPr>
          <w:rFonts w:cs="Arial"/>
          <w:sz w:val="22"/>
          <w:szCs w:val="22"/>
        </w:rPr>
      </w:pPr>
      <w:r>
        <w:rPr>
          <w:rFonts w:cs="Arial"/>
          <w:sz w:val="22"/>
          <w:szCs w:val="22"/>
        </w:rPr>
        <w:t>The National Radio Astronomy Observatory</w:t>
      </w:r>
      <w:r w:rsidR="005378F4">
        <w:rPr>
          <w:rFonts w:cs="Arial"/>
          <w:sz w:val="22"/>
          <w:szCs w:val="22"/>
        </w:rPr>
        <w:t xml:space="preserve"> (NRAO)</w:t>
      </w:r>
      <w:r w:rsidR="003D4CE7">
        <w:rPr>
          <w:rFonts w:cs="Arial"/>
          <w:sz w:val="22"/>
          <w:szCs w:val="22"/>
        </w:rPr>
        <w:t>, on behalf of itself and its sister AUI-</w:t>
      </w:r>
      <w:r w:rsidR="00BB6CC2">
        <w:rPr>
          <w:rFonts w:cs="Arial"/>
          <w:sz w:val="22"/>
          <w:szCs w:val="22"/>
        </w:rPr>
        <w:t>operated</w:t>
      </w:r>
      <w:r w:rsidR="003D4CE7">
        <w:rPr>
          <w:rFonts w:cs="Arial"/>
          <w:sz w:val="22"/>
          <w:szCs w:val="22"/>
        </w:rPr>
        <w:t xml:space="preserve"> G</w:t>
      </w:r>
      <w:r w:rsidR="000B669E">
        <w:rPr>
          <w:rFonts w:cs="Arial"/>
          <w:sz w:val="22"/>
          <w:szCs w:val="22"/>
        </w:rPr>
        <w:t xml:space="preserve">reen </w:t>
      </w:r>
      <w:r w:rsidR="003D4CE7">
        <w:rPr>
          <w:rFonts w:cs="Arial"/>
          <w:sz w:val="22"/>
          <w:szCs w:val="22"/>
        </w:rPr>
        <w:t>B</w:t>
      </w:r>
      <w:r w:rsidR="000B669E">
        <w:rPr>
          <w:rFonts w:cs="Arial"/>
          <w:sz w:val="22"/>
          <w:szCs w:val="22"/>
        </w:rPr>
        <w:t xml:space="preserve">ank </w:t>
      </w:r>
      <w:r w:rsidR="003D4CE7">
        <w:rPr>
          <w:rFonts w:cs="Arial"/>
          <w:sz w:val="22"/>
          <w:szCs w:val="22"/>
        </w:rPr>
        <w:t>O</w:t>
      </w:r>
      <w:r w:rsidR="000B669E">
        <w:rPr>
          <w:rFonts w:cs="Arial"/>
          <w:sz w:val="22"/>
          <w:szCs w:val="22"/>
        </w:rPr>
        <w:t>bservatory</w:t>
      </w:r>
      <w:r w:rsidR="003D4CE7">
        <w:rPr>
          <w:rFonts w:cs="Arial"/>
          <w:sz w:val="22"/>
          <w:szCs w:val="22"/>
        </w:rPr>
        <w:t xml:space="preserve"> (</w:t>
      </w:r>
      <w:hyperlink r:id="rId8" w:history="1">
        <w:r w:rsidR="00F1587C" w:rsidRPr="00D35B2B">
          <w:rPr>
            <w:rStyle w:val="Hyperlink"/>
            <w:rFonts w:cs="Arial"/>
            <w:sz w:val="22"/>
            <w:szCs w:val="22"/>
          </w:rPr>
          <w:t>https://greenbankobservatory.org/</w:t>
        </w:r>
      </w:hyperlink>
      <w:r w:rsidR="003D4CE7">
        <w:rPr>
          <w:rFonts w:cs="Arial"/>
          <w:sz w:val="22"/>
          <w:szCs w:val="22"/>
        </w:rPr>
        <w:t>)</w:t>
      </w:r>
      <w:r w:rsidR="00BB6CC2">
        <w:rPr>
          <w:rFonts w:cs="Arial"/>
          <w:sz w:val="22"/>
          <w:szCs w:val="22"/>
        </w:rPr>
        <w:t xml:space="preserve">, </w:t>
      </w:r>
      <w:r>
        <w:rPr>
          <w:rFonts w:cs="Arial"/>
          <w:sz w:val="22"/>
          <w:szCs w:val="22"/>
        </w:rPr>
        <w:t>is taking th</w:t>
      </w:r>
      <w:r w:rsidR="003A3466">
        <w:rPr>
          <w:rFonts w:cs="Arial"/>
          <w:sz w:val="22"/>
          <w:szCs w:val="22"/>
        </w:rPr>
        <w:t>is</w:t>
      </w:r>
      <w:r>
        <w:rPr>
          <w:rFonts w:cs="Arial"/>
          <w:sz w:val="22"/>
          <w:szCs w:val="22"/>
        </w:rPr>
        <w:t xml:space="preserve"> opportunity to </w:t>
      </w:r>
      <w:r w:rsidR="000541C5">
        <w:rPr>
          <w:rFonts w:cs="Arial"/>
          <w:sz w:val="22"/>
          <w:szCs w:val="22"/>
        </w:rPr>
        <w:t>remark</w:t>
      </w:r>
      <w:r>
        <w:rPr>
          <w:rFonts w:cs="Arial"/>
          <w:sz w:val="22"/>
          <w:szCs w:val="22"/>
        </w:rPr>
        <w:t xml:space="preserve"> on the </w:t>
      </w:r>
      <w:r w:rsidR="00BB6CC2">
        <w:rPr>
          <w:rFonts w:cs="Arial"/>
          <w:sz w:val="22"/>
          <w:szCs w:val="22"/>
        </w:rPr>
        <w:t xml:space="preserve">FCC’s </w:t>
      </w:r>
      <w:r w:rsidR="000B09CF">
        <w:rPr>
          <w:rFonts w:cs="Arial"/>
          <w:sz w:val="22"/>
          <w:szCs w:val="22"/>
        </w:rPr>
        <w:t xml:space="preserve">First </w:t>
      </w:r>
      <w:r w:rsidR="00BB6CC2">
        <w:rPr>
          <w:rFonts w:cs="Arial"/>
          <w:sz w:val="22"/>
          <w:szCs w:val="22"/>
        </w:rPr>
        <w:t>R</w:t>
      </w:r>
      <w:r w:rsidR="003A3466">
        <w:rPr>
          <w:rFonts w:cs="Arial"/>
          <w:sz w:val="22"/>
          <w:szCs w:val="22"/>
        </w:rPr>
        <w:t xml:space="preserve">eport and </w:t>
      </w:r>
      <w:r w:rsidR="00BB6CC2">
        <w:rPr>
          <w:rFonts w:cs="Arial"/>
          <w:sz w:val="22"/>
          <w:szCs w:val="22"/>
        </w:rPr>
        <w:t>O</w:t>
      </w:r>
      <w:r w:rsidR="003A3466">
        <w:rPr>
          <w:rFonts w:cs="Arial"/>
          <w:sz w:val="22"/>
          <w:szCs w:val="22"/>
        </w:rPr>
        <w:t xml:space="preserve">rder </w:t>
      </w:r>
      <w:r w:rsidR="000B09CF">
        <w:rPr>
          <w:rFonts w:cs="Arial"/>
          <w:sz w:val="22"/>
          <w:szCs w:val="22"/>
        </w:rPr>
        <w:t>as contained in FCC-CIRC1903-1</w:t>
      </w:r>
      <w:r w:rsidR="003A3466">
        <w:rPr>
          <w:rFonts w:cs="Arial"/>
          <w:sz w:val="22"/>
          <w:szCs w:val="22"/>
        </w:rPr>
        <w:t xml:space="preserve"> (</w:t>
      </w:r>
      <w:r w:rsidR="00643BF8">
        <w:rPr>
          <w:rFonts w:cs="Arial"/>
          <w:sz w:val="22"/>
          <w:szCs w:val="22"/>
        </w:rPr>
        <w:t>“</w:t>
      </w:r>
      <w:r w:rsidR="003A3466">
        <w:rPr>
          <w:rFonts w:cs="Arial"/>
          <w:sz w:val="22"/>
          <w:szCs w:val="22"/>
        </w:rPr>
        <w:t>the R&amp;O</w:t>
      </w:r>
      <w:r w:rsidR="00643BF8">
        <w:rPr>
          <w:rFonts w:cs="Arial"/>
          <w:sz w:val="22"/>
          <w:szCs w:val="22"/>
        </w:rPr>
        <w:t>”</w:t>
      </w:r>
      <w:r w:rsidR="003A3466">
        <w:rPr>
          <w:rFonts w:cs="Arial"/>
          <w:sz w:val="22"/>
          <w:szCs w:val="22"/>
        </w:rPr>
        <w:t xml:space="preserve">) </w:t>
      </w:r>
      <w:r w:rsidR="00BB6CC2">
        <w:rPr>
          <w:rFonts w:cs="Arial"/>
          <w:sz w:val="22"/>
          <w:szCs w:val="22"/>
        </w:rPr>
        <w:t>on operations above 95 GHz</w:t>
      </w:r>
      <w:r w:rsidR="003A3466">
        <w:rPr>
          <w:rFonts w:cs="Arial"/>
          <w:sz w:val="22"/>
          <w:szCs w:val="22"/>
        </w:rPr>
        <w:t xml:space="preserve"> in this Docket</w:t>
      </w:r>
      <w:r w:rsidR="00673A25">
        <w:rPr>
          <w:rFonts w:cs="Arial"/>
          <w:sz w:val="22"/>
          <w:szCs w:val="22"/>
        </w:rPr>
        <w:t>.</w:t>
      </w:r>
      <w:r w:rsidR="003A3466">
        <w:rPr>
          <w:rFonts w:cs="Arial"/>
          <w:sz w:val="22"/>
          <w:szCs w:val="22"/>
        </w:rPr>
        <w:t xml:space="preserve"> The Commission’s </w:t>
      </w:r>
      <w:r w:rsidR="00D656DF">
        <w:rPr>
          <w:rFonts w:cs="Arial"/>
          <w:sz w:val="22"/>
          <w:szCs w:val="22"/>
        </w:rPr>
        <w:t xml:space="preserve">earlier </w:t>
      </w:r>
      <w:r w:rsidR="003A3466">
        <w:rPr>
          <w:rFonts w:cs="Arial"/>
          <w:sz w:val="22"/>
          <w:szCs w:val="22"/>
        </w:rPr>
        <w:t xml:space="preserve">Notice of Proposed Rule Making FCC </w:t>
      </w:r>
      <w:r w:rsidR="009473BA">
        <w:rPr>
          <w:rFonts w:cs="Arial"/>
          <w:sz w:val="22"/>
          <w:szCs w:val="22"/>
        </w:rPr>
        <w:t>18-17</w:t>
      </w:r>
      <w:r w:rsidR="003A3466">
        <w:rPr>
          <w:rFonts w:cs="Arial"/>
          <w:sz w:val="22"/>
          <w:szCs w:val="22"/>
        </w:rPr>
        <w:t xml:space="preserve"> is henceforth </w:t>
      </w:r>
      <w:r w:rsidR="00D656DF">
        <w:rPr>
          <w:rFonts w:cs="Arial"/>
          <w:sz w:val="22"/>
          <w:szCs w:val="22"/>
        </w:rPr>
        <w:t>referred to as “</w:t>
      </w:r>
      <w:r w:rsidR="003A3466">
        <w:rPr>
          <w:rFonts w:cs="Arial"/>
          <w:sz w:val="22"/>
          <w:szCs w:val="22"/>
        </w:rPr>
        <w:t>the NPRM</w:t>
      </w:r>
      <w:r w:rsidR="00D656DF">
        <w:rPr>
          <w:rFonts w:cs="Arial"/>
          <w:sz w:val="22"/>
          <w:szCs w:val="22"/>
        </w:rPr>
        <w:t xml:space="preserve">” and the comment filing from the </w:t>
      </w:r>
      <w:r w:rsidR="009473BA">
        <w:rPr>
          <w:rFonts w:cs="Arial"/>
          <w:sz w:val="22"/>
          <w:szCs w:val="22"/>
        </w:rPr>
        <w:t xml:space="preserve">NAS </w:t>
      </w:r>
      <w:r w:rsidR="00D656DF">
        <w:rPr>
          <w:rFonts w:cs="Arial"/>
          <w:sz w:val="22"/>
          <w:szCs w:val="22"/>
        </w:rPr>
        <w:t>Committee on Radio</w:t>
      </w:r>
      <w:r w:rsidR="009473BA">
        <w:rPr>
          <w:rFonts w:cs="Arial"/>
          <w:sz w:val="22"/>
          <w:szCs w:val="22"/>
        </w:rPr>
        <w:t xml:space="preserve"> Frequencies </w:t>
      </w:r>
      <w:r w:rsidR="00D656DF">
        <w:rPr>
          <w:rFonts w:cs="Arial"/>
          <w:sz w:val="22"/>
          <w:szCs w:val="22"/>
        </w:rPr>
        <w:t>(CORF)</w:t>
      </w:r>
      <w:r w:rsidR="007E2A45">
        <w:rPr>
          <w:rFonts w:cs="Arial"/>
          <w:sz w:val="22"/>
          <w:szCs w:val="22"/>
        </w:rPr>
        <w:t xml:space="preserve"> </w:t>
      </w:r>
      <w:r w:rsidR="00D656DF">
        <w:rPr>
          <w:rFonts w:cs="Arial"/>
          <w:sz w:val="22"/>
          <w:szCs w:val="22"/>
        </w:rPr>
        <w:t>is “the CORF filing”</w:t>
      </w:r>
      <w:r w:rsidR="00675CEC">
        <w:rPr>
          <w:rFonts w:cs="Arial"/>
          <w:sz w:val="22"/>
          <w:szCs w:val="22"/>
        </w:rPr>
        <w:t xml:space="preserve"> or similar</w:t>
      </w:r>
      <w:r w:rsidR="003A3466">
        <w:rPr>
          <w:rFonts w:cs="Arial"/>
          <w:sz w:val="22"/>
          <w:szCs w:val="22"/>
        </w:rPr>
        <w:t xml:space="preserve">. </w:t>
      </w:r>
      <w:r w:rsidR="00673A25">
        <w:rPr>
          <w:rFonts w:cs="Arial"/>
          <w:sz w:val="22"/>
          <w:szCs w:val="22"/>
        </w:rPr>
        <w:t xml:space="preserve"> </w:t>
      </w:r>
    </w:p>
    <w:p w14:paraId="5BE6395F" w14:textId="77777777" w:rsidR="00D656DF" w:rsidRDefault="00D656DF" w:rsidP="00EC2DFB">
      <w:pPr>
        <w:pStyle w:val="p1"/>
        <w:rPr>
          <w:rFonts w:cs="Arial"/>
          <w:sz w:val="22"/>
          <w:szCs w:val="22"/>
        </w:rPr>
      </w:pPr>
    </w:p>
    <w:p w14:paraId="51AEE3A3" w14:textId="4D0C70A2" w:rsidR="002E2F1A" w:rsidRPr="002E2F1A" w:rsidRDefault="00673A25" w:rsidP="00EC2DFB">
      <w:pPr>
        <w:pStyle w:val="p1"/>
        <w:rPr>
          <w:rFonts w:cs="Arial"/>
          <w:sz w:val="22"/>
          <w:szCs w:val="22"/>
        </w:rPr>
      </w:pPr>
      <w:r>
        <w:rPr>
          <w:rFonts w:cs="Arial"/>
          <w:sz w:val="22"/>
          <w:szCs w:val="22"/>
        </w:rPr>
        <w:t xml:space="preserve">NRAO’s interest in this proceeding </w:t>
      </w:r>
      <w:r w:rsidR="003A3466">
        <w:rPr>
          <w:rFonts w:cs="Arial"/>
          <w:sz w:val="22"/>
          <w:szCs w:val="22"/>
        </w:rPr>
        <w:t xml:space="preserve">as the operator of </w:t>
      </w:r>
      <w:r w:rsidR="00D656DF">
        <w:rPr>
          <w:rFonts w:cs="Arial"/>
          <w:sz w:val="22"/>
          <w:szCs w:val="22"/>
        </w:rPr>
        <w:t xml:space="preserve">US </w:t>
      </w:r>
      <w:r w:rsidR="003A3466">
        <w:rPr>
          <w:rFonts w:cs="Arial"/>
          <w:sz w:val="22"/>
          <w:szCs w:val="22"/>
        </w:rPr>
        <w:t xml:space="preserve">radio telescopes </w:t>
      </w:r>
      <w:r w:rsidR="00D656DF">
        <w:rPr>
          <w:rFonts w:cs="Arial"/>
          <w:sz w:val="22"/>
          <w:szCs w:val="22"/>
        </w:rPr>
        <w:t>observing</w:t>
      </w:r>
      <w:r w:rsidR="003A3466">
        <w:rPr>
          <w:rFonts w:cs="Arial"/>
          <w:sz w:val="22"/>
          <w:szCs w:val="22"/>
        </w:rPr>
        <w:t xml:space="preserve"> in the mm-wave domain </w:t>
      </w:r>
      <w:r>
        <w:rPr>
          <w:rFonts w:cs="Arial"/>
          <w:sz w:val="22"/>
          <w:szCs w:val="22"/>
        </w:rPr>
        <w:t>was established in</w:t>
      </w:r>
      <w:r w:rsidR="003A3466">
        <w:rPr>
          <w:rFonts w:cs="Arial"/>
          <w:sz w:val="22"/>
          <w:szCs w:val="22"/>
        </w:rPr>
        <w:t xml:space="preserve"> its earlier comment</w:t>
      </w:r>
      <w:r w:rsidR="00D656DF">
        <w:rPr>
          <w:rFonts w:cs="Arial"/>
          <w:sz w:val="22"/>
          <w:szCs w:val="22"/>
        </w:rPr>
        <w:t xml:space="preserve"> </w:t>
      </w:r>
      <w:r w:rsidR="003A3466">
        <w:rPr>
          <w:rFonts w:cs="Arial"/>
          <w:sz w:val="22"/>
          <w:szCs w:val="22"/>
        </w:rPr>
        <w:t>in this proceeding</w:t>
      </w:r>
      <w:r w:rsidR="00D656DF">
        <w:rPr>
          <w:rFonts w:cs="Arial"/>
          <w:sz w:val="22"/>
          <w:szCs w:val="22"/>
        </w:rPr>
        <w:t xml:space="preserve"> that is mentioned in several places in the R&amp;O</w:t>
      </w:r>
      <w:r w:rsidR="003A3466">
        <w:rPr>
          <w:rFonts w:cs="Arial"/>
          <w:sz w:val="22"/>
          <w:szCs w:val="22"/>
        </w:rPr>
        <w:t>.</w:t>
      </w:r>
      <w:r w:rsidR="000B669E">
        <w:rPr>
          <w:rFonts w:cs="Arial"/>
          <w:sz w:val="22"/>
          <w:szCs w:val="22"/>
        </w:rPr>
        <w:t xml:space="preserve">  </w:t>
      </w:r>
      <w:r w:rsidR="003A3466">
        <w:rPr>
          <w:rFonts w:cs="Arial"/>
          <w:sz w:val="22"/>
          <w:szCs w:val="22"/>
        </w:rPr>
        <w:t xml:space="preserve">NRAO pioneered the development of mm-wave astronomy at the NRAO </w:t>
      </w:r>
      <w:proofErr w:type="spellStart"/>
      <w:r w:rsidR="003A3466">
        <w:rPr>
          <w:rFonts w:cs="Arial"/>
          <w:sz w:val="22"/>
          <w:szCs w:val="22"/>
        </w:rPr>
        <w:t>Kitt</w:t>
      </w:r>
      <w:proofErr w:type="spellEnd"/>
      <w:r w:rsidR="003A3466">
        <w:rPr>
          <w:rFonts w:cs="Arial"/>
          <w:sz w:val="22"/>
          <w:szCs w:val="22"/>
        </w:rPr>
        <w:t xml:space="preserve"> Peak </w:t>
      </w:r>
      <w:r w:rsidR="00D656DF">
        <w:rPr>
          <w:rFonts w:cs="Arial"/>
          <w:sz w:val="22"/>
          <w:szCs w:val="22"/>
        </w:rPr>
        <w:t xml:space="preserve">(AZ) </w:t>
      </w:r>
      <w:r w:rsidR="003A3466">
        <w:rPr>
          <w:rFonts w:cs="Arial"/>
          <w:sz w:val="22"/>
          <w:szCs w:val="22"/>
        </w:rPr>
        <w:t>36’ (later 12m) telescope w</w:t>
      </w:r>
      <w:r w:rsidR="00665391">
        <w:rPr>
          <w:rFonts w:cs="Arial"/>
          <w:sz w:val="22"/>
          <w:szCs w:val="22"/>
        </w:rPr>
        <w:t>here</w:t>
      </w:r>
      <w:r w:rsidR="003A3466">
        <w:rPr>
          <w:rFonts w:cs="Arial"/>
          <w:sz w:val="22"/>
          <w:szCs w:val="22"/>
        </w:rPr>
        <w:t xml:space="preserve"> Bob Wilson, Arno Penzias and Keith </w:t>
      </w:r>
      <w:proofErr w:type="spellStart"/>
      <w:r w:rsidR="003A3466">
        <w:rPr>
          <w:rFonts w:cs="Arial"/>
          <w:sz w:val="22"/>
          <w:szCs w:val="22"/>
        </w:rPr>
        <w:t>Jefferts</w:t>
      </w:r>
      <w:proofErr w:type="spellEnd"/>
      <w:r w:rsidR="003A3466">
        <w:rPr>
          <w:rFonts w:cs="Arial"/>
          <w:sz w:val="22"/>
          <w:szCs w:val="22"/>
        </w:rPr>
        <w:t xml:space="preserve"> of Bell Telephone Laboratories </w:t>
      </w:r>
      <w:r w:rsidR="00665391">
        <w:rPr>
          <w:rFonts w:cs="Arial"/>
          <w:sz w:val="22"/>
          <w:szCs w:val="22"/>
        </w:rPr>
        <w:t>first observed</w:t>
      </w:r>
      <w:r w:rsidR="003A3466">
        <w:rPr>
          <w:rFonts w:cs="Arial"/>
          <w:sz w:val="22"/>
          <w:szCs w:val="22"/>
        </w:rPr>
        <w:t xml:space="preserve"> carbon monoxide (CO) in the interstellar medium of the Milky Way</w:t>
      </w:r>
      <w:r w:rsidR="00665391">
        <w:rPr>
          <w:rFonts w:cs="Arial"/>
          <w:sz w:val="22"/>
          <w:szCs w:val="22"/>
        </w:rPr>
        <w:t xml:space="preserve"> in 1970</w:t>
      </w:r>
      <w:r w:rsidR="003A3466">
        <w:rPr>
          <w:rFonts w:cs="Arial"/>
          <w:sz w:val="22"/>
          <w:szCs w:val="22"/>
        </w:rPr>
        <w:t xml:space="preserve"> through observations of its J=1-0 </w:t>
      </w:r>
      <w:r w:rsidR="00665391">
        <w:rPr>
          <w:rFonts w:cs="Arial"/>
          <w:sz w:val="22"/>
          <w:szCs w:val="22"/>
        </w:rPr>
        <w:t xml:space="preserve">spectral </w:t>
      </w:r>
      <w:r w:rsidR="003A3466">
        <w:rPr>
          <w:rFonts w:cs="Arial"/>
          <w:sz w:val="22"/>
          <w:szCs w:val="22"/>
        </w:rPr>
        <w:t>line at 115.3 GHz.</w:t>
      </w:r>
    </w:p>
    <w:p w14:paraId="1D9AAA4B" w14:textId="77777777" w:rsidR="002E2F1A" w:rsidRPr="007000F4" w:rsidRDefault="002E2F1A" w:rsidP="00EC2DFB">
      <w:pPr>
        <w:pStyle w:val="p1"/>
        <w:rPr>
          <w:rFonts w:cs="Arial"/>
          <w:b/>
          <w:sz w:val="22"/>
          <w:szCs w:val="22"/>
        </w:rPr>
      </w:pPr>
    </w:p>
    <w:p w14:paraId="46EA29B6" w14:textId="669EF48B" w:rsidR="00345D83" w:rsidRDefault="00345D83" w:rsidP="00345D83">
      <w:pPr>
        <w:pStyle w:val="p1"/>
        <w:numPr>
          <w:ilvl w:val="0"/>
          <w:numId w:val="1"/>
        </w:numPr>
        <w:rPr>
          <w:rFonts w:cs="Arial"/>
          <w:b/>
          <w:sz w:val="22"/>
          <w:szCs w:val="22"/>
        </w:rPr>
      </w:pPr>
      <w:r w:rsidRPr="007000F4">
        <w:rPr>
          <w:rFonts w:cs="Arial"/>
          <w:b/>
          <w:sz w:val="22"/>
          <w:szCs w:val="22"/>
        </w:rPr>
        <w:t xml:space="preserve"> </w:t>
      </w:r>
      <w:r w:rsidR="001C4CE2">
        <w:rPr>
          <w:rFonts w:cs="Arial"/>
          <w:b/>
          <w:sz w:val="22"/>
          <w:szCs w:val="22"/>
        </w:rPr>
        <w:t>C</w:t>
      </w:r>
      <w:r w:rsidR="00DD7154">
        <w:rPr>
          <w:rFonts w:cs="Arial"/>
          <w:b/>
          <w:sz w:val="22"/>
          <w:szCs w:val="22"/>
        </w:rPr>
        <w:t xml:space="preserve">ontentious </w:t>
      </w:r>
      <w:r w:rsidR="00B1623D">
        <w:rPr>
          <w:rFonts w:cs="Arial"/>
          <w:b/>
          <w:sz w:val="22"/>
          <w:szCs w:val="22"/>
        </w:rPr>
        <w:t xml:space="preserve">compatibility </w:t>
      </w:r>
      <w:r w:rsidR="00DD7154">
        <w:rPr>
          <w:rFonts w:cs="Arial"/>
          <w:b/>
          <w:sz w:val="22"/>
          <w:szCs w:val="22"/>
        </w:rPr>
        <w:t>calculation</w:t>
      </w:r>
      <w:r w:rsidR="001C4CE2">
        <w:rPr>
          <w:rFonts w:cs="Arial"/>
          <w:b/>
          <w:sz w:val="22"/>
          <w:szCs w:val="22"/>
        </w:rPr>
        <w:t>s</w:t>
      </w:r>
    </w:p>
    <w:p w14:paraId="425FF122" w14:textId="0F446235" w:rsidR="00B31B16" w:rsidRDefault="00B31B16" w:rsidP="00B31B16">
      <w:pPr>
        <w:pStyle w:val="p1"/>
        <w:rPr>
          <w:rFonts w:cs="Arial"/>
          <w:b/>
          <w:sz w:val="22"/>
          <w:szCs w:val="22"/>
        </w:rPr>
      </w:pPr>
    </w:p>
    <w:p w14:paraId="28BA4D04" w14:textId="7634CCFF" w:rsidR="000B2FD7" w:rsidRPr="000B2FD7" w:rsidRDefault="000B2FD7" w:rsidP="000B2FD7">
      <w:pPr>
        <w:pStyle w:val="p1"/>
        <w:rPr>
          <w:rFonts w:cs="Arial"/>
          <w:sz w:val="22"/>
          <w:szCs w:val="22"/>
        </w:rPr>
      </w:pPr>
      <w:r>
        <w:rPr>
          <w:rFonts w:cs="Arial"/>
          <w:sz w:val="22"/>
          <w:szCs w:val="22"/>
        </w:rPr>
        <w:t>At ¶30 of the NPRM, the Commission sought comment on proposed rul</w:t>
      </w:r>
      <w:r w:rsidRPr="000B2FD7">
        <w:rPr>
          <w:rFonts w:eastAsia="Calibri"/>
          <w:sz w:val="22"/>
          <w:szCs w:val="22"/>
        </w:rPr>
        <w:t xml:space="preserve">es for </w:t>
      </w:r>
      <w:r>
        <w:rPr>
          <w:rFonts w:eastAsia="Calibri"/>
          <w:sz w:val="22"/>
          <w:szCs w:val="22"/>
        </w:rPr>
        <w:t xml:space="preserve">licensed </w:t>
      </w:r>
      <w:r w:rsidRPr="000B2FD7">
        <w:rPr>
          <w:rFonts w:eastAsia="Calibri"/>
          <w:sz w:val="22"/>
          <w:szCs w:val="22"/>
        </w:rPr>
        <w:t>fixed point-to-point</w:t>
      </w:r>
      <w:r>
        <w:rPr>
          <w:rFonts w:eastAsia="Calibri"/>
          <w:sz w:val="22"/>
          <w:szCs w:val="22"/>
        </w:rPr>
        <w:t xml:space="preserve"> </w:t>
      </w:r>
      <w:r w:rsidRPr="000B2FD7">
        <w:rPr>
          <w:rFonts w:eastAsia="Calibri"/>
          <w:sz w:val="22"/>
          <w:szCs w:val="22"/>
        </w:rPr>
        <w:t>operations in 36 gigahertz of spectrum in the 95-100 GHz, 102-109.5 GHz, 111.8-114.25 GHz, 122.25-123 GHz, 130-134 GHz, 141-148.5 GHz, 151.5-158.5 GHz, 174.5-174.8 GHz, 231.5-232 GHz, and 240-241 GHz bands based on the 70/80/90 GHz rules</w:t>
      </w:r>
      <w:r>
        <w:rPr>
          <w:rFonts w:eastAsia="Calibri"/>
          <w:sz w:val="22"/>
          <w:szCs w:val="22"/>
        </w:rPr>
        <w:t>.</w:t>
      </w:r>
      <w:r>
        <w:rPr>
          <w:rFonts w:cs="Arial"/>
          <w:sz w:val="22"/>
          <w:szCs w:val="22"/>
        </w:rPr>
        <w:t xml:space="preserve"> </w:t>
      </w:r>
      <w:r w:rsidRPr="000B2FD7">
        <w:rPr>
          <w:rFonts w:cs="Arial"/>
          <w:sz w:val="22"/>
          <w:szCs w:val="22"/>
        </w:rPr>
        <w:t xml:space="preserve"> At ¶3</w:t>
      </w:r>
      <w:r>
        <w:rPr>
          <w:rFonts w:cs="Arial"/>
          <w:sz w:val="22"/>
          <w:szCs w:val="22"/>
        </w:rPr>
        <w:t>3</w:t>
      </w:r>
      <w:r w:rsidRPr="000B2FD7">
        <w:rPr>
          <w:rFonts w:cs="Arial"/>
          <w:sz w:val="22"/>
          <w:szCs w:val="22"/>
        </w:rPr>
        <w:t xml:space="preserve"> </w:t>
      </w:r>
      <w:r w:rsidR="005D7BD0">
        <w:rPr>
          <w:rFonts w:eastAsia="Calibri"/>
          <w:sz w:val="22"/>
          <w:szCs w:val="22"/>
        </w:rPr>
        <w:t>t</w:t>
      </w:r>
      <w:r>
        <w:rPr>
          <w:rFonts w:eastAsia="Calibri"/>
          <w:sz w:val="22"/>
          <w:szCs w:val="22"/>
        </w:rPr>
        <w:t>he NPRM stated “</w:t>
      </w:r>
      <w:r w:rsidRPr="000B2FD7">
        <w:rPr>
          <w:rFonts w:eastAsia="Calibri"/>
          <w:sz w:val="22"/>
          <w:szCs w:val="22"/>
        </w:rPr>
        <w:t xml:space="preserve">Under our proposal, licensees will be limited to a maximum EIRP of 25 </w:t>
      </w:r>
      <w:proofErr w:type="spellStart"/>
      <w:r w:rsidRPr="000B2FD7">
        <w:rPr>
          <w:rFonts w:eastAsia="Calibri"/>
          <w:sz w:val="22"/>
          <w:szCs w:val="22"/>
        </w:rPr>
        <w:t>dBW</w:t>
      </w:r>
      <w:proofErr w:type="spellEnd"/>
      <w:r w:rsidRPr="000B2FD7">
        <w:rPr>
          <w:rFonts w:eastAsia="Calibri"/>
          <w:sz w:val="22"/>
          <w:szCs w:val="22"/>
        </w:rPr>
        <w:t>/MH</w:t>
      </w:r>
      <w:r>
        <w:rPr>
          <w:rFonts w:eastAsia="Calibri"/>
          <w:sz w:val="22"/>
          <w:szCs w:val="22"/>
        </w:rPr>
        <w:t>z …”</w:t>
      </w:r>
    </w:p>
    <w:p w14:paraId="63239EFA" w14:textId="78CA5C0A" w:rsidR="000B2FD7" w:rsidRPr="000B2FD7" w:rsidRDefault="000B2FD7" w:rsidP="000B2FD7">
      <w:pPr>
        <w:kinsoku w:val="0"/>
        <w:overflowPunct w:val="0"/>
        <w:autoSpaceDE w:val="0"/>
        <w:autoSpaceDN w:val="0"/>
        <w:adjustRightInd w:val="0"/>
        <w:spacing w:line="240" w:lineRule="exact"/>
        <w:ind w:left="39"/>
        <w:rPr>
          <w:rFonts w:ascii="Helvetica" w:eastAsia="Calibri" w:hAnsi="Helvetica"/>
          <w:sz w:val="22"/>
          <w:szCs w:val="22"/>
        </w:rPr>
      </w:pPr>
    </w:p>
    <w:p w14:paraId="5BDD4B70" w14:textId="6B28DFBB" w:rsidR="00B31B16" w:rsidRPr="002E2F1A" w:rsidRDefault="000B2FD7" w:rsidP="00B31B16">
      <w:pPr>
        <w:pStyle w:val="p1"/>
        <w:rPr>
          <w:rFonts w:cs="Arial"/>
          <w:sz w:val="22"/>
          <w:szCs w:val="22"/>
        </w:rPr>
      </w:pPr>
      <w:r>
        <w:rPr>
          <w:rFonts w:cs="Arial"/>
          <w:sz w:val="22"/>
          <w:szCs w:val="22"/>
        </w:rPr>
        <w:t>CORF commented on this proposal</w:t>
      </w:r>
      <w:r w:rsidR="00EC4195">
        <w:rPr>
          <w:rFonts w:cs="Arial"/>
          <w:sz w:val="22"/>
          <w:szCs w:val="22"/>
        </w:rPr>
        <w:t xml:space="preserve"> for licensed, fixed, point-point use</w:t>
      </w:r>
      <w:r>
        <w:rPr>
          <w:rFonts w:cs="Arial"/>
          <w:sz w:val="22"/>
          <w:szCs w:val="22"/>
        </w:rPr>
        <w:t xml:space="preserve"> by calculating separation distances for radio telescopes on </w:t>
      </w:r>
      <w:proofErr w:type="spellStart"/>
      <w:r>
        <w:rPr>
          <w:rFonts w:cs="Arial"/>
          <w:sz w:val="22"/>
          <w:szCs w:val="22"/>
        </w:rPr>
        <w:t>Kitt</w:t>
      </w:r>
      <w:proofErr w:type="spellEnd"/>
      <w:r>
        <w:rPr>
          <w:rFonts w:cs="Arial"/>
          <w:sz w:val="22"/>
          <w:szCs w:val="22"/>
        </w:rPr>
        <w:t xml:space="preserve"> Peak (Arizona) and Mauna Kea (Hawaii)</w:t>
      </w:r>
      <w:r w:rsidR="00265B10">
        <w:rPr>
          <w:rFonts w:cs="Arial"/>
          <w:sz w:val="22"/>
          <w:szCs w:val="22"/>
        </w:rPr>
        <w:t xml:space="preserve"> in Table 1</w:t>
      </w:r>
      <w:r w:rsidR="00B1623D">
        <w:rPr>
          <w:rFonts w:cs="Arial"/>
          <w:sz w:val="22"/>
          <w:szCs w:val="22"/>
        </w:rPr>
        <w:t xml:space="preserve"> of its filing</w:t>
      </w:r>
      <w:r w:rsidR="00265B10">
        <w:rPr>
          <w:rFonts w:cs="Arial"/>
          <w:sz w:val="22"/>
          <w:szCs w:val="22"/>
        </w:rPr>
        <w:t>,</w:t>
      </w:r>
      <w:r w:rsidR="00814BF2">
        <w:rPr>
          <w:rFonts w:cs="Arial"/>
          <w:sz w:val="22"/>
          <w:szCs w:val="22"/>
        </w:rPr>
        <w:t xml:space="preserve"> </w:t>
      </w:r>
      <w:r>
        <w:rPr>
          <w:rFonts w:cs="Arial"/>
          <w:sz w:val="22"/>
          <w:szCs w:val="22"/>
        </w:rPr>
        <w:t xml:space="preserve">using 0 </w:t>
      </w:r>
      <w:proofErr w:type="spellStart"/>
      <w:r>
        <w:rPr>
          <w:rFonts w:cs="Arial"/>
          <w:sz w:val="22"/>
          <w:szCs w:val="22"/>
        </w:rPr>
        <w:t>dBi</w:t>
      </w:r>
      <w:proofErr w:type="spellEnd"/>
      <w:r>
        <w:rPr>
          <w:rFonts w:cs="Arial"/>
          <w:sz w:val="22"/>
          <w:szCs w:val="22"/>
        </w:rPr>
        <w:t xml:space="preserve"> radio astronomy antenna gain</w:t>
      </w:r>
      <w:r w:rsidR="00814BF2">
        <w:rPr>
          <w:rFonts w:cs="Arial"/>
          <w:sz w:val="22"/>
          <w:szCs w:val="22"/>
        </w:rPr>
        <w:t xml:space="preserve"> and threshold </w:t>
      </w:r>
      <w:proofErr w:type="spellStart"/>
      <w:r w:rsidR="00814BF2">
        <w:rPr>
          <w:rFonts w:cs="Arial"/>
          <w:sz w:val="22"/>
          <w:szCs w:val="22"/>
        </w:rPr>
        <w:t>pfd</w:t>
      </w:r>
      <w:proofErr w:type="spellEnd"/>
      <w:r w:rsidR="00814BF2">
        <w:rPr>
          <w:rFonts w:cs="Arial"/>
          <w:sz w:val="22"/>
          <w:szCs w:val="22"/>
        </w:rPr>
        <w:t xml:space="preserve"> values for interference as per ITU-R Rec. RA.769, </w:t>
      </w:r>
      <w:r w:rsidR="00265B10">
        <w:rPr>
          <w:rFonts w:cs="Arial"/>
          <w:sz w:val="22"/>
          <w:szCs w:val="22"/>
        </w:rPr>
        <w:t>atmospheric attenuation per km relevant to the sites in question</w:t>
      </w:r>
      <w:r w:rsidR="00814BF2">
        <w:rPr>
          <w:rFonts w:cs="Arial"/>
          <w:sz w:val="22"/>
          <w:szCs w:val="22"/>
        </w:rPr>
        <w:t xml:space="preserve"> as given in the</w:t>
      </w:r>
      <w:r w:rsidR="00643BF8">
        <w:rPr>
          <w:rFonts w:cs="Arial"/>
          <w:sz w:val="22"/>
          <w:szCs w:val="22"/>
        </w:rPr>
        <w:t>ir</w:t>
      </w:r>
      <w:r w:rsidR="00814BF2">
        <w:rPr>
          <w:rFonts w:cs="Arial"/>
          <w:sz w:val="22"/>
          <w:szCs w:val="22"/>
        </w:rPr>
        <w:t xml:space="preserve"> table,</w:t>
      </w:r>
      <w:r w:rsidR="00265B10">
        <w:rPr>
          <w:rFonts w:cs="Arial"/>
          <w:sz w:val="22"/>
          <w:szCs w:val="22"/>
        </w:rPr>
        <w:t xml:space="preserve"> and 25 </w:t>
      </w:r>
      <w:proofErr w:type="spellStart"/>
      <w:r w:rsidR="00265B10">
        <w:rPr>
          <w:rFonts w:cs="Arial"/>
          <w:sz w:val="22"/>
          <w:szCs w:val="22"/>
        </w:rPr>
        <w:t>dBW</w:t>
      </w:r>
      <w:proofErr w:type="spellEnd"/>
      <w:r w:rsidR="00265B10">
        <w:rPr>
          <w:rFonts w:cs="Arial"/>
          <w:sz w:val="22"/>
          <w:szCs w:val="22"/>
        </w:rPr>
        <w:t>/MHz</w:t>
      </w:r>
      <w:r w:rsidR="00814BF2">
        <w:rPr>
          <w:rFonts w:cs="Arial"/>
          <w:sz w:val="22"/>
          <w:szCs w:val="22"/>
        </w:rPr>
        <w:t xml:space="preserve"> </w:t>
      </w:r>
      <w:proofErr w:type="spellStart"/>
      <w:r w:rsidR="00814BF2">
        <w:rPr>
          <w:rFonts w:cs="Arial"/>
          <w:sz w:val="22"/>
          <w:szCs w:val="22"/>
        </w:rPr>
        <w:t>eirp</w:t>
      </w:r>
      <w:proofErr w:type="spellEnd"/>
      <w:r w:rsidR="00814BF2">
        <w:rPr>
          <w:rFonts w:cs="Arial"/>
          <w:sz w:val="22"/>
          <w:szCs w:val="22"/>
        </w:rPr>
        <w:t xml:space="preserve"> density</w:t>
      </w:r>
      <w:r w:rsidR="00265B10">
        <w:rPr>
          <w:rFonts w:cs="Arial"/>
          <w:sz w:val="22"/>
          <w:szCs w:val="22"/>
        </w:rPr>
        <w:t xml:space="preserve"> </w:t>
      </w:r>
      <w:r w:rsidR="00814BF2">
        <w:rPr>
          <w:rFonts w:cs="Arial"/>
          <w:sz w:val="22"/>
          <w:szCs w:val="22"/>
        </w:rPr>
        <w:t xml:space="preserve">as </w:t>
      </w:r>
      <w:r w:rsidR="00265B10">
        <w:rPr>
          <w:rFonts w:cs="Arial"/>
          <w:sz w:val="22"/>
          <w:szCs w:val="22"/>
        </w:rPr>
        <w:t>proposed.</w:t>
      </w:r>
      <w:r w:rsidR="00814BF2">
        <w:rPr>
          <w:rFonts w:cs="Arial"/>
          <w:sz w:val="22"/>
          <w:szCs w:val="22"/>
        </w:rPr>
        <w:t xml:space="preserve">  The</w:t>
      </w:r>
      <w:r w:rsidR="00EC4195">
        <w:rPr>
          <w:rFonts w:cs="Arial"/>
          <w:sz w:val="22"/>
          <w:szCs w:val="22"/>
        </w:rPr>
        <w:t xml:space="preserve"> </w:t>
      </w:r>
      <w:r w:rsidR="00814BF2">
        <w:rPr>
          <w:rFonts w:cs="Arial"/>
          <w:sz w:val="22"/>
          <w:szCs w:val="22"/>
        </w:rPr>
        <w:t xml:space="preserve">separation distances so calculated </w:t>
      </w:r>
      <w:r w:rsidR="00814BF2">
        <w:rPr>
          <w:rFonts w:cs="Arial"/>
          <w:sz w:val="22"/>
          <w:szCs w:val="22"/>
        </w:rPr>
        <w:lastRenderedPageBreak/>
        <w:t>are large, ranging from 41 – 130 km and 79 - 270 km for the two sites, where the larger value in each case is the</w:t>
      </w:r>
      <w:r w:rsidR="00EC4195">
        <w:rPr>
          <w:rFonts w:cs="Arial"/>
          <w:sz w:val="22"/>
          <w:szCs w:val="22"/>
        </w:rPr>
        <w:t xml:space="preserve"> effective</w:t>
      </w:r>
      <w:r w:rsidR="00814BF2">
        <w:rPr>
          <w:rFonts w:cs="Arial"/>
          <w:sz w:val="22"/>
          <w:szCs w:val="22"/>
        </w:rPr>
        <w:t xml:space="preserve"> distance to the</w:t>
      </w:r>
      <w:r w:rsidR="00EC4195">
        <w:rPr>
          <w:rFonts w:cs="Arial"/>
          <w:sz w:val="22"/>
          <w:szCs w:val="22"/>
        </w:rPr>
        <w:t xml:space="preserve"> </w:t>
      </w:r>
      <w:r w:rsidR="00814BF2">
        <w:rPr>
          <w:rFonts w:cs="Arial"/>
          <w:sz w:val="22"/>
          <w:szCs w:val="22"/>
        </w:rPr>
        <w:t>horizon</w:t>
      </w:r>
      <w:r w:rsidR="00643BF8">
        <w:rPr>
          <w:rFonts w:cs="Arial"/>
          <w:sz w:val="22"/>
          <w:szCs w:val="22"/>
        </w:rPr>
        <w:t xml:space="preserve"> from these elevated sites</w:t>
      </w:r>
      <w:r w:rsidR="00814BF2">
        <w:rPr>
          <w:rFonts w:cs="Arial"/>
          <w:sz w:val="22"/>
          <w:szCs w:val="22"/>
        </w:rPr>
        <w:t>.</w:t>
      </w:r>
    </w:p>
    <w:p w14:paraId="1FC60384" w14:textId="77777777" w:rsidR="00AA0F79" w:rsidRDefault="00AA0F79" w:rsidP="00AA0F79">
      <w:pPr>
        <w:pStyle w:val="p1"/>
        <w:ind w:left="1080"/>
        <w:rPr>
          <w:rFonts w:cs="Arial"/>
          <w:sz w:val="22"/>
          <w:szCs w:val="22"/>
        </w:rPr>
      </w:pPr>
    </w:p>
    <w:p w14:paraId="65E097F1" w14:textId="1A1BEE04" w:rsidR="001C4CE2" w:rsidRDefault="002E2F1A" w:rsidP="006D7941">
      <w:pPr>
        <w:pStyle w:val="p1"/>
        <w:rPr>
          <w:rFonts w:cs="Arial"/>
          <w:sz w:val="22"/>
          <w:szCs w:val="22"/>
        </w:rPr>
      </w:pPr>
      <w:r>
        <w:rPr>
          <w:rFonts w:cs="Arial"/>
          <w:sz w:val="22"/>
          <w:szCs w:val="22"/>
        </w:rPr>
        <w:t>CORF’s calculation was discussed by the Commission a</w:t>
      </w:r>
      <w:r w:rsidR="00CD49B7">
        <w:rPr>
          <w:rFonts w:cs="Arial"/>
          <w:sz w:val="22"/>
          <w:szCs w:val="22"/>
        </w:rPr>
        <w:t xml:space="preserve">t </w:t>
      </w:r>
      <w:r w:rsidR="00535B12">
        <w:rPr>
          <w:rFonts w:cs="Arial"/>
          <w:sz w:val="22"/>
          <w:szCs w:val="22"/>
        </w:rPr>
        <w:t>¶33 of the R&amp;O in a</w:t>
      </w:r>
      <w:r w:rsidR="00EC4195">
        <w:rPr>
          <w:rFonts w:cs="Arial"/>
          <w:sz w:val="22"/>
          <w:szCs w:val="22"/>
        </w:rPr>
        <w:t>n example</w:t>
      </w:r>
      <w:r w:rsidR="00535B12">
        <w:rPr>
          <w:rFonts w:cs="Arial"/>
          <w:sz w:val="22"/>
          <w:szCs w:val="22"/>
        </w:rPr>
        <w:t xml:space="preserve"> that elucidates </w:t>
      </w:r>
      <w:r w:rsidR="00B31B16">
        <w:rPr>
          <w:rFonts w:cs="Arial"/>
          <w:sz w:val="22"/>
          <w:szCs w:val="22"/>
        </w:rPr>
        <w:t xml:space="preserve">the vast gulf </w:t>
      </w:r>
      <w:r w:rsidR="00535B12">
        <w:rPr>
          <w:rFonts w:cs="Arial"/>
          <w:sz w:val="22"/>
          <w:szCs w:val="22"/>
        </w:rPr>
        <w:t xml:space="preserve">in understanding </w:t>
      </w:r>
      <w:r w:rsidR="00660DA5">
        <w:rPr>
          <w:rFonts w:cs="Arial"/>
          <w:sz w:val="22"/>
          <w:szCs w:val="22"/>
        </w:rPr>
        <w:t xml:space="preserve">and approach </w:t>
      </w:r>
      <w:r w:rsidR="00535B12">
        <w:rPr>
          <w:rFonts w:cs="Arial"/>
          <w:sz w:val="22"/>
          <w:szCs w:val="22"/>
        </w:rPr>
        <w:t xml:space="preserve">between the Commission and </w:t>
      </w:r>
      <w:r w:rsidR="00660DA5">
        <w:rPr>
          <w:rFonts w:cs="Arial"/>
          <w:sz w:val="22"/>
          <w:szCs w:val="22"/>
        </w:rPr>
        <w:t>radio astronomy service</w:t>
      </w:r>
      <w:r w:rsidR="00535B12">
        <w:rPr>
          <w:rFonts w:cs="Arial"/>
          <w:sz w:val="22"/>
          <w:szCs w:val="22"/>
        </w:rPr>
        <w:t xml:space="preserve"> operators</w:t>
      </w:r>
      <w:r w:rsidR="00660DA5">
        <w:rPr>
          <w:rFonts w:cs="Arial"/>
          <w:sz w:val="22"/>
          <w:szCs w:val="22"/>
        </w:rPr>
        <w:t>.</w:t>
      </w:r>
      <w:r w:rsidR="006D7941">
        <w:rPr>
          <w:rFonts w:cs="Arial"/>
          <w:sz w:val="22"/>
          <w:szCs w:val="22"/>
        </w:rPr>
        <w:t xml:space="preserve"> </w:t>
      </w:r>
    </w:p>
    <w:p w14:paraId="3A40CB62" w14:textId="77777777" w:rsidR="001C4CE2" w:rsidRDefault="001C4CE2" w:rsidP="006D7941">
      <w:pPr>
        <w:pStyle w:val="p1"/>
        <w:rPr>
          <w:rFonts w:cs="Arial"/>
          <w:sz w:val="22"/>
          <w:szCs w:val="22"/>
        </w:rPr>
      </w:pPr>
    </w:p>
    <w:p w14:paraId="69288BD1" w14:textId="7431EC3D" w:rsidR="006D7941" w:rsidRDefault="006C1D2B" w:rsidP="006D7941">
      <w:pPr>
        <w:pStyle w:val="p1"/>
        <w:rPr>
          <w:rFonts w:cs="Arial"/>
          <w:sz w:val="22"/>
          <w:szCs w:val="22"/>
        </w:rPr>
      </w:pPr>
      <w:r>
        <w:rPr>
          <w:rFonts w:cs="Arial"/>
          <w:sz w:val="22"/>
          <w:szCs w:val="22"/>
        </w:rPr>
        <w:t xml:space="preserve">At </w:t>
      </w:r>
      <w:r w:rsidR="005175FF">
        <w:rPr>
          <w:rFonts w:cs="Arial"/>
          <w:sz w:val="22"/>
          <w:szCs w:val="22"/>
        </w:rPr>
        <w:t>¶33</w:t>
      </w:r>
      <w:r w:rsidR="00AD1540">
        <w:rPr>
          <w:rFonts w:cs="Arial"/>
          <w:sz w:val="22"/>
          <w:szCs w:val="22"/>
        </w:rPr>
        <w:t xml:space="preserve"> </w:t>
      </w:r>
      <w:r>
        <w:rPr>
          <w:rFonts w:cs="Arial"/>
          <w:sz w:val="22"/>
          <w:szCs w:val="22"/>
        </w:rPr>
        <w:t xml:space="preserve">the R&amp;O </w:t>
      </w:r>
      <w:r w:rsidR="00AD1540">
        <w:rPr>
          <w:rFonts w:cs="Arial"/>
          <w:sz w:val="22"/>
          <w:szCs w:val="22"/>
        </w:rPr>
        <w:t>states that</w:t>
      </w:r>
    </w:p>
    <w:p w14:paraId="04DE0FC9" w14:textId="56105634" w:rsidR="00EC4195" w:rsidRDefault="00EC4195" w:rsidP="00EC4195">
      <w:pPr>
        <w:pStyle w:val="BodyText"/>
        <w:kinsoku w:val="0"/>
        <w:overflowPunct w:val="0"/>
      </w:pPr>
      <w:bookmarkStart w:id="0" w:name="_bookmark4"/>
      <w:bookmarkStart w:id="1" w:name="_bookmark3"/>
      <w:bookmarkStart w:id="2" w:name="_bookmark2"/>
      <w:bookmarkStart w:id="3" w:name="_bookmark1"/>
      <w:bookmarkStart w:id="4" w:name="_bookmark0"/>
      <w:bookmarkStart w:id="5" w:name="1._Protection_of_Radio_Astronomy"/>
      <w:bookmarkEnd w:id="0"/>
      <w:bookmarkEnd w:id="1"/>
      <w:bookmarkEnd w:id="2"/>
      <w:bookmarkEnd w:id="3"/>
      <w:bookmarkEnd w:id="4"/>
      <w:bookmarkEnd w:id="5"/>
    </w:p>
    <w:p w14:paraId="39F0DDA9" w14:textId="5075ECA1" w:rsidR="00EC4195" w:rsidRPr="00EC4195" w:rsidRDefault="00EC4195" w:rsidP="00EC4195">
      <w:pPr>
        <w:pStyle w:val="Default"/>
        <w:rPr>
          <w:sz w:val="22"/>
          <w:szCs w:val="22"/>
        </w:rPr>
      </w:pPr>
      <w:r w:rsidRPr="00EC4195">
        <w:rPr>
          <w:sz w:val="22"/>
          <w:szCs w:val="22"/>
        </w:rPr>
        <w:t xml:space="preserve">“CORF, using the protection values and analysis procedures of ITU Recommendation RA 769 claims that the separation distances for two radio astronomy sites – </w:t>
      </w:r>
      <w:proofErr w:type="spellStart"/>
      <w:r w:rsidRPr="00EC4195">
        <w:rPr>
          <w:sz w:val="22"/>
          <w:szCs w:val="22"/>
        </w:rPr>
        <w:t>Kitt</w:t>
      </w:r>
      <w:proofErr w:type="spellEnd"/>
      <w:r w:rsidRPr="00EC4195">
        <w:rPr>
          <w:sz w:val="22"/>
          <w:szCs w:val="22"/>
        </w:rPr>
        <w:t xml:space="preserve"> Peak, Arizona and </w:t>
      </w:r>
      <w:proofErr w:type="spellStart"/>
      <w:r w:rsidRPr="00EC4195">
        <w:rPr>
          <w:sz w:val="22"/>
          <w:szCs w:val="22"/>
        </w:rPr>
        <w:t>Manua</w:t>
      </w:r>
      <w:proofErr w:type="spellEnd"/>
      <w:r w:rsidRPr="00EC4195">
        <w:rPr>
          <w:sz w:val="22"/>
          <w:szCs w:val="22"/>
        </w:rPr>
        <w:t xml:space="preserve"> Kea, Hawaii – </w:t>
      </w:r>
      <w:r w:rsidRPr="00EC4195">
        <w:rPr>
          <w:sz w:val="22"/>
          <w:szCs w:val="22"/>
          <w:u w:val="single"/>
        </w:rPr>
        <w:t>operating co-channel with unlicensed devices</w:t>
      </w:r>
      <w:r w:rsidR="005175FF">
        <w:rPr>
          <w:sz w:val="22"/>
          <w:szCs w:val="22"/>
        </w:rPr>
        <w:t xml:space="preserve"> </w:t>
      </w:r>
      <w:r w:rsidRPr="00EC4195">
        <w:rPr>
          <w:sz w:val="22"/>
          <w:szCs w:val="22"/>
        </w:rPr>
        <w:t>could be as large as 61 and 121 kilometers respectively.</w:t>
      </w:r>
      <w:r>
        <w:rPr>
          <w:sz w:val="22"/>
          <w:szCs w:val="22"/>
        </w:rPr>
        <w:t xml:space="preserve"> </w:t>
      </w:r>
      <w:r w:rsidRPr="00EC4195">
        <w:rPr>
          <w:sz w:val="22"/>
          <w:szCs w:val="22"/>
        </w:rPr>
        <w:t xml:space="preserve">However, CORF’s analysis assumes 12 dB more power </w:t>
      </w:r>
      <w:r w:rsidRPr="005175FF">
        <w:rPr>
          <w:sz w:val="22"/>
          <w:szCs w:val="22"/>
          <w:u w:val="single"/>
        </w:rPr>
        <w:t>for unlicensed operations</w:t>
      </w:r>
      <w:r w:rsidRPr="00EC4195">
        <w:rPr>
          <w:sz w:val="22"/>
          <w:szCs w:val="22"/>
        </w:rPr>
        <w:t xml:space="preserve"> than what the rules we are adopting would allow</w:t>
      </w:r>
      <w:r>
        <w:rPr>
          <w:sz w:val="22"/>
          <w:szCs w:val="22"/>
        </w:rPr>
        <w:t>.”</w:t>
      </w:r>
      <w:r w:rsidR="005175FF">
        <w:rPr>
          <w:sz w:val="22"/>
          <w:szCs w:val="22"/>
        </w:rPr>
        <w:t xml:space="preserve"> [underlining by NRAO]</w:t>
      </w:r>
    </w:p>
    <w:p w14:paraId="16B4EEF4" w14:textId="363FC20F" w:rsidR="006D7941" w:rsidRDefault="006D7941" w:rsidP="006D7941">
      <w:pPr>
        <w:pStyle w:val="p1"/>
        <w:rPr>
          <w:rFonts w:cs="Arial"/>
          <w:sz w:val="22"/>
          <w:szCs w:val="22"/>
        </w:rPr>
      </w:pPr>
    </w:p>
    <w:p w14:paraId="0B2944E2" w14:textId="418FDFF4" w:rsidR="00EC4195" w:rsidRDefault="00EC4195" w:rsidP="006D7941">
      <w:pPr>
        <w:pStyle w:val="p1"/>
        <w:rPr>
          <w:rFonts w:cs="Arial"/>
          <w:sz w:val="22"/>
          <w:szCs w:val="22"/>
        </w:rPr>
      </w:pPr>
      <w:r>
        <w:rPr>
          <w:rFonts w:cs="Arial"/>
          <w:sz w:val="22"/>
          <w:szCs w:val="22"/>
        </w:rPr>
        <w:t xml:space="preserve">Although the Commission </w:t>
      </w:r>
      <w:r w:rsidR="005175FF">
        <w:rPr>
          <w:rFonts w:cs="Arial"/>
          <w:sz w:val="22"/>
          <w:szCs w:val="22"/>
        </w:rPr>
        <w:t xml:space="preserve">attributes to CORF a calculation for unlicensed devices that it did not actually perform, </w:t>
      </w:r>
      <w:r>
        <w:rPr>
          <w:rFonts w:cs="Arial"/>
          <w:sz w:val="22"/>
          <w:szCs w:val="22"/>
        </w:rPr>
        <w:t xml:space="preserve">this is somewhat explained </w:t>
      </w:r>
      <w:r w:rsidR="005D7BD0">
        <w:rPr>
          <w:rFonts w:cs="Arial"/>
          <w:sz w:val="22"/>
          <w:szCs w:val="22"/>
        </w:rPr>
        <w:t xml:space="preserve">in </w:t>
      </w:r>
      <w:r>
        <w:rPr>
          <w:rFonts w:cs="Arial"/>
          <w:sz w:val="22"/>
          <w:szCs w:val="22"/>
        </w:rPr>
        <w:t xml:space="preserve">the Commission’s footnote </w:t>
      </w:r>
      <w:r w:rsidR="005175FF">
        <w:rPr>
          <w:rFonts w:cs="Arial"/>
          <w:sz w:val="22"/>
          <w:szCs w:val="22"/>
        </w:rPr>
        <w:t>76</w:t>
      </w:r>
      <w:r w:rsidR="005D7BD0">
        <w:rPr>
          <w:rFonts w:cs="Arial"/>
          <w:sz w:val="22"/>
          <w:szCs w:val="22"/>
        </w:rPr>
        <w:t>:</w:t>
      </w:r>
    </w:p>
    <w:p w14:paraId="22B48071" w14:textId="7B50C97B" w:rsidR="005175FF" w:rsidRDefault="005175FF" w:rsidP="005175FF">
      <w:pPr>
        <w:pStyle w:val="p1"/>
        <w:rPr>
          <w:rFonts w:eastAsia="Calibri"/>
          <w:sz w:val="20"/>
          <w:szCs w:val="20"/>
        </w:rPr>
      </w:pPr>
      <w:r>
        <w:rPr>
          <w:rFonts w:cs="Arial"/>
          <w:sz w:val="22"/>
          <w:szCs w:val="22"/>
        </w:rPr>
        <w:t xml:space="preserve"> </w:t>
      </w:r>
    </w:p>
    <w:p w14:paraId="62174DF0" w14:textId="3B334229" w:rsidR="005175FF" w:rsidRPr="005175FF" w:rsidRDefault="005175FF" w:rsidP="005175FF">
      <w:pPr>
        <w:kinsoku w:val="0"/>
        <w:overflowPunct w:val="0"/>
        <w:autoSpaceDE w:val="0"/>
        <w:autoSpaceDN w:val="0"/>
        <w:adjustRightInd w:val="0"/>
        <w:ind w:left="39" w:right="49"/>
        <w:rPr>
          <w:rFonts w:eastAsia="Calibri"/>
          <w:sz w:val="20"/>
          <w:szCs w:val="20"/>
        </w:rPr>
      </w:pPr>
      <w:r>
        <w:rPr>
          <w:sz w:val="20"/>
          <w:szCs w:val="20"/>
          <w:vertAlign w:val="superscript"/>
        </w:rPr>
        <w:t>“</w:t>
      </w:r>
      <w:r w:rsidRPr="005175FF">
        <w:rPr>
          <w:sz w:val="20"/>
          <w:szCs w:val="20"/>
          <w:vertAlign w:val="superscript"/>
        </w:rPr>
        <w:t>76</w:t>
      </w:r>
      <w:r>
        <w:rPr>
          <w:sz w:val="20"/>
          <w:szCs w:val="20"/>
        </w:rPr>
        <w:t xml:space="preserve">CORF assumes a power 25 </w:t>
      </w:r>
      <w:proofErr w:type="spellStart"/>
      <w:r>
        <w:rPr>
          <w:sz w:val="20"/>
          <w:szCs w:val="20"/>
        </w:rPr>
        <w:t>dBW</w:t>
      </w:r>
      <w:proofErr w:type="spellEnd"/>
      <w:r>
        <w:rPr>
          <w:sz w:val="20"/>
          <w:szCs w:val="20"/>
        </w:rPr>
        <w:t xml:space="preserve">/MHz for unlicensed devices. </w:t>
      </w:r>
      <w:r>
        <w:rPr>
          <w:i/>
          <w:iCs/>
          <w:sz w:val="20"/>
          <w:szCs w:val="20"/>
        </w:rPr>
        <w:t xml:space="preserve">See </w:t>
      </w:r>
      <w:r>
        <w:rPr>
          <w:sz w:val="20"/>
          <w:szCs w:val="20"/>
        </w:rPr>
        <w:t xml:space="preserve">CORF Comments at 17. Our rules will only permit a maximum peak power of 43 dBm for unlicensed devices. </w:t>
      </w:r>
      <w:r>
        <w:rPr>
          <w:i/>
          <w:iCs/>
          <w:sz w:val="20"/>
          <w:szCs w:val="20"/>
        </w:rPr>
        <w:t xml:space="preserve">See </w:t>
      </w:r>
      <w:r>
        <w:rPr>
          <w:sz w:val="20"/>
          <w:szCs w:val="20"/>
        </w:rPr>
        <w:t xml:space="preserve">Appx. A, § 15.258(a)(1). We are only considering the power levels for non-point-to-point systems as CORF acknowledges the low probability of main beam to main beam coupling between point-to point-systems and radio astronomy receivers. </w:t>
      </w:r>
      <w:r>
        <w:rPr>
          <w:i/>
          <w:iCs/>
          <w:sz w:val="20"/>
          <w:szCs w:val="20"/>
        </w:rPr>
        <w:t xml:space="preserve">See </w:t>
      </w:r>
      <w:r>
        <w:rPr>
          <w:sz w:val="20"/>
          <w:szCs w:val="20"/>
        </w:rPr>
        <w:t>CORF Comments at 17-18.”</w:t>
      </w:r>
    </w:p>
    <w:p w14:paraId="05DA040D" w14:textId="6734D194" w:rsidR="005175FF" w:rsidRDefault="005175FF" w:rsidP="006D7941">
      <w:pPr>
        <w:pStyle w:val="p1"/>
        <w:rPr>
          <w:rFonts w:cs="Arial"/>
          <w:sz w:val="22"/>
          <w:szCs w:val="22"/>
        </w:rPr>
      </w:pPr>
    </w:p>
    <w:p w14:paraId="19ED21A2" w14:textId="1C117AB7" w:rsidR="00E84B16" w:rsidRDefault="005175FF" w:rsidP="006D7941">
      <w:pPr>
        <w:pStyle w:val="p1"/>
        <w:rPr>
          <w:rFonts w:cs="Arial"/>
          <w:sz w:val="22"/>
          <w:szCs w:val="22"/>
        </w:rPr>
      </w:pPr>
      <w:r>
        <w:rPr>
          <w:rFonts w:cs="Arial"/>
          <w:sz w:val="22"/>
          <w:szCs w:val="22"/>
        </w:rPr>
        <w:t>Thus, the Commission interpret</w:t>
      </w:r>
      <w:r w:rsidR="00E84B16">
        <w:rPr>
          <w:rFonts w:cs="Arial"/>
          <w:sz w:val="22"/>
          <w:szCs w:val="22"/>
        </w:rPr>
        <w:t>s</w:t>
      </w:r>
      <w:r>
        <w:rPr>
          <w:rFonts w:cs="Arial"/>
          <w:sz w:val="22"/>
          <w:szCs w:val="22"/>
        </w:rPr>
        <w:t xml:space="preserve"> CORF’s use of 0 </w:t>
      </w:r>
      <w:proofErr w:type="spellStart"/>
      <w:r>
        <w:rPr>
          <w:rFonts w:cs="Arial"/>
          <w:sz w:val="22"/>
          <w:szCs w:val="22"/>
        </w:rPr>
        <w:t>dBi</w:t>
      </w:r>
      <w:proofErr w:type="spellEnd"/>
      <w:r>
        <w:rPr>
          <w:rFonts w:cs="Arial"/>
          <w:sz w:val="22"/>
          <w:szCs w:val="22"/>
        </w:rPr>
        <w:t xml:space="preserve"> RAS antenna gain, CORF’s explanation of why 0 </w:t>
      </w:r>
      <w:proofErr w:type="spellStart"/>
      <w:r>
        <w:rPr>
          <w:rFonts w:cs="Arial"/>
          <w:sz w:val="22"/>
          <w:szCs w:val="22"/>
        </w:rPr>
        <w:t>dBi</w:t>
      </w:r>
      <w:proofErr w:type="spellEnd"/>
      <w:r>
        <w:rPr>
          <w:rFonts w:cs="Arial"/>
          <w:sz w:val="22"/>
          <w:szCs w:val="22"/>
        </w:rPr>
        <w:t xml:space="preserve"> gain </w:t>
      </w:r>
      <w:r w:rsidR="00E84B16">
        <w:rPr>
          <w:rFonts w:cs="Arial"/>
          <w:sz w:val="22"/>
          <w:szCs w:val="22"/>
        </w:rPr>
        <w:t>is</w:t>
      </w:r>
      <w:r>
        <w:rPr>
          <w:rFonts w:cs="Arial"/>
          <w:sz w:val="22"/>
          <w:szCs w:val="22"/>
        </w:rPr>
        <w:t xml:space="preserve"> </w:t>
      </w:r>
      <w:r w:rsidR="00E84B16">
        <w:rPr>
          <w:rFonts w:cs="Arial"/>
          <w:sz w:val="22"/>
          <w:szCs w:val="22"/>
        </w:rPr>
        <w:t>standardly applied</w:t>
      </w:r>
      <w:r>
        <w:rPr>
          <w:rFonts w:cs="Arial"/>
          <w:sz w:val="22"/>
          <w:szCs w:val="22"/>
        </w:rPr>
        <w:t xml:space="preserve"> in such circumstances and </w:t>
      </w:r>
      <w:r w:rsidR="00643BF8">
        <w:rPr>
          <w:rFonts w:cs="Arial"/>
          <w:sz w:val="22"/>
          <w:szCs w:val="22"/>
        </w:rPr>
        <w:t xml:space="preserve">CORF’s calculated </w:t>
      </w:r>
      <w:r>
        <w:rPr>
          <w:rFonts w:cs="Arial"/>
          <w:sz w:val="22"/>
          <w:szCs w:val="22"/>
        </w:rPr>
        <w:t>separation distance</w:t>
      </w:r>
      <w:r w:rsidR="00643BF8">
        <w:rPr>
          <w:rFonts w:cs="Arial"/>
          <w:sz w:val="22"/>
          <w:szCs w:val="22"/>
        </w:rPr>
        <w:t>s</w:t>
      </w:r>
      <w:r w:rsidR="00E84B16">
        <w:rPr>
          <w:rFonts w:cs="Arial"/>
          <w:sz w:val="22"/>
          <w:szCs w:val="22"/>
        </w:rPr>
        <w:t xml:space="preserve">, </w:t>
      </w:r>
      <w:r w:rsidR="00643BF8">
        <w:rPr>
          <w:rFonts w:cs="Arial"/>
          <w:sz w:val="22"/>
          <w:szCs w:val="22"/>
        </w:rPr>
        <w:t>to imply</w:t>
      </w:r>
      <w:r w:rsidR="00E84B16">
        <w:rPr>
          <w:rFonts w:cs="Arial"/>
          <w:sz w:val="22"/>
          <w:szCs w:val="22"/>
        </w:rPr>
        <w:t xml:space="preserve"> that no interference could be received</w:t>
      </w:r>
      <w:r w:rsidR="00643BF8">
        <w:rPr>
          <w:rFonts w:cs="Arial"/>
          <w:sz w:val="22"/>
          <w:szCs w:val="22"/>
        </w:rPr>
        <w:t>, absent</w:t>
      </w:r>
      <w:r w:rsidR="00E84B16">
        <w:rPr>
          <w:rFonts w:cs="Arial"/>
          <w:sz w:val="22"/>
          <w:szCs w:val="22"/>
        </w:rPr>
        <w:t xml:space="preserve"> main-beam coupling. Moreover, the discussion implies that unlicensed devices should be considered</w:t>
      </w:r>
      <w:r w:rsidR="00643BF8">
        <w:rPr>
          <w:rFonts w:cs="Arial"/>
          <w:sz w:val="22"/>
          <w:szCs w:val="22"/>
        </w:rPr>
        <w:t>,</w:t>
      </w:r>
      <w:r w:rsidR="00E84B16">
        <w:rPr>
          <w:rFonts w:cs="Arial"/>
          <w:sz w:val="22"/>
          <w:szCs w:val="22"/>
        </w:rPr>
        <w:t xml:space="preserve"> because of the possibility of main-beam coupling</w:t>
      </w:r>
      <w:r w:rsidR="006C1D2B">
        <w:rPr>
          <w:rFonts w:cs="Arial"/>
          <w:sz w:val="22"/>
          <w:szCs w:val="22"/>
        </w:rPr>
        <w:t>.</w:t>
      </w:r>
    </w:p>
    <w:p w14:paraId="012A37F1" w14:textId="77777777" w:rsidR="00E84B16" w:rsidRDefault="00E84B16" w:rsidP="006D7941">
      <w:pPr>
        <w:pStyle w:val="p1"/>
        <w:rPr>
          <w:rFonts w:cs="Arial"/>
          <w:sz w:val="22"/>
          <w:szCs w:val="22"/>
        </w:rPr>
      </w:pPr>
    </w:p>
    <w:p w14:paraId="4D8FA77D" w14:textId="45813043" w:rsidR="006C1D2B" w:rsidRDefault="00E84B16" w:rsidP="006D7941">
      <w:pPr>
        <w:pStyle w:val="p1"/>
        <w:rPr>
          <w:rFonts w:cs="Arial"/>
          <w:sz w:val="22"/>
          <w:szCs w:val="22"/>
        </w:rPr>
      </w:pPr>
      <w:r>
        <w:rPr>
          <w:rFonts w:cs="Arial"/>
          <w:sz w:val="22"/>
          <w:szCs w:val="22"/>
        </w:rPr>
        <w:t xml:space="preserve">The </w:t>
      </w:r>
      <w:r w:rsidR="001665FF">
        <w:rPr>
          <w:rFonts w:cs="Arial"/>
          <w:sz w:val="22"/>
          <w:szCs w:val="22"/>
        </w:rPr>
        <w:t xml:space="preserve">R&amp;O then </w:t>
      </w:r>
      <w:r w:rsidR="0000214A">
        <w:rPr>
          <w:rFonts w:cs="Arial"/>
          <w:sz w:val="22"/>
          <w:szCs w:val="22"/>
        </w:rPr>
        <w:t>discusses the use of 12 dB (= 16</w:t>
      </w:r>
      <w:r w:rsidR="0043616C">
        <w:rPr>
          <w:rFonts w:cs="Arial"/>
          <w:sz w:val="22"/>
          <w:szCs w:val="22"/>
        </w:rPr>
        <w:t xml:space="preserve"> times</w:t>
      </w:r>
      <w:r w:rsidR="0000214A">
        <w:rPr>
          <w:rFonts w:cs="Arial"/>
          <w:sz w:val="22"/>
          <w:szCs w:val="22"/>
        </w:rPr>
        <w:t xml:space="preserve">) lower power and </w:t>
      </w:r>
      <w:r w:rsidR="001665FF">
        <w:rPr>
          <w:rFonts w:cs="Arial"/>
          <w:sz w:val="22"/>
          <w:szCs w:val="22"/>
        </w:rPr>
        <w:t>states</w:t>
      </w:r>
    </w:p>
    <w:p w14:paraId="3238AF21" w14:textId="77777777" w:rsidR="006C1D2B" w:rsidRDefault="006C1D2B" w:rsidP="006D7941">
      <w:pPr>
        <w:pStyle w:val="p1"/>
        <w:rPr>
          <w:rFonts w:cs="Arial"/>
          <w:sz w:val="22"/>
          <w:szCs w:val="22"/>
        </w:rPr>
      </w:pPr>
    </w:p>
    <w:p w14:paraId="7059096F" w14:textId="0804EB45" w:rsidR="005175FF" w:rsidRPr="006C1D2B" w:rsidRDefault="006C1D2B" w:rsidP="006D7941">
      <w:pPr>
        <w:pStyle w:val="p1"/>
        <w:rPr>
          <w:rFonts w:ascii="Times New Roman" w:hAnsi="Times New Roman"/>
          <w:sz w:val="22"/>
          <w:szCs w:val="22"/>
        </w:rPr>
      </w:pPr>
      <w:r w:rsidRPr="006C1D2B">
        <w:rPr>
          <w:rFonts w:ascii="Times New Roman" w:hAnsi="Times New Roman"/>
          <w:sz w:val="22"/>
          <w:szCs w:val="22"/>
        </w:rPr>
        <w:t xml:space="preserve">“If the analysis is adjusted to reflect the appropriate power level for unlicensed devices the separation distances would be reduced by a factor of four.” </w:t>
      </w:r>
    </w:p>
    <w:p w14:paraId="5E8989C4" w14:textId="68475ED7" w:rsidR="00EC4195" w:rsidRDefault="00EC4195" w:rsidP="006D7941">
      <w:pPr>
        <w:pStyle w:val="p1"/>
        <w:rPr>
          <w:rFonts w:cs="Arial"/>
          <w:sz w:val="22"/>
          <w:szCs w:val="22"/>
        </w:rPr>
      </w:pPr>
    </w:p>
    <w:p w14:paraId="32F0FCAB" w14:textId="71A6B469" w:rsidR="0000214A" w:rsidRDefault="005D7BD0" w:rsidP="006D7941">
      <w:pPr>
        <w:pStyle w:val="p1"/>
        <w:rPr>
          <w:rFonts w:cs="Arial"/>
          <w:sz w:val="22"/>
          <w:szCs w:val="22"/>
        </w:rPr>
      </w:pPr>
      <w:r>
        <w:rPr>
          <w:rFonts w:cs="Arial"/>
          <w:sz w:val="22"/>
          <w:szCs w:val="22"/>
        </w:rPr>
        <w:t xml:space="preserve">This is </w:t>
      </w:r>
      <w:r w:rsidR="008926CC">
        <w:rPr>
          <w:rFonts w:cs="Arial"/>
          <w:sz w:val="22"/>
          <w:szCs w:val="22"/>
        </w:rPr>
        <w:t>incorrect</w:t>
      </w:r>
      <w:r>
        <w:rPr>
          <w:rFonts w:cs="Arial"/>
          <w:sz w:val="22"/>
          <w:szCs w:val="22"/>
        </w:rPr>
        <w:t>.  Such</w:t>
      </w:r>
      <w:r w:rsidR="006C1D2B">
        <w:rPr>
          <w:rFonts w:cs="Arial"/>
          <w:sz w:val="22"/>
          <w:szCs w:val="22"/>
        </w:rPr>
        <w:t xml:space="preserve"> scaling is appropriate when atmospheric attenuation is</w:t>
      </w:r>
      <w:r w:rsidR="008926CC">
        <w:rPr>
          <w:rFonts w:cs="Arial"/>
          <w:sz w:val="22"/>
          <w:szCs w:val="22"/>
        </w:rPr>
        <w:t xml:space="preserve"> negligible</w:t>
      </w:r>
      <w:r w:rsidR="006C1D2B">
        <w:rPr>
          <w:rFonts w:cs="Arial"/>
          <w:sz w:val="22"/>
          <w:szCs w:val="22"/>
        </w:rPr>
        <w:t xml:space="preserve">, but it </w:t>
      </w:r>
      <w:r w:rsidR="00643BF8">
        <w:rPr>
          <w:rFonts w:cs="Arial"/>
          <w:sz w:val="22"/>
          <w:szCs w:val="22"/>
        </w:rPr>
        <w:t>inappropriate</w:t>
      </w:r>
      <w:r w:rsidR="006C1D2B">
        <w:rPr>
          <w:rFonts w:cs="Arial"/>
          <w:sz w:val="22"/>
          <w:szCs w:val="22"/>
        </w:rPr>
        <w:t xml:space="preserve"> for mm-wavelengths where a substantial portion of the attenuation in propagation calculations arises from the atmospheric </w:t>
      </w:r>
      <w:r w:rsidR="001665FF">
        <w:rPr>
          <w:rFonts w:cs="Arial"/>
          <w:sz w:val="22"/>
          <w:szCs w:val="22"/>
        </w:rPr>
        <w:t>absorption</w:t>
      </w:r>
      <w:r w:rsidR="006C1D2B">
        <w:rPr>
          <w:rFonts w:cs="Arial"/>
          <w:sz w:val="22"/>
          <w:szCs w:val="22"/>
        </w:rPr>
        <w:t xml:space="preserve">.  </w:t>
      </w:r>
      <w:r w:rsidR="001665FF">
        <w:rPr>
          <w:rFonts w:cs="Arial"/>
          <w:sz w:val="22"/>
          <w:szCs w:val="22"/>
        </w:rPr>
        <w:t>Moreover, i</w:t>
      </w:r>
      <w:r w:rsidR="00A950D2">
        <w:rPr>
          <w:rFonts w:cs="Arial"/>
          <w:sz w:val="22"/>
          <w:szCs w:val="22"/>
        </w:rPr>
        <w:t>t is incorrect in those cases where</w:t>
      </w:r>
      <w:r w:rsidR="001665FF">
        <w:rPr>
          <w:rFonts w:cs="Arial"/>
          <w:sz w:val="22"/>
          <w:szCs w:val="22"/>
        </w:rPr>
        <w:t xml:space="preserve"> </w:t>
      </w:r>
      <w:r w:rsidR="00643BF8">
        <w:rPr>
          <w:rFonts w:cs="Arial"/>
          <w:sz w:val="22"/>
          <w:szCs w:val="22"/>
        </w:rPr>
        <w:t>CORF’s</w:t>
      </w:r>
      <w:r w:rsidR="00A950D2">
        <w:rPr>
          <w:rFonts w:cs="Arial"/>
          <w:sz w:val="22"/>
          <w:szCs w:val="22"/>
        </w:rPr>
        <w:t xml:space="preserve"> </w:t>
      </w:r>
      <w:r w:rsidR="008926CC">
        <w:rPr>
          <w:rFonts w:cs="Arial"/>
          <w:sz w:val="22"/>
          <w:szCs w:val="22"/>
        </w:rPr>
        <w:t xml:space="preserve">calculated </w:t>
      </w:r>
      <w:r w:rsidR="00A950D2">
        <w:rPr>
          <w:rFonts w:cs="Arial"/>
          <w:sz w:val="22"/>
          <w:szCs w:val="22"/>
        </w:rPr>
        <w:t>separation distances are limited by the horizon</w:t>
      </w:r>
      <w:r w:rsidR="0000214A">
        <w:rPr>
          <w:rFonts w:cs="Arial"/>
          <w:sz w:val="22"/>
          <w:szCs w:val="22"/>
        </w:rPr>
        <w:t>.</w:t>
      </w:r>
      <w:r w:rsidR="00793FCC">
        <w:rPr>
          <w:rFonts w:cs="Arial"/>
          <w:sz w:val="22"/>
          <w:szCs w:val="22"/>
        </w:rPr>
        <w:t xml:space="preserve">  In </w:t>
      </w:r>
      <w:r w:rsidR="00D66382">
        <w:rPr>
          <w:rFonts w:cs="Arial"/>
          <w:sz w:val="22"/>
          <w:szCs w:val="22"/>
        </w:rPr>
        <w:t>Table 1 here,</w:t>
      </w:r>
      <w:r w:rsidR="001474F0">
        <w:rPr>
          <w:rFonts w:cs="Arial"/>
          <w:sz w:val="22"/>
          <w:szCs w:val="22"/>
        </w:rPr>
        <w:t xml:space="preserve"> NRAO</w:t>
      </w:r>
      <w:r w:rsidR="00793FCC">
        <w:rPr>
          <w:rFonts w:cs="Arial"/>
          <w:sz w:val="22"/>
          <w:szCs w:val="22"/>
        </w:rPr>
        <w:t xml:space="preserve"> re</w:t>
      </w:r>
      <w:r w:rsidR="00D66382">
        <w:rPr>
          <w:rFonts w:cs="Arial"/>
          <w:sz w:val="22"/>
          <w:szCs w:val="22"/>
        </w:rPr>
        <w:t>-</w:t>
      </w:r>
      <w:r w:rsidR="00793FCC">
        <w:rPr>
          <w:rFonts w:cs="Arial"/>
          <w:sz w:val="22"/>
          <w:szCs w:val="22"/>
        </w:rPr>
        <w:t>calculate</w:t>
      </w:r>
      <w:r w:rsidR="008926CC">
        <w:rPr>
          <w:rFonts w:cs="Arial"/>
          <w:sz w:val="22"/>
          <w:szCs w:val="22"/>
        </w:rPr>
        <w:t>d</w:t>
      </w:r>
      <w:r w:rsidR="00793FCC">
        <w:rPr>
          <w:rFonts w:cs="Arial"/>
          <w:sz w:val="22"/>
          <w:szCs w:val="22"/>
        </w:rPr>
        <w:t xml:space="preserve"> the separation distances in CORF’s</w:t>
      </w:r>
      <w:r w:rsidR="00AD1540" w:rsidRPr="00DD7154">
        <w:rPr>
          <w:rFonts w:cs="Arial"/>
          <w:sz w:val="22"/>
          <w:szCs w:val="22"/>
        </w:rPr>
        <w:t xml:space="preserve"> </w:t>
      </w:r>
      <w:r w:rsidR="008926CC">
        <w:rPr>
          <w:rFonts w:cs="Arial"/>
          <w:sz w:val="22"/>
          <w:szCs w:val="22"/>
        </w:rPr>
        <w:t>filing</w:t>
      </w:r>
      <w:r w:rsidR="00793FCC">
        <w:rPr>
          <w:rFonts w:cs="Arial"/>
          <w:sz w:val="22"/>
          <w:szCs w:val="22"/>
        </w:rPr>
        <w:t xml:space="preserve"> </w:t>
      </w:r>
      <w:r w:rsidR="001474F0">
        <w:rPr>
          <w:rFonts w:cs="Arial"/>
          <w:sz w:val="22"/>
          <w:szCs w:val="22"/>
        </w:rPr>
        <w:t xml:space="preserve">for 12 dB lower </w:t>
      </w:r>
      <w:proofErr w:type="spellStart"/>
      <w:r w:rsidR="001474F0">
        <w:rPr>
          <w:rFonts w:cs="Arial"/>
          <w:sz w:val="22"/>
          <w:szCs w:val="22"/>
        </w:rPr>
        <w:t>eirp</w:t>
      </w:r>
      <w:proofErr w:type="spellEnd"/>
      <w:r w:rsidR="001474F0">
        <w:rPr>
          <w:rFonts w:cs="Arial"/>
          <w:sz w:val="22"/>
          <w:szCs w:val="22"/>
        </w:rPr>
        <w:t xml:space="preserve">, </w:t>
      </w:r>
      <w:r w:rsidR="00793FCC">
        <w:rPr>
          <w:rFonts w:cs="Arial"/>
          <w:sz w:val="22"/>
          <w:szCs w:val="22"/>
        </w:rPr>
        <w:t>with new values highlighted in red</w:t>
      </w:r>
      <w:r>
        <w:rPr>
          <w:rFonts w:cs="Arial"/>
          <w:sz w:val="22"/>
          <w:szCs w:val="22"/>
        </w:rPr>
        <w:t>.  When there are differences they</w:t>
      </w:r>
      <w:r w:rsidR="001474F0">
        <w:rPr>
          <w:rFonts w:cs="Arial"/>
          <w:sz w:val="22"/>
          <w:szCs w:val="22"/>
        </w:rPr>
        <w:t xml:space="preserve"> are at most about</w:t>
      </w:r>
      <w:r>
        <w:rPr>
          <w:rFonts w:cs="Arial"/>
          <w:sz w:val="22"/>
          <w:szCs w:val="22"/>
        </w:rPr>
        <w:t xml:space="preserve"> 20%</w:t>
      </w:r>
      <w:r w:rsidR="001474F0">
        <w:rPr>
          <w:rFonts w:cs="Arial"/>
          <w:sz w:val="22"/>
          <w:szCs w:val="22"/>
        </w:rPr>
        <w:t>, not a factor 4, manifesting a</w:t>
      </w:r>
      <w:r>
        <w:rPr>
          <w:rFonts w:cs="Arial"/>
          <w:sz w:val="22"/>
          <w:szCs w:val="22"/>
        </w:rPr>
        <w:t xml:space="preserve"> </w:t>
      </w:r>
      <w:r w:rsidR="001474F0">
        <w:rPr>
          <w:rFonts w:cs="Arial"/>
          <w:sz w:val="22"/>
          <w:szCs w:val="22"/>
        </w:rPr>
        <w:t xml:space="preserve">seemingly </w:t>
      </w:r>
      <w:r>
        <w:rPr>
          <w:rFonts w:cs="Arial"/>
          <w:sz w:val="22"/>
          <w:szCs w:val="22"/>
        </w:rPr>
        <w:t>paradoxical aspect of relying on atmospheric attenuation to achieve compatibility.</w:t>
      </w:r>
    </w:p>
    <w:p w14:paraId="1C7493C1" w14:textId="77777777" w:rsidR="0000214A" w:rsidRDefault="0000214A" w:rsidP="006D7941">
      <w:pPr>
        <w:pStyle w:val="p1"/>
        <w:rPr>
          <w:rFonts w:cs="Arial"/>
          <w:sz w:val="22"/>
          <w:szCs w:val="22"/>
        </w:rPr>
      </w:pPr>
    </w:p>
    <w:p w14:paraId="654A20FC" w14:textId="34F0D314" w:rsidR="001C4CE2" w:rsidRDefault="008653D9" w:rsidP="006D7941">
      <w:pPr>
        <w:pStyle w:val="p1"/>
        <w:rPr>
          <w:rFonts w:cs="Arial"/>
          <w:sz w:val="22"/>
          <w:szCs w:val="22"/>
        </w:rPr>
      </w:pPr>
      <w:r>
        <w:rPr>
          <w:rFonts w:cs="Arial"/>
          <w:sz w:val="22"/>
          <w:szCs w:val="22"/>
        </w:rPr>
        <w:t xml:space="preserve">If the power level for unlicensed operations is </w:t>
      </w:r>
      <w:r w:rsidR="00D66382">
        <w:rPr>
          <w:rFonts w:cs="Arial"/>
          <w:sz w:val="22"/>
          <w:szCs w:val="22"/>
        </w:rPr>
        <w:t xml:space="preserve">really 25 – 12 = </w:t>
      </w:r>
      <w:r w:rsidR="001C4CE2">
        <w:rPr>
          <w:rFonts w:cs="Arial"/>
          <w:sz w:val="22"/>
          <w:szCs w:val="22"/>
        </w:rPr>
        <w:t xml:space="preserve">13 </w:t>
      </w:r>
      <w:proofErr w:type="spellStart"/>
      <w:r w:rsidR="001C4CE2">
        <w:rPr>
          <w:rFonts w:cs="Arial"/>
          <w:sz w:val="22"/>
          <w:szCs w:val="22"/>
        </w:rPr>
        <w:t>dBW</w:t>
      </w:r>
      <w:proofErr w:type="spellEnd"/>
      <w:r w:rsidR="001C4CE2">
        <w:rPr>
          <w:rFonts w:cs="Arial"/>
          <w:sz w:val="22"/>
          <w:szCs w:val="22"/>
        </w:rPr>
        <w:t xml:space="preserve">/MHz, the entries in Table 1 make clear that such unlicensed devices cannot operate compatibly </w:t>
      </w:r>
      <w:r w:rsidR="00D66382">
        <w:rPr>
          <w:rFonts w:cs="Arial"/>
          <w:sz w:val="22"/>
          <w:szCs w:val="22"/>
        </w:rPr>
        <w:t>within very large distances about</w:t>
      </w:r>
      <w:r w:rsidR="001C4CE2">
        <w:rPr>
          <w:rFonts w:cs="Arial"/>
          <w:sz w:val="22"/>
          <w:szCs w:val="22"/>
        </w:rPr>
        <w:t xml:space="preserve"> radio telescopes.</w:t>
      </w:r>
      <w:r w:rsidR="0000214A">
        <w:rPr>
          <w:rFonts w:cs="Arial"/>
          <w:sz w:val="22"/>
          <w:szCs w:val="22"/>
        </w:rPr>
        <w:t xml:space="preserve">  That said, the Commission may, in citing a 12 dB lower power for unlicensed devices, have conflated the 25 </w:t>
      </w:r>
      <w:proofErr w:type="spellStart"/>
      <w:r w:rsidR="0000214A">
        <w:rPr>
          <w:rFonts w:cs="Arial"/>
          <w:sz w:val="22"/>
          <w:szCs w:val="22"/>
        </w:rPr>
        <w:t>dBW</w:t>
      </w:r>
      <w:proofErr w:type="spellEnd"/>
      <w:r w:rsidR="0000214A">
        <w:rPr>
          <w:rFonts w:cs="Arial"/>
          <w:sz w:val="22"/>
          <w:szCs w:val="22"/>
        </w:rPr>
        <w:t xml:space="preserve">/MHz </w:t>
      </w:r>
      <w:proofErr w:type="spellStart"/>
      <w:r w:rsidR="0000214A">
        <w:rPr>
          <w:rFonts w:cs="Arial"/>
          <w:sz w:val="22"/>
          <w:szCs w:val="22"/>
        </w:rPr>
        <w:t>eirp</w:t>
      </w:r>
      <w:proofErr w:type="spellEnd"/>
      <w:r w:rsidR="0000214A">
        <w:rPr>
          <w:rFonts w:cs="Arial"/>
          <w:sz w:val="22"/>
          <w:szCs w:val="22"/>
        </w:rPr>
        <w:t xml:space="preserve"> density of the proposed fixed point-point transmitters</w:t>
      </w:r>
      <w:r w:rsidR="00643BF8">
        <w:rPr>
          <w:rFonts w:cs="Arial"/>
          <w:sz w:val="22"/>
          <w:szCs w:val="22"/>
        </w:rPr>
        <w:t xml:space="preserve"> in the NPRM</w:t>
      </w:r>
      <w:r w:rsidR="0000214A">
        <w:rPr>
          <w:rFonts w:cs="Arial"/>
          <w:sz w:val="22"/>
          <w:szCs w:val="22"/>
        </w:rPr>
        <w:t xml:space="preserve"> with the peak total </w:t>
      </w:r>
      <w:proofErr w:type="spellStart"/>
      <w:r w:rsidR="0000214A">
        <w:rPr>
          <w:rFonts w:cs="Arial"/>
          <w:sz w:val="22"/>
          <w:szCs w:val="22"/>
        </w:rPr>
        <w:t>eirp</w:t>
      </w:r>
      <w:proofErr w:type="spellEnd"/>
      <w:r w:rsidR="0000214A">
        <w:rPr>
          <w:rFonts w:cs="Arial"/>
          <w:sz w:val="22"/>
          <w:szCs w:val="22"/>
        </w:rPr>
        <w:t xml:space="preserve"> of 43 dBm = 13 </w:t>
      </w:r>
      <w:proofErr w:type="spellStart"/>
      <w:r w:rsidR="0000214A">
        <w:rPr>
          <w:rFonts w:cs="Arial"/>
          <w:sz w:val="22"/>
          <w:szCs w:val="22"/>
        </w:rPr>
        <w:t>dBW</w:t>
      </w:r>
      <w:proofErr w:type="spellEnd"/>
      <w:r w:rsidR="0000214A">
        <w:rPr>
          <w:rFonts w:cs="Arial"/>
          <w:sz w:val="22"/>
          <w:szCs w:val="22"/>
        </w:rPr>
        <w:t xml:space="preserve"> for </w:t>
      </w:r>
      <w:r w:rsidR="0000214A">
        <w:rPr>
          <w:rFonts w:cs="Arial"/>
          <w:sz w:val="22"/>
          <w:szCs w:val="22"/>
        </w:rPr>
        <w:lastRenderedPageBreak/>
        <w:t>unlicensed device</w:t>
      </w:r>
      <w:r w:rsidR="00D66382">
        <w:rPr>
          <w:rFonts w:cs="Arial"/>
          <w:sz w:val="22"/>
          <w:szCs w:val="22"/>
        </w:rPr>
        <w:t>s</w:t>
      </w:r>
      <w:r w:rsidR="00643BF8">
        <w:rPr>
          <w:rFonts w:cs="Arial"/>
          <w:sz w:val="22"/>
          <w:szCs w:val="22"/>
        </w:rPr>
        <w:t xml:space="preserve"> in the R&amp;O</w:t>
      </w:r>
      <w:r w:rsidR="00D66382">
        <w:rPr>
          <w:rFonts w:cs="Arial"/>
          <w:sz w:val="22"/>
          <w:szCs w:val="22"/>
        </w:rPr>
        <w:t>.  This could in some cases imply</w:t>
      </w:r>
      <w:r w:rsidR="0000214A">
        <w:rPr>
          <w:rFonts w:cs="Arial"/>
          <w:sz w:val="22"/>
          <w:szCs w:val="22"/>
        </w:rPr>
        <w:t xml:space="preserve"> somewhat s</w:t>
      </w:r>
      <w:r w:rsidR="00D66382">
        <w:rPr>
          <w:rFonts w:cs="Arial"/>
          <w:sz w:val="22"/>
          <w:szCs w:val="22"/>
        </w:rPr>
        <w:t>maller</w:t>
      </w:r>
      <w:r w:rsidR="0000214A">
        <w:rPr>
          <w:rFonts w:cs="Arial"/>
          <w:sz w:val="22"/>
          <w:szCs w:val="22"/>
        </w:rPr>
        <w:t xml:space="preserve"> separation distances for unlicensed devices having bandwidth</w:t>
      </w:r>
      <w:r w:rsidR="00D66382">
        <w:rPr>
          <w:rFonts w:cs="Arial"/>
          <w:sz w:val="22"/>
          <w:szCs w:val="22"/>
        </w:rPr>
        <w:t>s</w:t>
      </w:r>
      <w:r w:rsidR="0000214A">
        <w:rPr>
          <w:rFonts w:cs="Arial"/>
          <w:sz w:val="22"/>
          <w:szCs w:val="22"/>
        </w:rPr>
        <w:t xml:space="preserve"> </w:t>
      </w:r>
      <w:r w:rsidR="00D66382">
        <w:rPr>
          <w:rFonts w:cs="Arial"/>
          <w:sz w:val="22"/>
          <w:szCs w:val="22"/>
        </w:rPr>
        <w:t xml:space="preserve">well </w:t>
      </w:r>
      <w:r w:rsidR="0000214A">
        <w:rPr>
          <w:rFonts w:cs="Arial"/>
          <w:sz w:val="22"/>
          <w:szCs w:val="22"/>
        </w:rPr>
        <w:t xml:space="preserve">in excess of 1 </w:t>
      </w:r>
      <w:proofErr w:type="spellStart"/>
      <w:r w:rsidR="0000214A">
        <w:rPr>
          <w:rFonts w:cs="Arial"/>
          <w:sz w:val="22"/>
          <w:szCs w:val="22"/>
        </w:rPr>
        <w:t>MHz</w:t>
      </w:r>
      <w:r w:rsidR="00D66382">
        <w:rPr>
          <w:rFonts w:cs="Arial"/>
          <w:sz w:val="22"/>
          <w:szCs w:val="22"/>
        </w:rPr>
        <w:t>.</w:t>
      </w:r>
      <w:proofErr w:type="spellEnd"/>
    </w:p>
    <w:p w14:paraId="3C49DF39" w14:textId="77777777" w:rsidR="00665391" w:rsidRDefault="00665391" w:rsidP="008926CC">
      <w:pPr>
        <w:pStyle w:val="p1"/>
        <w:rPr>
          <w:rFonts w:cs="Arial"/>
          <w:sz w:val="22"/>
          <w:szCs w:val="22"/>
        </w:rPr>
      </w:pPr>
    </w:p>
    <w:p w14:paraId="2230F8A4" w14:textId="539265CE" w:rsidR="005D7BD0" w:rsidRDefault="005D7BD0" w:rsidP="005D7BD0">
      <w:pPr>
        <w:pStyle w:val="p1"/>
        <w:jc w:val="center"/>
        <w:rPr>
          <w:rFonts w:cs="Arial"/>
          <w:sz w:val="22"/>
          <w:szCs w:val="22"/>
        </w:rPr>
      </w:pPr>
      <w:r>
        <w:rPr>
          <w:rFonts w:cs="Arial"/>
          <w:sz w:val="22"/>
          <w:szCs w:val="22"/>
        </w:rPr>
        <w:t xml:space="preserve">Table 1:  CORF’s Table 1 with red highlighted values </w:t>
      </w:r>
      <w:r w:rsidR="001C4CE2">
        <w:rPr>
          <w:rFonts w:cs="Arial"/>
          <w:sz w:val="22"/>
          <w:szCs w:val="22"/>
        </w:rPr>
        <w:t>re-</w:t>
      </w:r>
      <w:r>
        <w:rPr>
          <w:rFonts w:cs="Arial"/>
          <w:sz w:val="22"/>
          <w:szCs w:val="22"/>
        </w:rPr>
        <w:t xml:space="preserve">calculated for </w:t>
      </w:r>
      <w:r w:rsidR="00665391">
        <w:rPr>
          <w:rFonts w:cs="Arial"/>
          <w:sz w:val="22"/>
          <w:szCs w:val="22"/>
        </w:rPr>
        <w:t>12 dB lower power</w:t>
      </w:r>
    </w:p>
    <w:p w14:paraId="0E0E22C2" w14:textId="4F58208D" w:rsidR="00793FCC" w:rsidRDefault="00793FCC" w:rsidP="006D7941">
      <w:pPr>
        <w:pStyle w:val="p1"/>
        <w:rPr>
          <w:rFonts w:cs="Arial"/>
          <w:sz w:val="22"/>
          <w:szCs w:val="22"/>
        </w:rPr>
      </w:pPr>
    </w:p>
    <w:tbl>
      <w:tblPr>
        <w:tblW w:w="9150"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1"/>
        <w:gridCol w:w="1954"/>
        <w:gridCol w:w="1345"/>
        <w:gridCol w:w="1350"/>
        <w:gridCol w:w="1744"/>
        <w:gridCol w:w="1406"/>
      </w:tblGrid>
      <w:tr w:rsidR="00793FCC" w14:paraId="1C84E928" w14:textId="77777777" w:rsidTr="00793FCC">
        <w:trPr>
          <w:trHeight w:val="1588"/>
        </w:trPr>
        <w:tc>
          <w:tcPr>
            <w:tcW w:w="1351" w:type="dxa"/>
          </w:tcPr>
          <w:p w14:paraId="3EDC1694" w14:textId="77777777" w:rsidR="00793FCC" w:rsidRDefault="00793FCC" w:rsidP="00D66382">
            <w:pPr>
              <w:pStyle w:val="TableParagraph"/>
              <w:spacing w:line="278" w:lineRule="auto"/>
              <w:ind w:left="107" w:right="80"/>
              <w:rPr>
                <w:sz w:val="24"/>
              </w:rPr>
            </w:pPr>
            <w:r>
              <w:rPr>
                <w:sz w:val="24"/>
              </w:rPr>
              <w:t>Frequency (GHz)</w:t>
            </w:r>
          </w:p>
        </w:tc>
        <w:tc>
          <w:tcPr>
            <w:tcW w:w="1954" w:type="dxa"/>
          </w:tcPr>
          <w:p w14:paraId="1C5AFCFE" w14:textId="77777777" w:rsidR="00793FCC" w:rsidRDefault="00793FCC" w:rsidP="00D66382">
            <w:pPr>
              <w:pStyle w:val="TableParagraph"/>
              <w:ind w:left="107"/>
              <w:rPr>
                <w:sz w:val="24"/>
              </w:rPr>
            </w:pPr>
            <w:r>
              <w:rPr>
                <w:sz w:val="24"/>
              </w:rPr>
              <w:t>RA.769</w:t>
            </w:r>
          </w:p>
          <w:p w14:paraId="69A862DB" w14:textId="77777777" w:rsidR="00793FCC" w:rsidRDefault="00793FCC" w:rsidP="00D66382">
            <w:pPr>
              <w:pStyle w:val="TableParagraph"/>
              <w:spacing w:before="9" w:line="310" w:lineRule="atLeast"/>
              <w:ind w:left="107"/>
              <w:rPr>
                <w:sz w:val="24"/>
              </w:rPr>
            </w:pPr>
            <w:r>
              <w:rPr>
                <w:sz w:val="24"/>
              </w:rPr>
              <w:t>threshold for spectral line observations (dB(W/(m</w:t>
            </w:r>
            <w:r>
              <w:rPr>
                <w:position w:val="8"/>
                <w:sz w:val="16"/>
              </w:rPr>
              <w:t xml:space="preserve">2 </w:t>
            </w:r>
            <w:r>
              <w:rPr>
                <w:sz w:val="24"/>
              </w:rPr>
              <w:t>Hz)))</w:t>
            </w:r>
          </w:p>
        </w:tc>
        <w:tc>
          <w:tcPr>
            <w:tcW w:w="1345" w:type="dxa"/>
          </w:tcPr>
          <w:p w14:paraId="7BE54971" w14:textId="77777777" w:rsidR="00793FCC" w:rsidRDefault="00793FCC" w:rsidP="00D66382">
            <w:pPr>
              <w:pStyle w:val="TableParagraph"/>
              <w:spacing w:line="276" w:lineRule="auto"/>
              <w:ind w:right="78"/>
              <w:rPr>
                <w:sz w:val="24"/>
              </w:rPr>
            </w:pPr>
            <w:r>
              <w:rPr>
                <w:sz w:val="24"/>
              </w:rPr>
              <w:t xml:space="preserve">Atmospheric Attenuation </w:t>
            </w:r>
            <w:proofErr w:type="spellStart"/>
            <w:r>
              <w:rPr>
                <w:sz w:val="24"/>
              </w:rPr>
              <w:t>Kitt</w:t>
            </w:r>
            <w:proofErr w:type="spellEnd"/>
            <w:r>
              <w:rPr>
                <w:sz w:val="24"/>
              </w:rPr>
              <w:t xml:space="preserve"> Peak, Arizona</w:t>
            </w:r>
          </w:p>
          <w:p w14:paraId="263F64BF" w14:textId="77777777" w:rsidR="00793FCC" w:rsidRDefault="00793FCC" w:rsidP="00D66382">
            <w:pPr>
              <w:pStyle w:val="TableParagraph"/>
              <w:rPr>
                <w:sz w:val="24"/>
              </w:rPr>
            </w:pPr>
            <w:r>
              <w:rPr>
                <w:sz w:val="24"/>
              </w:rPr>
              <w:t>(dB/km)</w:t>
            </w:r>
          </w:p>
        </w:tc>
        <w:tc>
          <w:tcPr>
            <w:tcW w:w="1350" w:type="dxa"/>
          </w:tcPr>
          <w:p w14:paraId="6908AE0E" w14:textId="77777777" w:rsidR="00793FCC" w:rsidRDefault="00793FCC" w:rsidP="00D66382">
            <w:pPr>
              <w:pStyle w:val="TableParagraph"/>
              <w:spacing w:line="276" w:lineRule="auto"/>
              <w:ind w:right="80"/>
              <w:rPr>
                <w:sz w:val="24"/>
              </w:rPr>
            </w:pPr>
            <w:r>
              <w:rPr>
                <w:sz w:val="24"/>
              </w:rPr>
              <w:t xml:space="preserve">Avoidance Distance </w:t>
            </w:r>
            <w:proofErr w:type="spellStart"/>
            <w:r>
              <w:rPr>
                <w:sz w:val="24"/>
              </w:rPr>
              <w:t>Kitt</w:t>
            </w:r>
            <w:proofErr w:type="spellEnd"/>
            <w:r>
              <w:rPr>
                <w:sz w:val="24"/>
              </w:rPr>
              <w:t xml:space="preserve"> Peak, Arizona</w:t>
            </w:r>
          </w:p>
          <w:p w14:paraId="0D0A318C" w14:textId="77777777" w:rsidR="00793FCC" w:rsidRDefault="00793FCC" w:rsidP="00D66382">
            <w:pPr>
              <w:pStyle w:val="TableParagraph"/>
              <w:rPr>
                <w:sz w:val="24"/>
              </w:rPr>
            </w:pPr>
            <w:r>
              <w:rPr>
                <w:sz w:val="24"/>
              </w:rPr>
              <w:t>(km)</w:t>
            </w:r>
          </w:p>
        </w:tc>
        <w:tc>
          <w:tcPr>
            <w:tcW w:w="1744" w:type="dxa"/>
          </w:tcPr>
          <w:p w14:paraId="5B1B6EE5" w14:textId="44A8C780" w:rsidR="00793FCC" w:rsidRDefault="00793FCC" w:rsidP="00D66382">
            <w:pPr>
              <w:pStyle w:val="TableParagraph"/>
              <w:spacing w:line="276" w:lineRule="auto"/>
              <w:ind w:left="109" w:right="77"/>
              <w:rPr>
                <w:sz w:val="24"/>
              </w:rPr>
            </w:pPr>
            <w:r>
              <w:rPr>
                <w:sz w:val="24"/>
              </w:rPr>
              <w:t>Atmospheric Attenuation Mauna Kea, Hawaii</w:t>
            </w:r>
          </w:p>
          <w:p w14:paraId="467A3962" w14:textId="77777777" w:rsidR="00793FCC" w:rsidRDefault="00793FCC" w:rsidP="00D66382">
            <w:pPr>
              <w:pStyle w:val="TableParagraph"/>
              <w:ind w:left="109"/>
              <w:rPr>
                <w:sz w:val="24"/>
              </w:rPr>
            </w:pPr>
            <w:r>
              <w:rPr>
                <w:sz w:val="24"/>
              </w:rPr>
              <w:t>(dB/km)</w:t>
            </w:r>
          </w:p>
        </w:tc>
        <w:tc>
          <w:tcPr>
            <w:tcW w:w="1406" w:type="dxa"/>
          </w:tcPr>
          <w:p w14:paraId="59F8378C" w14:textId="77777777" w:rsidR="00793FCC" w:rsidRDefault="00793FCC" w:rsidP="00D66382">
            <w:pPr>
              <w:pStyle w:val="TableParagraph"/>
              <w:spacing w:line="276" w:lineRule="auto"/>
              <w:ind w:left="110" w:right="86"/>
              <w:rPr>
                <w:sz w:val="24"/>
              </w:rPr>
            </w:pPr>
            <w:r>
              <w:rPr>
                <w:sz w:val="24"/>
              </w:rPr>
              <w:t>Avoidance Distance Mauna Kea,</w:t>
            </w:r>
          </w:p>
          <w:p w14:paraId="2277D29F" w14:textId="77777777" w:rsidR="00793FCC" w:rsidRDefault="00793FCC" w:rsidP="00D66382">
            <w:pPr>
              <w:pStyle w:val="TableParagraph"/>
              <w:spacing w:before="1"/>
              <w:ind w:left="110"/>
              <w:rPr>
                <w:sz w:val="24"/>
              </w:rPr>
            </w:pPr>
            <w:r>
              <w:rPr>
                <w:sz w:val="24"/>
              </w:rPr>
              <w:t>Hawaii</w:t>
            </w:r>
          </w:p>
          <w:p w14:paraId="69D7F2A7" w14:textId="77777777" w:rsidR="00793FCC" w:rsidRDefault="00793FCC" w:rsidP="00D66382">
            <w:pPr>
              <w:pStyle w:val="TableParagraph"/>
              <w:spacing w:before="40"/>
              <w:ind w:left="110"/>
              <w:rPr>
                <w:sz w:val="24"/>
              </w:rPr>
            </w:pPr>
            <w:r>
              <w:rPr>
                <w:sz w:val="24"/>
              </w:rPr>
              <w:t>(km)</w:t>
            </w:r>
          </w:p>
        </w:tc>
      </w:tr>
      <w:tr w:rsidR="00793FCC" w14:paraId="2A5E2D9F" w14:textId="77777777" w:rsidTr="00793FCC">
        <w:trPr>
          <w:trHeight w:val="551"/>
        </w:trPr>
        <w:tc>
          <w:tcPr>
            <w:tcW w:w="1351" w:type="dxa"/>
          </w:tcPr>
          <w:p w14:paraId="31F15A01" w14:textId="77777777" w:rsidR="00793FCC" w:rsidRDefault="00793FCC" w:rsidP="00D66382">
            <w:pPr>
              <w:pStyle w:val="TableParagraph"/>
              <w:ind w:left="107"/>
              <w:rPr>
                <w:sz w:val="24"/>
              </w:rPr>
            </w:pPr>
            <w:r>
              <w:rPr>
                <w:sz w:val="24"/>
              </w:rPr>
              <w:t>98</w:t>
            </w:r>
          </w:p>
        </w:tc>
        <w:tc>
          <w:tcPr>
            <w:tcW w:w="1954" w:type="dxa"/>
          </w:tcPr>
          <w:p w14:paraId="1316B43A" w14:textId="77777777" w:rsidR="00793FCC" w:rsidRDefault="00793FCC" w:rsidP="00D66382">
            <w:pPr>
              <w:pStyle w:val="TableParagraph"/>
              <w:ind w:left="107"/>
              <w:rPr>
                <w:sz w:val="24"/>
              </w:rPr>
            </w:pPr>
            <w:r>
              <w:rPr>
                <w:sz w:val="24"/>
              </w:rPr>
              <w:t>-208</w:t>
            </w:r>
          </w:p>
        </w:tc>
        <w:tc>
          <w:tcPr>
            <w:tcW w:w="1345" w:type="dxa"/>
          </w:tcPr>
          <w:p w14:paraId="690CE312" w14:textId="77777777" w:rsidR="00793FCC" w:rsidRDefault="00793FCC" w:rsidP="00D66382">
            <w:pPr>
              <w:pStyle w:val="TableParagraph"/>
              <w:rPr>
                <w:sz w:val="24"/>
              </w:rPr>
            </w:pPr>
            <w:r>
              <w:rPr>
                <w:sz w:val="24"/>
              </w:rPr>
              <w:t>0.16</w:t>
            </w:r>
          </w:p>
        </w:tc>
        <w:tc>
          <w:tcPr>
            <w:tcW w:w="1350" w:type="dxa"/>
          </w:tcPr>
          <w:p w14:paraId="2E7006C0" w14:textId="3140208B" w:rsidR="00793FCC" w:rsidRDefault="00793FCC" w:rsidP="00D66382">
            <w:pPr>
              <w:pStyle w:val="TableParagraph"/>
              <w:rPr>
                <w:sz w:val="24"/>
              </w:rPr>
            </w:pPr>
            <w:r>
              <w:rPr>
                <w:sz w:val="24"/>
              </w:rPr>
              <w:t xml:space="preserve">130       </w:t>
            </w:r>
            <w:r w:rsidRPr="00793FCC">
              <w:rPr>
                <w:sz w:val="24"/>
                <w:highlight w:val="red"/>
              </w:rPr>
              <w:t>130</w:t>
            </w:r>
          </w:p>
        </w:tc>
        <w:tc>
          <w:tcPr>
            <w:tcW w:w="1744" w:type="dxa"/>
          </w:tcPr>
          <w:p w14:paraId="1ABFCC18" w14:textId="77777777" w:rsidR="00793FCC" w:rsidRDefault="00793FCC" w:rsidP="00D66382">
            <w:pPr>
              <w:pStyle w:val="TableParagraph"/>
              <w:ind w:left="109"/>
              <w:rPr>
                <w:sz w:val="24"/>
              </w:rPr>
            </w:pPr>
            <w:r>
              <w:rPr>
                <w:sz w:val="24"/>
              </w:rPr>
              <w:t>0.07</w:t>
            </w:r>
          </w:p>
        </w:tc>
        <w:tc>
          <w:tcPr>
            <w:tcW w:w="1406" w:type="dxa"/>
          </w:tcPr>
          <w:p w14:paraId="4B056E1D" w14:textId="6234B653" w:rsidR="00793FCC" w:rsidRDefault="00793FCC" w:rsidP="00D66382">
            <w:pPr>
              <w:pStyle w:val="TableParagraph"/>
              <w:ind w:left="110"/>
              <w:rPr>
                <w:sz w:val="24"/>
              </w:rPr>
            </w:pPr>
            <w:r>
              <w:rPr>
                <w:sz w:val="24"/>
              </w:rPr>
              <w:t xml:space="preserve">270       </w:t>
            </w:r>
            <w:r w:rsidRPr="00793FCC">
              <w:rPr>
                <w:sz w:val="24"/>
                <w:highlight w:val="red"/>
              </w:rPr>
              <w:t>270</w:t>
            </w:r>
          </w:p>
        </w:tc>
      </w:tr>
      <w:tr w:rsidR="00793FCC" w14:paraId="7F093D43" w14:textId="77777777" w:rsidTr="00793FCC">
        <w:trPr>
          <w:trHeight w:val="551"/>
        </w:trPr>
        <w:tc>
          <w:tcPr>
            <w:tcW w:w="1351" w:type="dxa"/>
          </w:tcPr>
          <w:p w14:paraId="7A08F37E" w14:textId="77777777" w:rsidR="00793FCC" w:rsidRDefault="00793FCC" w:rsidP="00D66382">
            <w:pPr>
              <w:pStyle w:val="TableParagraph"/>
              <w:ind w:left="107"/>
              <w:rPr>
                <w:sz w:val="24"/>
              </w:rPr>
            </w:pPr>
            <w:r>
              <w:rPr>
                <w:sz w:val="24"/>
              </w:rPr>
              <w:t>105</w:t>
            </w:r>
          </w:p>
        </w:tc>
        <w:tc>
          <w:tcPr>
            <w:tcW w:w="1954" w:type="dxa"/>
          </w:tcPr>
          <w:p w14:paraId="44721498" w14:textId="77777777" w:rsidR="00793FCC" w:rsidRDefault="00793FCC" w:rsidP="00D66382">
            <w:pPr>
              <w:pStyle w:val="TableParagraph"/>
              <w:ind w:left="107"/>
              <w:rPr>
                <w:sz w:val="24"/>
              </w:rPr>
            </w:pPr>
            <w:r>
              <w:rPr>
                <w:sz w:val="24"/>
              </w:rPr>
              <w:t>-208</w:t>
            </w:r>
          </w:p>
        </w:tc>
        <w:tc>
          <w:tcPr>
            <w:tcW w:w="1345" w:type="dxa"/>
          </w:tcPr>
          <w:p w14:paraId="678CF3BE" w14:textId="77777777" w:rsidR="00793FCC" w:rsidRDefault="00793FCC" w:rsidP="00D66382">
            <w:pPr>
              <w:pStyle w:val="TableParagraph"/>
              <w:rPr>
                <w:sz w:val="24"/>
              </w:rPr>
            </w:pPr>
            <w:r>
              <w:rPr>
                <w:sz w:val="24"/>
              </w:rPr>
              <w:t>0.18</w:t>
            </w:r>
          </w:p>
        </w:tc>
        <w:tc>
          <w:tcPr>
            <w:tcW w:w="1350" w:type="dxa"/>
          </w:tcPr>
          <w:p w14:paraId="256FA8C6" w14:textId="1EAF12AA" w:rsidR="00793FCC" w:rsidRDefault="00793FCC" w:rsidP="00D66382">
            <w:pPr>
              <w:pStyle w:val="TableParagraph"/>
              <w:rPr>
                <w:sz w:val="24"/>
              </w:rPr>
            </w:pPr>
            <w:r>
              <w:rPr>
                <w:sz w:val="24"/>
              </w:rPr>
              <w:t xml:space="preserve">130       </w:t>
            </w:r>
            <w:r w:rsidRPr="00793FCC">
              <w:rPr>
                <w:sz w:val="24"/>
                <w:highlight w:val="red"/>
              </w:rPr>
              <w:t>130</w:t>
            </w:r>
          </w:p>
        </w:tc>
        <w:tc>
          <w:tcPr>
            <w:tcW w:w="1744" w:type="dxa"/>
          </w:tcPr>
          <w:p w14:paraId="47AA8B39" w14:textId="77777777" w:rsidR="00793FCC" w:rsidRDefault="00793FCC" w:rsidP="00D66382">
            <w:pPr>
              <w:pStyle w:val="TableParagraph"/>
              <w:ind w:left="109"/>
              <w:rPr>
                <w:sz w:val="24"/>
              </w:rPr>
            </w:pPr>
            <w:r>
              <w:rPr>
                <w:sz w:val="24"/>
              </w:rPr>
              <w:t>0.08</w:t>
            </w:r>
          </w:p>
        </w:tc>
        <w:tc>
          <w:tcPr>
            <w:tcW w:w="1406" w:type="dxa"/>
          </w:tcPr>
          <w:p w14:paraId="74ABD4A2" w14:textId="7ED30898" w:rsidR="00793FCC" w:rsidRDefault="00793FCC" w:rsidP="00D66382">
            <w:pPr>
              <w:pStyle w:val="TableParagraph"/>
              <w:ind w:left="110"/>
              <w:rPr>
                <w:sz w:val="24"/>
              </w:rPr>
            </w:pPr>
            <w:r>
              <w:rPr>
                <w:sz w:val="24"/>
              </w:rPr>
              <w:t xml:space="preserve">270       </w:t>
            </w:r>
            <w:r w:rsidRPr="00793FCC">
              <w:rPr>
                <w:sz w:val="24"/>
                <w:highlight w:val="red"/>
              </w:rPr>
              <w:t>270</w:t>
            </w:r>
          </w:p>
        </w:tc>
      </w:tr>
      <w:tr w:rsidR="00793FCC" w14:paraId="3FB1C0E9" w14:textId="77777777" w:rsidTr="00793FCC">
        <w:trPr>
          <w:trHeight w:val="551"/>
        </w:trPr>
        <w:tc>
          <w:tcPr>
            <w:tcW w:w="1351" w:type="dxa"/>
          </w:tcPr>
          <w:p w14:paraId="208041A2" w14:textId="77777777" w:rsidR="00793FCC" w:rsidRDefault="00793FCC" w:rsidP="00D66382">
            <w:pPr>
              <w:pStyle w:val="TableParagraph"/>
              <w:ind w:left="107"/>
              <w:rPr>
                <w:sz w:val="24"/>
              </w:rPr>
            </w:pPr>
            <w:r>
              <w:rPr>
                <w:sz w:val="24"/>
              </w:rPr>
              <w:t>113</w:t>
            </w:r>
          </w:p>
        </w:tc>
        <w:tc>
          <w:tcPr>
            <w:tcW w:w="1954" w:type="dxa"/>
          </w:tcPr>
          <w:p w14:paraId="736294ED" w14:textId="77777777" w:rsidR="00793FCC" w:rsidRDefault="00793FCC" w:rsidP="00D66382">
            <w:pPr>
              <w:pStyle w:val="TableParagraph"/>
              <w:ind w:left="107"/>
              <w:rPr>
                <w:sz w:val="24"/>
              </w:rPr>
            </w:pPr>
            <w:r>
              <w:rPr>
                <w:sz w:val="24"/>
              </w:rPr>
              <w:t>-208</w:t>
            </w:r>
          </w:p>
        </w:tc>
        <w:tc>
          <w:tcPr>
            <w:tcW w:w="1345" w:type="dxa"/>
          </w:tcPr>
          <w:p w14:paraId="27F84754" w14:textId="77777777" w:rsidR="00793FCC" w:rsidRDefault="00793FCC" w:rsidP="00D66382">
            <w:pPr>
              <w:pStyle w:val="TableParagraph"/>
              <w:rPr>
                <w:sz w:val="24"/>
              </w:rPr>
            </w:pPr>
            <w:r>
              <w:rPr>
                <w:sz w:val="24"/>
              </w:rPr>
              <w:t>0.28</w:t>
            </w:r>
          </w:p>
        </w:tc>
        <w:tc>
          <w:tcPr>
            <w:tcW w:w="1350" w:type="dxa"/>
          </w:tcPr>
          <w:p w14:paraId="7AD52579" w14:textId="67F9CF1F" w:rsidR="00793FCC" w:rsidRDefault="00793FCC" w:rsidP="00D66382">
            <w:pPr>
              <w:pStyle w:val="TableParagraph"/>
              <w:rPr>
                <w:sz w:val="24"/>
              </w:rPr>
            </w:pPr>
            <w:r>
              <w:rPr>
                <w:sz w:val="24"/>
              </w:rPr>
              <w:t xml:space="preserve">130       </w:t>
            </w:r>
            <w:r w:rsidRPr="00793FCC">
              <w:rPr>
                <w:sz w:val="24"/>
                <w:highlight w:val="red"/>
              </w:rPr>
              <w:t>130</w:t>
            </w:r>
          </w:p>
        </w:tc>
        <w:tc>
          <w:tcPr>
            <w:tcW w:w="1744" w:type="dxa"/>
          </w:tcPr>
          <w:p w14:paraId="5E0B897E" w14:textId="77777777" w:rsidR="00793FCC" w:rsidRDefault="00793FCC" w:rsidP="00D66382">
            <w:pPr>
              <w:pStyle w:val="TableParagraph"/>
              <w:ind w:left="109"/>
              <w:rPr>
                <w:sz w:val="24"/>
              </w:rPr>
            </w:pPr>
            <w:r>
              <w:rPr>
                <w:sz w:val="24"/>
              </w:rPr>
              <w:t>0.13</w:t>
            </w:r>
          </w:p>
        </w:tc>
        <w:tc>
          <w:tcPr>
            <w:tcW w:w="1406" w:type="dxa"/>
          </w:tcPr>
          <w:p w14:paraId="7BA68E65" w14:textId="1E11C1A3" w:rsidR="00793FCC" w:rsidRDefault="00793FCC" w:rsidP="00D66382">
            <w:pPr>
              <w:pStyle w:val="TableParagraph"/>
              <w:ind w:left="110"/>
              <w:rPr>
                <w:sz w:val="24"/>
              </w:rPr>
            </w:pPr>
            <w:r>
              <w:rPr>
                <w:sz w:val="24"/>
              </w:rPr>
              <w:t xml:space="preserve">270       </w:t>
            </w:r>
            <w:r w:rsidRPr="00793FCC">
              <w:rPr>
                <w:sz w:val="24"/>
                <w:highlight w:val="red"/>
              </w:rPr>
              <w:t>270</w:t>
            </w:r>
          </w:p>
        </w:tc>
      </w:tr>
      <w:tr w:rsidR="00793FCC" w14:paraId="60CCAA37" w14:textId="77777777" w:rsidTr="00793FCC">
        <w:trPr>
          <w:trHeight w:val="551"/>
        </w:trPr>
        <w:tc>
          <w:tcPr>
            <w:tcW w:w="1351" w:type="dxa"/>
          </w:tcPr>
          <w:p w14:paraId="21428D2D" w14:textId="77777777" w:rsidR="00793FCC" w:rsidRDefault="00793FCC" w:rsidP="00D66382">
            <w:pPr>
              <w:pStyle w:val="TableParagraph"/>
              <w:ind w:left="107"/>
              <w:rPr>
                <w:sz w:val="24"/>
              </w:rPr>
            </w:pPr>
            <w:r>
              <w:rPr>
                <w:sz w:val="24"/>
              </w:rPr>
              <w:t>123</w:t>
            </w:r>
          </w:p>
        </w:tc>
        <w:tc>
          <w:tcPr>
            <w:tcW w:w="1954" w:type="dxa"/>
          </w:tcPr>
          <w:p w14:paraId="112ECBB8" w14:textId="77777777" w:rsidR="00793FCC" w:rsidRDefault="00793FCC" w:rsidP="00D66382">
            <w:pPr>
              <w:pStyle w:val="TableParagraph"/>
              <w:ind w:left="107"/>
              <w:rPr>
                <w:sz w:val="24"/>
              </w:rPr>
            </w:pPr>
            <w:r>
              <w:rPr>
                <w:sz w:val="24"/>
              </w:rPr>
              <w:t>-208</w:t>
            </w:r>
          </w:p>
        </w:tc>
        <w:tc>
          <w:tcPr>
            <w:tcW w:w="1345" w:type="dxa"/>
          </w:tcPr>
          <w:p w14:paraId="4B4A198D" w14:textId="77777777" w:rsidR="00793FCC" w:rsidRDefault="00793FCC" w:rsidP="00D66382">
            <w:pPr>
              <w:pStyle w:val="TableParagraph"/>
              <w:rPr>
                <w:sz w:val="24"/>
              </w:rPr>
            </w:pPr>
            <w:r>
              <w:rPr>
                <w:sz w:val="24"/>
              </w:rPr>
              <w:t>0.38</w:t>
            </w:r>
          </w:p>
        </w:tc>
        <w:tc>
          <w:tcPr>
            <w:tcW w:w="1350" w:type="dxa"/>
          </w:tcPr>
          <w:p w14:paraId="74C3098A" w14:textId="1027687A" w:rsidR="00793FCC" w:rsidRDefault="00793FCC" w:rsidP="00D66382">
            <w:pPr>
              <w:pStyle w:val="TableParagraph"/>
              <w:rPr>
                <w:sz w:val="24"/>
              </w:rPr>
            </w:pPr>
            <w:r>
              <w:rPr>
                <w:sz w:val="24"/>
              </w:rPr>
              <w:t xml:space="preserve">130       </w:t>
            </w:r>
            <w:r w:rsidRPr="00793FCC">
              <w:rPr>
                <w:sz w:val="24"/>
                <w:highlight w:val="red"/>
              </w:rPr>
              <w:t>126</w:t>
            </w:r>
          </w:p>
        </w:tc>
        <w:tc>
          <w:tcPr>
            <w:tcW w:w="1744" w:type="dxa"/>
          </w:tcPr>
          <w:p w14:paraId="7951F2BC" w14:textId="77777777" w:rsidR="00793FCC" w:rsidRDefault="00793FCC" w:rsidP="00D66382">
            <w:pPr>
              <w:pStyle w:val="TableParagraph"/>
              <w:ind w:left="109"/>
              <w:rPr>
                <w:sz w:val="24"/>
              </w:rPr>
            </w:pPr>
            <w:r>
              <w:rPr>
                <w:sz w:val="24"/>
              </w:rPr>
              <w:t>0.17</w:t>
            </w:r>
          </w:p>
        </w:tc>
        <w:tc>
          <w:tcPr>
            <w:tcW w:w="1406" w:type="dxa"/>
          </w:tcPr>
          <w:p w14:paraId="57D9FD06" w14:textId="347202B4" w:rsidR="00793FCC" w:rsidRDefault="00793FCC" w:rsidP="00D66382">
            <w:pPr>
              <w:pStyle w:val="TableParagraph"/>
              <w:ind w:left="110"/>
              <w:rPr>
                <w:sz w:val="24"/>
              </w:rPr>
            </w:pPr>
            <w:r>
              <w:rPr>
                <w:sz w:val="24"/>
              </w:rPr>
              <w:t xml:space="preserve">267       </w:t>
            </w:r>
            <w:r w:rsidRPr="00793FCC">
              <w:rPr>
                <w:sz w:val="24"/>
                <w:highlight w:val="red"/>
              </w:rPr>
              <w:t>248</w:t>
            </w:r>
          </w:p>
        </w:tc>
      </w:tr>
      <w:tr w:rsidR="00793FCC" w14:paraId="735D64A8" w14:textId="77777777" w:rsidTr="00793FCC">
        <w:trPr>
          <w:trHeight w:val="551"/>
        </w:trPr>
        <w:tc>
          <w:tcPr>
            <w:tcW w:w="1351" w:type="dxa"/>
          </w:tcPr>
          <w:p w14:paraId="26AAF46C" w14:textId="77777777" w:rsidR="00793FCC" w:rsidRDefault="00793FCC" w:rsidP="00D66382">
            <w:pPr>
              <w:pStyle w:val="TableParagraph"/>
              <w:ind w:left="107"/>
              <w:rPr>
                <w:sz w:val="24"/>
              </w:rPr>
            </w:pPr>
            <w:r>
              <w:rPr>
                <w:sz w:val="24"/>
              </w:rPr>
              <w:t>132</w:t>
            </w:r>
          </w:p>
        </w:tc>
        <w:tc>
          <w:tcPr>
            <w:tcW w:w="1954" w:type="dxa"/>
          </w:tcPr>
          <w:p w14:paraId="076F910E" w14:textId="77777777" w:rsidR="00793FCC" w:rsidRDefault="00793FCC" w:rsidP="00D66382">
            <w:pPr>
              <w:pStyle w:val="TableParagraph"/>
              <w:ind w:left="107"/>
              <w:rPr>
                <w:sz w:val="24"/>
              </w:rPr>
            </w:pPr>
            <w:r>
              <w:rPr>
                <w:sz w:val="24"/>
              </w:rPr>
              <w:t>-204</w:t>
            </w:r>
          </w:p>
        </w:tc>
        <w:tc>
          <w:tcPr>
            <w:tcW w:w="1345" w:type="dxa"/>
          </w:tcPr>
          <w:p w14:paraId="5E1C73F1" w14:textId="77777777" w:rsidR="00793FCC" w:rsidRDefault="00793FCC" w:rsidP="00D66382">
            <w:pPr>
              <w:pStyle w:val="TableParagraph"/>
              <w:rPr>
                <w:sz w:val="24"/>
              </w:rPr>
            </w:pPr>
            <w:r>
              <w:rPr>
                <w:sz w:val="24"/>
              </w:rPr>
              <w:t>0.28</w:t>
            </w:r>
          </w:p>
        </w:tc>
        <w:tc>
          <w:tcPr>
            <w:tcW w:w="1350" w:type="dxa"/>
          </w:tcPr>
          <w:p w14:paraId="0498C4B0" w14:textId="6D0B3EEB" w:rsidR="00793FCC" w:rsidRDefault="00793FCC" w:rsidP="00D66382">
            <w:pPr>
              <w:pStyle w:val="TableParagraph"/>
              <w:rPr>
                <w:sz w:val="24"/>
              </w:rPr>
            </w:pPr>
            <w:r>
              <w:rPr>
                <w:sz w:val="24"/>
              </w:rPr>
              <w:t xml:space="preserve">130       </w:t>
            </w:r>
            <w:r w:rsidRPr="00793FCC">
              <w:rPr>
                <w:sz w:val="24"/>
                <w:highlight w:val="red"/>
              </w:rPr>
              <w:t>126</w:t>
            </w:r>
          </w:p>
        </w:tc>
        <w:tc>
          <w:tcPr>
            <w:tcW w:w="1744" w:type="dxa"/>
          </w:tcPr>
          <w:p w14:paraId="73BE4922" w14:textId="77777777" w:rsidR="00793FCC" w:rsidRDefault="00793FCC" w:rsidP="00D66382">
            <w:pPr>
              <w:pStyle w:val="TableParagraph"/>
              <w:ind w:left="109"/>
              <w:rPr>
                <w:sz w:val="24"/>
              </w:rPr>
            </w:pPr>
            <w:r>
              <w:rPr>
                <w:sz w:val="24"/>
              </w:rPr>
              <w:t>0.12</w:t>
            </w:r>
          </w:p>
        </w:tc>
        <w:tc>
          <w:tcPr>
            <w:tcW w:w="1406" w:type="dxa"/>
          </w:tcPr>
          <w:p w14:paraId="66089C34" w14:textId="36FB67C5" w:rsidR="00793FCC" w:rsidRDefault="00793FCC" w:rsidP="00D66382">
            <w:pPr>
              <w:pStyle w:val="TableParagraph"/>
              <w:ind w:left="110"/>
              <w:rPr>
                <w:sz w:val="24"/>
              </w:rPr>
            </w:pPr>
            <w:r>
              <w:rPr>
                <w:sz w:val="24"/>
              </w:rPr>
              <w:t xml:space="preserve">270       </w:t>
            </w:r>
            <w:r w:rsidRPr="00793FCC">
              <w:rPr>
                <w:sz w:val="24"/>
                <w:highlight w:val="red"/>
              </w:rPr>
              <w:t>270</w:t>
            </w:r>
          </w:p>
        </w:tc>
      </w:tr>
      <w:tr w:rsidR="00793FCC" w14:paraId="6B4B2F4A" w14:textId="77777777" w:rsidTr="00793FCC">
        <w:trPr>
          <w:trHeight w:val="553"/>
        </w:trPr>
        <w:tc>
          <w:tcPr>
            <w:tcW w:w="1351" w:type="dxa"/>
          </w:tcPr>
          <w:p w14:paraId="60EB8534" w14:textId="77777777" w:rsidR="00793FCC" w:rsidRDefault="00793FCC" w:rsidP="00D66382">
            <w:pPr>
              <w:pStyle w:val="TableParagraph"/>
              <w:spacing w:before="2"/>
              <w:ind w:left="107"/>
              <w:rPr>
                <w:sz w:val="24"/>
              </w:rPr>
            </w:pPr>
            <w:r>
              <w:rPr>
                <w:sz w:val="24"/>
              </w:rPr>
              <w:t>145</w:t>
            </w:r>
          </w:p>
        </w:tc>
        <w:tc>
          <w:tcPr>
            <w:tcW w:w="1954" w:type="dxa"/>
          </w:tcPr>
          <w:p w14:paraId="4662059D" w14:textId="77777777" w:rsidR="00793FCC" w:rsidRDefault="00793FCC" w:rsidP="00D66382">
            <w:pPr>
              <w:pStyle w:val="TableParagraph"/>
              <w:spacing w:before="2"/>
              <w:ind w:left="107"/>
              <w:rPr>
                <w:sz w:val="24"/>
              </w:rPr>
            </w:pPr>
            <w:r>
              <w:rPr>
                <w:sz w:val="24"/>
              </w:rPr>
              <w:t>-204</w:t>
            </w:r>
          </w:p>
        </w:tc>
        <w:tc>
          <w:tcPr>
            <w:tcW w:w="1345" w:type="dxa"/>
          </w:tcPr>
          <w:p w14:paraId="397E3D30" w14:textId="77777777" w:rsidR="00793FCC" w:rsidRDefault="00793FCC" w:rsidP="00D66382">
            <w:pPr>
              <w:pStyle w:val="TableParagraph"/>
              <w:spacing w:before="2"/>
              <w:rPr>
                <w:sz w:val="24"/>
              </w:rPr>
            </w:pPr>
            <w:r>
              <w:rPr>
                <w:sz w:val="24"/>
              </w:rPr>
              <w:t>0.33</w:t>
            </w:r>
          </w:p>
        </w:tc>
        <w:tc>
          <w:tcPr>
            <w:tcW w:w="1350" w:type="dxa"/>
          </w:tcPr>
          <w:p w14:paraId="3AFE3C85" w14:textId="4D1D682C" w:rsidR="00793FCC" w:rsidRDefault="00793FCC" w:rsidP="00D66382">
            <w:pPr>
              <w:pStyle w:val="TableParagraph"/>
              <w:spacing w:before="2"/>
              <w:rPr>
                <w:sz w:val="24"/>
              </w:rPr>
            </w:pPr>
            <w:r>
              <w:rPr>
                <w:sz w:val="24"/>
              </w:rPr>
              <w:t xml:space="preserve">130       </w:t>
            </w:r>
            <w:r w:rsidRPr="00793FCC">
              <w:rPr>
                <w:sz w:val="24"/>
                <w:highlight w:val="red"/>
              </w:rPr>
              <w:t>130</w:t>
            </w:r>
          </w:p>
        </w:tc>
        <w:tc>
          <w:tcPr>
            <w:tcW w:w="1744" w:type="dxa"/>
          </w:tcPr>
          <w:p w14:paraId="46648B3D" w14:textId="77777777" w:rsidR="00793FCC" w:rsidRDefault="00793FCC" w:rsidP="00D66382">
            <w:pPr>
              <w:pStyle w:val="TableParagraph"/>
              <w:spacing w:before="2"/>
              <w:ind w:left="109"/>
              <w:rPr>
                <w:sz w:val="24"/>
              </w:rPr>
            </w:pPr>
            <w:r>
              <w:rPr>
                <w:sz w:val="24"/>
              </w:rPr>
              <w:t>0.15</w:t>
            </w:r>
          </w:p>
        </w:tc>
        <w:tc>
          <w:tcPr>
            <w:tcW w:w="1406" w:type="dxa"/>
          </w:tcPr>
          <w:p w14:paraId="1A3E8398" w14:textId="600E9BC0" w:rsidR="00793FCC" w:rsidRDefault="00793FCC" w:rsidP="00D66382">
            <w:pPr>
              <w:pStyle w:val="TableParagraph"/>
              <w:spacing w:before="2"/>
              <w:ind w:left="110"/>
              <w:rPr>
                <w:sz w:val="24"/>
              </w:rPr>
            </w:pPr>
            <w:r>
              <w:rPr>
                <w:sz w:val="24"/>
              </w:rPr>
              <w:t xml:space="preserve">270       </w:t>
            </w:r>
            <w:r w:rsidRPr="00793FCC">
              <w:rPr>
                <w:sz w:val="24"/>
                <w:highlight w:val="red"/>
              </w:rPr>
              <w:t>253</w:t>
            </w:r>
          </w:p>
        </w:tc>
      </w:tr>
      <w:tr w:rsidR="00793FCC" w14:paraId="4624A28A" w14:textId="77777777" w:rsidTr="00793FCC">
        <w:trPr>
          <w:trHeight w:val="552"/>
        </w:trPr>
        <w:tc>
          <w:tcPr>
            <w:tcW w:w="1351" w:type="dxa"/>
          </w:tcPr>
          <w:p w14:paraId="3E621841" w14:textId="77777777" w:rsidR="00793FCC" w:rsidRDefault="00793FCC" w:rsidP="00D66382">
            <w:pPr>
              <w:pStyle w:val="TableParagraph"/>
              <w:ind w:left="107"/>
              <w:rPr>
                <w:sz w:val="24"/>
              </w:rPr>
            </w:pPr>
            <w:r>
              <w:rPr>
                <w:sz w:val="24"/>
              </w:rPr>
              <w:t>155</w:t>
            </w:r>
          </w:p>
        </w:tc>
        <w:tc>
          <w:tcPr>
            <w:tcW w:w="1954" w:type="dxa"/>
          </w:tcPr>
          <w:p w14:paraId="54493E85" w14:textId="77777777" w:rsidR="00793FCC" w:rsidRDefault="00793FCC" w:rsidP="00D66382">
            <w:pPr>
              <w:pStyle w:val="TableParagraph"/>
              <w:ind w:left="107"/>
              <w:rPr>
                <w:sz w:val="24"/>
              </w:rPr>
            </w:pPr>
            <w:r>
              <w:rPr>
                <w:sz w:val="24"/>
              </w:rPr>
              <w:t>-201</w:t>
            </w:r>
          </w:p>
        </w:tc>
        <w:tc>
          <w:tcPr>
            <w:tcW w:w="1345" w:type="dxa"/>
          </w:tcPr>
          <w:p w14:paraId="18F0440B" w14:textId="77777777" w:rsidR="00793FCC" w:rsidRDefault="00793FCC" w:rsidP="00D66382">
            <w:pPr>
              <w:pStyle w:val="TableParagraph"/>
              <w:rPr>
                <w:sz w:val="24"/>
              </w:rPr>
            </w:pPr>
            <w:r>
              <w:rPr>
                <w:sz w:val="24"/>
              </w:rPr>
              <w:t>0.42</w:t>
            </w:r>
          </w:p>
        </w:tc>
        <w:tc>
          <w:tcPr>
            <w:tcW w:w="1350" w:type="dxa"/>
          </w:tcPr>
          <w:p w14:paraId="546F17A9" w14:textId="2C7415C0" w:rsidR="00793FCC" w:rsidRDefault="00793FCC" w:rsidP="00D66382">
            <w:pPr>
              <w:pStyle w:val="TableParagraph"/>
              <w:rPr>
                <w:sz w:val="24"/>
              </w:rPr>
            </w:pPr>
            <w:r>
              <w:rPr>
                <w:sz w:val="24"/>
              </w:rPr>
              <w:t xml:space="preserve">123       </w:t>
            </w:r>
            <w:r w:rsidRPr="00793FCC">
              <w:rPr>
                <w:sz w:val="24"/>
                <w:highlight w:val="red"/>
              </w:rPr>
              <w:t>102</w:t>
            </w:r>
          </w:p>
        </w:tc>
        <w:tc>
          <w:tcPr>
            <w:tcW w:w="1744" w:type="dxa"/>
          </w:tcPr>
          <w:p w14:paraId="44EB9B0A" w14:textId="77777777" w:rsidR="00793FCC" w:rsidRDefault="00793FCC" w:rsidP="00D66382">
            <w:pPr>
              <w:pStyle w:val="TableParagraph"/>
              <w:ind w:left="109"/>
              <w:rPr>
                <w:sz w:val="24"/>
              </w:rPr>
            </w:pPr>
            <w:r>
              <w:rPr>
                <w:sz w:val="24"/>
              </w:rPr>
              <w:t>0.19</w:t>
            </w:r>
          </w:p>
        </w:tc>
        <w:tc>
          <w:tcPr>
            <w:tcW w:w="1406" w:type="dxa"/>
          </w:tcPr>
          <w:p w14:paraId="1DA7B703" w14:textId="022A0CDB" w:rsidR="00793FCC" w:rsidRDefault="00793FCC" w:rsidP="00D66382">
            <w:pPr>
              <w:pStyle w:val="TableParagraph"/>
              <w:ind w:left="110"/>
              <w:rPr>
                <w:sz w:val="24"/>
              </w:rPr>
            </w:pPr>
            <w:r>
              <w:rPr>
                <w:sz w:val="24"/>
              </w:rPr>
              <w:t xml:space="preserve">237       </w:t>
            </w:r>
            <w:r w:rsidRPr="00793FCC">
              <w:rPr>
                <w:sz w:val="24"/>
                <w:highlight w:val="red"/>
              </w:rPr>
              <w:t>196</w:t>
            </w:r>
          </w:p>
        </w:tc>
      </w:tr>
      <w:tr w:rsidR="00793FCC" w14:paraId="2BABAF66" w14:textId="77777777" w:rsidTr="00793FCC">
        <w:trPr>
          <w:trHeight w:val="551"/>
        </w:trPr>
        <w:tc>
          <w:tcPr>
            <w:tcW w:w="1351" w:type="dxa"/>
          </w:tcPr>
          <w:p w14:paraId="067C67AC" w14:textId="77777777" w:rsidR="00793FCC" w:rsidRDefault="00793FCC" w:rsidP="00D66382">
            <w:pPr>
              <w:pStyle w:val="TableParagraph"/>
              <w:ind w:left="107"/>
              <w:rPr>
                <w:sz w:val="24"/>
              </w:rPr>
            </w:pPr>
            <w:r>
              <w:rPr>
                <w:sz w:val="24"/>
              </w:rPr>
              <w:t>174.7</w:t>
            </w:r>
          </w:p>
        </w:tc>
        <w:tc>
          <w:tcPr>
            <w:tcW w:w="1954" w:type="dxa"/>
          </w:tcPr>
          <w:p w14:paraId="6DA1D54C" w14:textId="77777777" w:rsidR="00793FCC" w:rsidRDefault="00793FCC" w:rsidP="00D66382">
            <w:pPr>
              <w:pStyle w:val="TableParagraph"/>
              <w:ind w:left="107"/>
              <w:rPr>
                <w:sz w:val="24"/>
              </w:rPr>
            </w:pPr>
            <w:r>
              <w:rPr>
                <w:sz w:val="24"/>
              </w:rPr>
              <w:t>-202</w:t>
            </w:r>
          </w:p>
        </w:tc>
        <w:tc>
          <w:tcPr>
            <w:tcW w:w="1345" w:type="dxa"/>
          </w:tcPr>
          <w:p w14:paraId="7480BE11" w14:textId="77777777" w:rsidR="00793FCC" w:rsidRDefault="00793FCC" w:rsidP="00D66382">
            <w:pPr>
              <w:pStyle w:val="TableParagraph"/>
              <w:rPr>
                <w:sz w:val="24"/>
              </w:rPr>
            </w:pPr>
            <w:r>
              <w:rPr>
                <w:sz w:val="24"/>
              </w:rPr>
              <w:t>1.54</w:t>
            </w:r>
          </w:p>
        </w:tc>
        <w:tc>
          <w:tcPr>
            <w:tcW w:w="1350" w:type="dxa"/>
          </w:tcPr>
          <w:p w14:paraId="0A087CF4" w14:textId="6A654AD7" w:rsidR="00793FCC" w:rsidRDefault="00793FCC" w:rsidP="00D66382">
            <w:pPr>
              <w:pStyle w:val="TableParagraph"/>
              <w:rPr>
                <w:sz w:val="24"/>
              </w:rPr>
            </w:pPr>
            <w:r>
              <w:rPr>
                <w:sz w:val="24"/>
              </w:rPr>
              <w:t xml:space="preserve">41           </w:t>
            </w:r>
            <w:r w:rsidRPr="00793FCC">
              <w:rPr>
                <w:sz w:val="24"/>
                <w:highlight w:val="red"/>
              </w:rPr>
              <w:t>35</w:t>
            </w:r>
          </w:p>
        </w:tc>
        <w:tc>
          <w:tcPr>
            <w:tcW w:w="1744" w:type="dxa"/>
          </w:tcPr>
          <w:p w14:paraId="02AE49FA" w14:textId="77777777" w:rsidR="00793FCC" w:rsidRDefault="00793FCC" w:rsidP="00D66382">
            <w:pPr>
              <w:pStyle w:val="TableParagraph"/>
              <w:ind w:left="109"/>
              <w:rPr>
                <w:sz w:val="24"/>
              </w:rPr>
            </w:pPr>
            <w:r>
              <w:rPr>
                <w:sz w:val="24"/>
              </w:rPr>
              <w:t>0.71</w:t>
            </w:r>
          </w:p>
        </w:tc>
        <w:tc>
          <w:tcPr>
            <w:tcW w:w="1406" w:type="dxa"/>
          </w:tcPr>
          <w:p w14:paraId="7358AB2C" w14:textId="6E34E7F1" w:rsidR="00793FCC" w:rsidRDefault="00793FCC" w:rsidP="00D66382">
            <w:pPr>
              <w:pStyle w:val="TableParagraph"/>
              <w:ind w:left="110"/>
              <w:rPr>
                <w:sz w:val="24"/>
              </w:rPr>
            </w:pPr>
            <w:r>
              <w:rPr>
                <w:sz w:val="24"/>
              </w:rPr>
              <w:t xml:space="preserve">79           </w:t>
            </w:r>
            <w:r w:rsidRPr="00793FCC">
              <w:rPr>
                <w:sz w:val="24"/>
                <w:highlight w:val="red"/>
              </w:rPr>
              <w:t>67</w:t>
            </w:r>
          </w:p>
        </w:tc>
      </w:tr>
      <w:tr w:rsidR="00793FCC" w14:paraId="2C9F078B" w14:textId="77777777" w:rsidTr="00793FCC">
        <w:trPr>
          <w:trHeight w:val="551"/>
        </w:trPr>
        <w:tc>
          <w:tcPr>
            <w:tcW w:w="1351" w:type="dxa"/>
          </w:tcPr>
          <w:p w14:paraId="7474A28F" w14:textId="77777777" w:rsidR="00793FCC" w:rsidRDefault="00793FCC" w:rsidP="00D66382">
            <w:pPr>
              <w:pStyle w:val="TableParagraph"/>
              <w:ind w:left="107"/>
              <w:rPr>
                <w:sz w:val="24"/>
              </w:rPr>
            </w:pPr>
            <w:r>
              <w:rPr>
                <w:sz w:val="24"/>
              </w:rPr>
              <w:t>217</w:t>
            </w:r>
          </w:p>
        </w:tc>
        <w:tc>
          <w:tcPr>
            <w:tcW w:w="1954" w:type="dxa"/>
          </w:tcPr>
          <w:p w14:paraId="398D453B" w14:textId="77777777" w:rsidR="00793FCC" w:rsidRDefault="00793FCC" w:rsidP="00D66382">
            <w:pPr>
              <w:pStyle w:val="TableParagraph"/>
              <w:ind w:left="107"/>
              <w:rPr>
                <w:sz w:val="24"/>
              </w:rPr>
            </w:pPr>
            <w:r>
              <w:rPr>
                <w:sz w:val="24"/>
              </w:rPr>
              <w:t>-199</w:t>
            </w:r>
          </w:p>
        </w:tc>
        <w:tc>
          <w:tcPr>
            <w:tcW w:w="1345" w:type="dxa"/>
          </w:tcPr>
          <w:p w14:paraId="7BA5B6E1" w14:textId="77777777" w:rsidR="00793FCC" w:rsidRDefault="00793FCC" w:rsidP="00D66382">
            <w:pPr>
              <w:pStyle w:val="TableParagraph"/>
              <w:rPr>
                <w:sz w:val="24"/>
              </w:rPr>
            </w:pPr>
            <w:r>
              <w:rPr>
                <w:sz w:val="24"/>
              </w:rPr>
              <w:t>0.81</w:t>
            </w:r>
          </w:p>
        </w:tc>
        <w:tc>
          <w:tcPr>
            <w:tcW w:w="1350" w:type="dxa"/>
          </w:tcPr>
          <w:p w14:paraId="1F65DCC3" w14:textId="3353502C" w:rsidR="00793FCC" w:rsidRDefault="00793FCC" w:rsidP="00D66382">
            <w:pPr>
              <w:pStyle w:val="TableParagraph"/>
              <w:rPr>
                <w:sz w:val="24"/>
              </w:rPr>
            </w:pPr>
            <w:r>
              <w:rPr>
                <w:sz w:val="24"/>
              </w:rPr>
              <w:t xml:space="preserve">69           </w:t>
            </w:r>
            <w:r w:rsidRPr="00793FCC">
              <w:rPr>
                <w:sz w:val="24"/>
                <w:highlight w:val="red"/>
              </w:rPr>
              <w:t>57</w:t>
            </w:r>
          </w:p>
        </w:tc>
        <w:tc>
          <w:tcPr>
            <w:tcW w:w="1744" w:type="dxa"/>
          </w:tcPr>
          <w:p w14:paraId="21D2E49B" w14:textId="77777777" w:rsidR="00793FCC" w:rsidRDefault="00793FCC" w:rsidP="00D66382">
            <w:pPr>
              <w:pStyle w:val="TableParagraph"/>
              <w:ind w:left="109"/>
              <w:rPr>
                <w:sz w:val="24"/>
              </w:rPr>
            </w:pPr>
            <w:r>
              <w:rPr>
                <w:sz w:val="24"/>
              </w:rPr>
              <w:t>0.36</w:t>
            </w:r>
          </w:p>
        </w:tc>
        <w:tc>
          <w:tcPr>
            <w:tcW w:w="1406" w:type="dxa"/>
          </w:tcPr>
          <w:p w14:paraId="3298D7E4" w14:textId="33052113" w:rsidR="00793FCC" w:rsidRDefault="00793FCC" w:rsidP="00D66382">
            <w:pPr>
              <w:pStyle w:val="TableParagraph"/>
              <w:ind w:left="110"/>
              <w:rPr>
                <w:sz w:val="24"/>
              </w:rPr>
            </w:pPr>
            <w:r>
              <w:rPr>
                <w:sz w:val="24"/>
              </w:rPr>
              <w:t xml:space="preserve">137       </w:t>
            </w:r>
            <w:r w:rsidRPr="00793FCC">
              <w:rPr>
                <w:sz w:val="24"/>
                <w:highlight w:val="red"/>
              </w:rPr>
              <w:t>111</w:t>
            </w:r>
          </w:p>
        </w:tc>
      </w:tr>
      <w:tr w:rsidR="00793FCC" w14:paraId="4FB9B558" w14:textId="77777777" w:rsidTr="00793FCC">
        <w:trPr>
          <w:trHeight w:val="551"/>
        </w:trPr>
        <w:tc>
          <w:tcPr>
            <w:tcW w:w="1351" w:type="dxa"/>
          </w:tcPr>
          <w:p w14:paraId="6BF11E6F" w14:textId="77777777" w:rsidR="00793FCC" w:rsidRDefault="00793FCC" w:rsidP="00D66382">
            <w:pPr>
              <w:pStyle w:val="TableParagraph"/>
              <w:ind w:left="107"/>
              <w:rPr>
                <w:sz w:val="24"/>
              </w:rPr>
            </w:pPr>
            <w:r>
              <w:rPr>
                <w:sz w:val="24"/>
              </w:rPr>
              <w:t>231.8</w:t>
            </w:r>
          </w:p>
        </w:tc>
        <w:tc>
          <w:tcPr>
            <w:tcW w:w="1954" w:type="dxa"/>
          </w:tcPr>
          <w:p w14:paraId="1C297858" w14:textId="77777777" w:rsidR="00793FCC" w:rsidRDefault="00793FCC" w:rsidP="00D66382">
            <w:pPr>
              <w:pStyle w:val="TableParagraph"/>
              <w:ind w:left="107"/>
              <w:rPr>
                <w:sz w:val="24"/>
              </w:rPr>
            </w:pPr>
            <w:r>
              <w:rPr>
                <w:sz w:val="24"/>
              </w:rPr>
              <w:t>-199</w:t>
            </w:r>
          </w:p>
        </w:tc>
        <w:tc>
          <w:tcPr>
            <w:tcW w:w="1345" w:type="dxa"/>
          </w:tcPr>
          <w:p w14:paraId="7DFA90B8" w14:textId="77777777" w:rsidR="00793FCC" w:rsidRDefault="00793FCC" w:rsidP="00D66382">
            <w:pPr>
              <w:pStyle w:val="TableParagraph"/>
              <w:rPr>
                <w:sz w:val="24"/>
              </w:rPr>
            </w:pPr>
            <w:r>
              <w:rPr>
                <w:sz w:val="24"/>
              </w:rPr>
              <w:t>0.87</w:t>
            </w:r>
          </w:p>
        </w:tc>
        <w:tc>
          <w:tcPr>
            <w:tcW w:w="1350" w:type="dxa"/>
          </w:tcPr>
          <w:p w14:paraId="108EF15C" w14:textId="509F22CB" w:rsidR="00793FCC" w:rsidRDefault="00793FCC" w:rsidP="00D66382">
            <w:pPr>
              <w:pStyle w:val="TableParagraph"/>
              <w:rPr>
                <w:sz w:val="24"/>
              </w:rPr>
            </w:pPr>
            <w:r>
              <w:rPr>
                <w:sz w:val="24"/>
              </w:rPr>
              <w:t xml:space="preserve">65           </w:t>
            </w:r>
            <w:r w:rsidRPr="00793FCC">
              <w:rPr>
                <w:sz w:val="24"/>
                <w:highlight w:val="red"/>
              </w:rPr>
              <w:t>53</w:t>
            </w:r>
          </w:p>
        </w:tc>
        <w:tc>
          <w:tcPr>
            <w:tcW w:w="1744" w:type="dxa"/>
          </w:tcPr>
          <w:p w14:paraId="56CE1C7B" w14:textId="77777777" w:rsidR="00793FCC" w:rsidRDefault="00793FCC" w:rsidP="00D66382">
            <w:pPr>
              <w:pStyle w:val="TableParagraph"/>
              <w:ind w:left="109"/>
              <w:rPr>
                <w:sz w:val="24"/>
              </w:rPr>
            </w:pPr>
            <w:r>
              <w:rPr>
                <w:sz w:val="24"/>
              </w:rPr>
              <w:t>0.39</w:t>
            </w:r>
          </w:p>
        </w:tc>
        <w:tc>
          <w:tcPr>
            <w:tcW w:w="1406" w:type="dxa"/>
          </w:tcPr>
          <w:p w14:paraId="3C276E27" w14:textId="39B2F475" w:rsidR="00793FCC" w:rsidRDefault="00793FCC" w:rsidP="00D66382">
            <w:pPr>
              <w:pStyle w:val="TableParagraph"/>
              <w:ind w:left="110"/>
              <w:rPr>
                <w:sz w:val="24"/>
              </w:rPr>
            </w:pPr>
            <w:r>
              <w:rPr>
                <w:sz w:val="24"/>
              </w:rPr>
              <w:t xml:space="preserve">128       </w:t>
            </w:r>
            <w:r w:rsidRPr="00793FCC">
              <w:rPr>
                <w:sz w:val="24"/>
                <w:highlight w:val="red"/>
              </w:rPr>
              <w:t>104</w:t>
            </w:r>
          </w:p>
        </w:tc>
      </w:tr>
      <w:tr w:rsidR="00793FCC" w14:paraId="32E9CFE2" w14:textId="77777777" w:rsidTr="00793FCC">
        <w:trPr>
          <w:trHeight w:val="551"/>
        </w:trPr>
        <w:tc>
          <w:tcPr>
            <w:tcW w:w="1351" w:type="dxa"/>
          </w:tcPr>
          <w:p w14:paraId="226ECF61" w14:textId="77777777" w:rsidR="00793FCC" w:rsidRDefault="00793FCC" w:rsidP="00D66382">
            <w:pPr>
              <w:pStyle w:val="TableParagraph"/>
              <w:ind w:left="107"/>
              <w:rPr>
                <w:sz w:val="24"/>
              </w:rPr>
            </w:pPr>
            <w:r>
              <w:rPr>
                <w:sz w:val="24"/>
              </w:rPr>
              <w:t>240.5</w:t>
            </w:r>
          </w:p>
        </w:tc>
        <w:tc>
          <w:tcPr>
            <w:tcW w:w="1954" w:type="dxa"/>
          </w:tcPr>
          <w:p w14:paraId="101690FC" w14:textId="77777777" w:rsidR="00793FCC" w:rsidRDefault="00793FCC" w:rsidP="00D66382">
            <w:pPr>
              <w:pStyle w:val="TableParagraph"/>
              <w:ind w:left="107"/>
              <w:rPr>
                <w:sz w:val="24"/>
              </w:rPr>
            </w:pPr>
            <w:r>
              <w:rPr>
                <w:sz w:val="24"/>
              </w:rPr>
              <w:t>-198</w:t>
            </w:r>
          </w:p>
        </w:tc>
        <w:tc>
          <w:tcPr>
            <w:tcW w:w="1345" w:type="dxa"/>
          </w:tcPr>
          <w:p w14:paraId="4CC4D7BB" w14:textId="77777777" w:rsidR="00793FCC" w:rsidRDefault="00793FCC" w:rsidP="00D66382">
            <w:pPr>
              <w:pStyle w:val="TableParagraph"/>
              <w:rPr>
                <w:sz w:val="24"/>
              </w:rPr>
            </w:pPr>
            <w:r>
              <w:rPr>
                <w:sz w:val="24"/>
              </w:rPr>
              <w:t>0.92</w:t>
            </w:r>
          </w:p>
        </w:tc>
        <w:tc>
          <w:tcPr>
            <w:tcW w:w="1350" w:type="dxa"/>
          </w:tcPr>
          <w:p w14:paraId="36950603" w14:textId="0C1C9B11" w:rsidR="00793FCC" w:rsidRDefault="00793FCC" w:rsidP="00D66382">
            <w:pPr>
              <w:pStyle w:val="TableParagraph"/>
              <w:rPr>
                <w:sz w:val="24"/>
              </w:rPr>
            </w:pPr>
            <w:r>
              <w:rPr>
                <w:sz w:val="24"/>
              </w:rPr>
              <w:t xml:space="preserve">61           </w:t>
            </w:r>
            <w:r w:rsidRPr="00793FCC">
              <w:rPr>
                <w:sz w:val="24"/>
                <w:highlight w:val="red"/>
              </w:rPr>
              <w:t>50</w:t>
            </w:r>
          </w:p>
        </w:tc>
        <w:tc>
          <w:tcPr>
            <w:tcW w:w="1744" w:type="dxa"/>
          </w:tcPr>
          <w:p w14:paraId="0E147C35" w14:textId="77777777" w:rsidR="00793FCC" w:rsidRDefault="00793FCC" w:rsidP="00D66382">
            <w:pPr>
              <w:pStyle w:val="TableParagraph"/>
              <w:ind w:left="109"/>
              <w:rPr>
                <w:sz w:val="24"/>
              </w:rPr>
            </w:pPr>
            <w:r>
              <w:rPr>
                <w:sz w:val="24"/>
              </w:rPr>
              <w:t>0.41</w:t>
            </w:r>
          </w:p>
        </w:tc>
        <w:tc>
          <w:tcPr>
            <w:tcW w:w="1406" w:type="dxa"/>
          </w:tcPr>
          <w:p w14:paraId="42EDABEF" w14:textId="6EB9F69F" w:rsidR="00793FCC" w:rsidRDefault="00793FCC" w:rsidP="00D66382">
            <w:pPr>
              <w:pStyle w:val="TableParagraph"/>
              <w:ind w:left="110"/>
              <w:rPr>
                <w:sz w:val="24"/>
              </w:rPr>
            </w:pPr>
            <w:r>
              <w:rPr>
                <w:sz w:val="24"/>
              </w:rPr>
              <w:t xml:space="preserve">121         </w:t>
            </w:r>
            <w:r w:rsidRPr="00793FCC">
              <w:rPr>
                <w:sz w:val="24"/>
                <w:highlight w:val="red"/>
              </w:rPr>
              <w:t>98</w:t>
            </w:r>
          </w:p>
        </w:tc>
      </w:tr>
    </w:tbl>
    <w:p w14:paraId="02E5A448" w14:textId="77777777" w:rsidR="00793FCC" w:rsidRDefault="00793FCC" w:rsidP="006D7941">
      <w:pPr>
        <w:pStyle w:val="p1"/>
        <w:rPr>
          <w:rFonts w:cs="Arial"/>
          <w:sz w:val="22"/>
          <w:szCs w:val="22"/>
        </w:rPr>
      </w:pPr>
    </w:p>
    <w:p w14:paraId="60BB2803" w14:textId="77777777" w:rsidR="00665391" w:rsidRDefault="00665391" w:rsidP="00665391">
      <w:pPr>
        <w:pStyle w:val="p1"/>
        <w:rPr>
          <w:rFonts w:cs="Arial"/>
          <w:sz w:val="22"/>
          <w:szCs w:val="22"/>
        </w:rPr>
      </w:pPr>
      <w:r>
        <w:rPr>
          <w:rFonts w:cs="Arial"/>
          <w:sz w:val="22"/>
          <w:szCs w:val="22"/>
        </w:rPr>
        <w:t xml:space="preserve">Further into ¶33 the R&amp;O again asserts that radio telescopes will not receive RFI unless pointed at interfering terrestrial sources on the horizon, taking issue with a calculation that was made using 0 </w:t>
      </w:r>
      <w:proofErr w:type="spellStart"/>
      <w:r>
        <w:rPr>
          <w:rFonts w:cs="Arial"/>
          <w:sz w:val="22"/>
          <w:szCs w:val="22"/>
        </w:rPr>
        <w:t>dBi</w:t>
      </w:r>
      <w:proofErr w:type="spellEnd"/>
      <w:r>
        <w:rPr>
          <w:rFonts w:cs="Arial"/>
          <w:sz w:val="22"/>
          <w:szCs w:val="22"/>
        </w:rPr>
        <w:t xml:space="preserve"> radio astronomy gain by NRAO.  The R&amp;O states:</w:t>
      </w:r>
    </w:p>
    <w:p w14:paraId="06FAD8D4" w14:textId="77777777" w:rsidR="00665391" w:rsidRDefault="00665391" w:rsidP="00665391">
      <w:pPr>
        <w:pStyle w:val="p1"/>
        <w:rPr>
          <w:rFonts w:cs="Arial"/>
          <w:sz w:val="22"/>
          <w:szCs w:val="22"/>
        </w:rPr>
      </w:pPr>
    </w:p>
    <w:p w14:paraId="605CF968" w14:textId="77777777" w:rsidR="00665391" w:rsidRPr="0000214A" w:rsidRDefault="00665391" w:rsidP="00665391">
      <w:pPr>
        <w:pStyle w:val="Default"/>
        <w:rPr>
          <w:sz w:val="22"/>
          <w:szCs w:val="22"/>
        </w:rPr>
      </w:pPr>
      <w:r>
        <w:rPr>
          <w:sz w:val="22"/>
          <w:szCs w:val="22"/>
        </w:rPr>
        <w:t>“Under the normal operating configuration where radio telescope antennas making astronomical observations look skyward, the antenna discrimination inherently provides significant interference protection from unlicensed device operations located near or on the horizon.”</w:t>
      </w:r>
    </w:p>
    <w:p w14:paraId="69D8F40E" w14:textId="77777777" w:rsidR="00665391" w:rsidRDefault="00665391" w:rsidP="00665391">
      <w:pPr>
        <w:pStyle w:val="p1"/>
        <w:rPr>
          <w:rFonts w:cs="Arial"/>
          <w:sz w:val="22"/>
          <w:szCs w:val="22"/>
        </w:rPr>
      </w:pPr>
    </w:p>
    <w:p w14:paraId="43179ECB" w14:textId="60D884E7" w:rsidR="00665391" w:rsidRDefault="00665391" w:rsidP="00665391">
      <w:pPr>
        <w:pStyle w:val="p1"/>
        <w:rPr>
          <w:rFonts w:cs="Arial"/>
          <w:sz w:val="22"/>
          <w:szCs w:val="22"/>
        </w:rPr>
      </w:pPr>
      <w:r>
        <w:rPr>
          <w:rFonts w:cs="Arial"/>
          <w:sz w:val="22"/>
          <w:szCs w:val="22"/>
        </w:rPr>
        <w:t xml:space="preserve">The Commission then cites ITU-R Rec. S.1586 that is used in so-called </w:t>
      </w:r>
      <w:proofErr w:type="spellStart"/>
      <w:r>
        <w:rPr>
          <w:rFonts w:cs="Arial"/>
          <w:sz w:val="22"/>
          <w:szCs w:val="22"/>
        </w:rPr>
        <w:t>epfd</w:t>
      </w:r>
      <w:proofErr w:type="spellEnd"/>
      <w:r>
        <w:rPr>
          <w:rFonts w:cs="Arial"/>
          <w:sz w:val="22"/>
          <w:szCs w:val="22"/>
        </w:rPr>
        <w:t xml:space="preserve"> simulations of radio astronomy observations in the presence of a fixed-satellite service constellation</w:t>
      </w:r>
      <w:r w:rsidR="002E51A6">
        <w:rPr>
          <w:rFonts w:cs="Arial"/>
          <w:sz w:val="22"/>
          <w:szCs w:val="22"/>
        </w:rPr>
        <w:t>, whose use is not appropriate here</w:t>
      </w:r>
      <w:r>
        <w:rPr>
          <w:rFonts w:cs="Arial"/>
          <w:sz w:val="22"/>
          <w:szCs w:val="22"/>
        </w:rPr>
        <w:t>.  The Commission employs this citation in footnote 80:</w:t>
      </w:r>
    </w:p>
    <w:p w14:paraId="6D6F8C80" w14:textId="77777777" w:rsidR="005B411E" w:rsidRDefault="005B411E" w:rsidP="00665391">
      <w:pPr>
        <w:pStyle w:val="p1"/>
        <w:rPr>
          <w:rFonts w:cs="Arial"/>
          <w:sz w:val="22"/>
          <w:szCs w:val="22"/>
        </w:rPr>
      </w:pPr>
    </w:p>
    <w:p w14:paraId="7C33A630" w14:textId="77777777" w:rsidR="00665391" w:rsidRDefault="00665391" w:rsidP="00665391">
      <w:pPr>
        <w:pStyle w:val="p1"/>
        <w:rPr>
          <w:rFonts w:cs="Arial"/>
          <w:sz w:val="22"/>
          <w:szCs w:val="22"/>
        </w:rPr>
      </w:pPr>
    </w:p>
    <w:p w14:paraId="647B7479" w14:textId="77777777" w:rsidR="00665391" w:rsidRDefault="00665391" w:rsidP="00665391">
      <w:pPr>
        <w:pStyle w:val="BodyText"/>
        <w:kinsoku w:val="0"/>
        <w:overflowPunct w:val="0"/>
        <w:ind w:left="40"/>
        <w:rPr>
          <w:sz w:val="22"/>
          <w:szCs w:val="22"/>
        </w:rPr>
      </w:pPr>
      <w:bookmarkStart w:id="6" w:name="_bookmark7"/>
      <w:bookmarkStart w:id="7" w:name="_bookmark6"/>
      <w:bookmarkStart w:id="8" w:name="_bookmark5"/>
      <w:bookmarkEnd w:id="6"/>
      <w:bookmarkEnd w:id="7"/>
      <w:bookmarkEnd w:id="8"/>
      <w:r>
        <w:rPr>
          <w:sz w:val="22"/>
          <w:szCs w:val="22"/>
          <w:vertAlign w:val="superscript"/>
        </w:rPr>
        <w:lastRenderedPageBreak/>
        <w:t>“</w:t>
      </w:r>
      <w:r w:rsidRPr="00D66382">
        <w:rPr>
          <w:sz w:val="22"/>
          <w:szCs w:val="22"/>
          <w:vertAlign w:val="superscript"/>
        </w:rPr>
        <w:t>80</w:t>
      </w:r>
      <w:r w:rsidRPr="00D66382">
        <w:rPr>
          <w:sz w:val="22"/>
          <w:szCs w:val="22"/>
        </w:rPr>
        <w:t xml:space="preserve">For example, an antenna operating at 116-122 GHz that has a gain of 60 dB </w:t>
      </w:r>
      <w:r>
        <w:rPr>
          <w:sz w:val="22"/>
          <w:szCs w:val="22"/>
        </w:rPr>
        <w:t xml:space="preserve">[sic] </w:t>
      </w:r>
      <w:r w:rsidRPr="00D66382">
        <w:rPr>
          <w:sz w:val="22"/>
          <w:szCs w:val="22"/>
        </w:rPr>
        <w:t xml:space="preserve">looking skyward will have a gain of approximately -27 dB </w:t>
      </w:r>
      <w:r>
        <w:rPr>
          <w:sz w:val="22"/>
          <w:szCs w:val="22"/>
        </w:rPr>
        <w:t xml:space="preserve">[sic] </w:t>
      </w:r>
      <w:r w:rsidRPr="00D66382">
        <w:rPr>
          <w:sz w:val="22"/>
          <w:szCs w:val="22"/>
        </w:rPr>
        <w:t>towards the horizon. Following the methodology of NRAO, but using our assumption of antenna horizon gain, the resulting separation distance from a radio astronomy receive antenna ranges fr</w:t>
      </w:r>
      <w:r>
        <w:rPr>
          <w:sz w:val="22"/>
          <w:szCs w:val="22"/>
        </w:rPr>
        <w:t>om</w:t>
      </w:r>
      <w:r w:rsidRPr="00D66382">
        <w:rPr>
          <w:sz w:val="22"/>
          <w:szCs w:val="22"/>
        </w:rPr>
        <w:t xml:space="preserve"> 5 km</w:t>
      </w:r>
      <w:r>
        <w:rPr>
          <w:sz w:val="22"/>
          <w:szCs w:val="22"/>
        </w:rPr>
        <w:t xml:space="preserve"> </w:t>
      </w:r>
      <w:r w:rsidRPr="00D66382">
        <w:rPr>
          <w:sz w:val="22"/>
          <w:szCs w:val="22"/>
        </w:rPr>
        <w:t>to 0.98 km, a distance that is within the property lines and the control of radio astronomy observatories.</w:t>
      </w:r>
      <w:r>
        <w:rPr>
          <w:sz w:val="22"/>
          <w:szCs w:val="22"/>
        </w:rPr>
        <w:t>”</w:t>
      </w:r>
    </w:p>
    <w:p w14:paraId="6F303BAB" w14:textId="77777777" w:rsidR="00665391" w:rsidRPr="00D66382" w:rsidRDefault="00665391" w:rsidP="00665391">
      <w:pPr>
        <w:pStyle w:val="BodyText"/>
        <w:kinsoku w:val="0"/>
        <w:overflowPunct w:val="0"/>
        <w:ind w:left="40"/>
        <w:rPr>
          <w:rFonts w:ascii="Helvetica" w:hAnsi="Helvetica"/>
          <w:sz w:val="22"/>
          <w:szCs w:val="22"/>
        </w:rPr>
      </w:pPr>
    </w:p>
    <w:p w14:paraId="10996DEE" w14:textId="68DD3A08" w:rsidR="00665391" w:rsidRDefault="002E51A6" w:rsidP="00665391">
      <w:pPr>
        <w:pStyle w:val="BodyText"/>
        <w:kinsoku w:val="0"/>
        <w:overflowPunct w:val="0"/>
        <w:ind w:left="40"/>
        <w:rPr>
          <w:rFonts w:ascii="Helvetica" w:hAnsi="Helvetica"/>
          <w:sz w:val="22"/>
          <w:szCs w:val="22"/>
        </w:rPr>
      </w:pPr>
      <w:r>
        <w:rPr>
          <w:rFonts w:ascii="Helvetica" w:hAnsi="Helvetica"/>
          <w:sz w:val="22"/>
          <w:szCs w:val="22"/>
        </w:rPr>
        <w:t>However, a</w:t>
      </w:r>
      <w:r w:rsidR="00665391">
        <w:rPr>
          <w:rFonts w:ascii="Helvetica" w:hAnsi="Helvetica"/>
          <w:sz w:val="22"/>
          <w:szCs w:val="22"/>
        </w:rPr>
        <w:t xml:space="preserve">n antenna with a gain of 60 </w:t>
      </w:r>
      <w:proofErr w:type="spellStart"/>
      <w:r w:rsidR="00665391">
        <w:rPr>
          <w:rFonts w:ascii="Helvetica" w:hAnsi="Helvetica"/>
          <w:sz w:val="22"/>
          <w:szCs w:val="22"/>
        </w:rPr>
        <w:t>dBi</w:t>
      </w:r>
      <w:proofErr w:type="spellEnd"/>
      <w:r w:rsidR="00665391">
        <w:rPr>
          <w:rFonts w:ascii="Helvetica" w:hAnsi="Helvetica"/>
          <w:sz w:val="22"/>
          <w:szCs w:val="22"/>
        </w:rPr>
        <w:t xml:space="preserve"> at 120 GHz has a diameter of approximately 0.8m and does not correspond to a radio astronomy antenna</w:t>
      </w:r>
      <w:r>
        <w:rPr>
          <w:rFonts w:ascii="Helvetica" w:hAnsi="Helvetica"/>
          <w:sz w:val="22"/>
          <w:szCs w:val="22"/>
        </w:rPr>
        <w:t xml:space="preserve"> which the Commission at various points in the R&amp;O </w:t>
      </w:r>
      <w:r w:rsidR="007E2A45">
        <w:rPr>
          <w:rFonts w:ascii="Helvetica" w:hAnsi="Helvetica"/>
          <w:sz w:val="22"/>
          <w:szCs w:val="22"/>
        </w:rPr>
        <w:t xml:space="preserve">characterizes (in </w:t>
      </w:r>
      <w:r w:rsidR="007E2A45">
        <w:rPr>
          <w:rFonts w:cs="Arial"/>
          <w:sz w:val="22"/>
          <w:szCs w:val="22"/>
        </w:rPr>
        <w:t>¶33</w:t>
      </w:r>
      <w:r w:rsidR="007E2A45">
        <w:rPr>
          <w:rFonts w:ascii="Helvetica" w:hAnsi="Helvetica"/>
          <w:sz w:val="22"/>
          <w:szCs w:val="22"/>
        </w:rPr>
        <w:t>)</w:t>
      </w:r>
      <w:r>
        <w:rPr>
          <w:rFonts w:ascii="Helvetica" w:hAnsi="Helvetica"/>
          <w:sz w:val="22"/>
          <w:szCs w:val="22"/>
        </w:rPr>
        <w:t xml:space="preserve"> as </w:t>
      </w:r>
      <w:r w:rsidR="007E2A45">
        <w:rPr>
          <w:rFonts w:ascii="Helvetica" w:hAnsi="Helvetica"/>
          <w:sz w:val="22"/>
          <w:szCs w:val="22"/>
        </w:rPr>
        <w:t xml:space="preserve">needing to </w:t>
      </w:r>
      <w:r w:rsidR="008926CC">
        <w:rPr>
          <w:rFonts w:ascii="Helvetica" w:hAnsi="Helvetica"/>
          <w:sz w:val="22"/>
          <w:szCs w:val="22"/>
        </w:rPr>
        <w:t>be</w:t>
      </w:r>
      <w:r>
        <w:rPr>
          <w:rFonts w:ascii="Helvetica" w:hAnsi="Helvetica"/>
          <w:sz w:val="22"/>
          <w:szCs w:val="22"/>
        </w:rPr>
        <w:t xml:space="preserve"> “large”</w:t>
      </w:r>
      <w:r w:rsidR="00665391">
        <w:rPr>
          <w:rFonts w:ascii="Helvetica" w:hAnsi="Helvetica"/>
          <w:sz w:val="22"/>
          <w:szCs w:val="22"/>
        </w:rPr>
        <w:t xml:space="preserve">.  As for the gain toward the horizon, none is specified in S.1586 while ITU-R Rec. RA.1631 that is suggested in S.1586 has </w:t>
      </w:r>
      <w:r w:rsidR="008041CA">
        <w:rPr>
          <w:rFonts w:ascii="Helvetica" w:hAnsi="Helvetica"/>
          <w:sz w:val="22"/>
          <w:szCs w:val="22"/>
        </w:rPr>
        <w:t>an</w:t>
      </w:r>
      <w:r w:rsidR="00665391">
        <w:rPr>
          <w:rFonts w:ascii="Helvetica" w:hAnsi="Helvetica"/>
          <w:sz w:val="22"/>
          <w:szCs w:val="22"/>
        </w:rPr>
        <w:t xml:space="preserve"> off-axis gain </w:t>
      </w:r>
      <w:r w:rsidR="008041CA">
        <w:rPr>
          <w:rFonts w:ascii="Helvetica" w:hAnsi="Helvetica"/>
          <w:sz w:val="22"/>
          <w:szCs w:val="22"/>
        </w:rPr>
        <w:t xml:space="preserve">in the range -7 to </w:t>
      </w:r>
      <w:r w:rsidR="00665391">
        <w:rPr>
          <w:rFonts w:ascii="Helvetica" w:hAnsi="Helvetica"/>
          <w:sz w:val="22"/>
          <w:szCs w:val="22"/>
        </w:rPr>
        <w:t xml:space="preserve">-12 </w:t>
      </w:r>
      <w:proofErr w:type="spellStart"/>
      <w:r w:rsidR="00665391">
        <w:rPr>
          <w:rFonts w:ascii="Helvetica" w:hAnsi="Helvetica"/>
          <w:sz w:val="22"/>
          <w:szCs w:val="22"/>
        </w:rPr>
        <w:t>dBi</w:t>
      </w:r>
      <w:proofErr w:type="spellEnd"/>
      <w:r w:rsidR="008041CA">
        <w:rPr>
          <w:rFonts w:ascii="Helvetica" w:hAnsi="Helvetica"/>
          <w:sz w:val="22"/>
          <w:szCs w:val="22"/>
        </w:rPr>
        <w:t xml:space="preserve"> for off-axis beam angles above 34</w:t>
      </w:r>
      <w:r w:rsidR="008041CA" w:rsidRPr="008041CA">
        <w:rPr>
          <w:rFonts w:ascii="Helvetica" w:hAnsi="Helvetica"/>
          <w:sz w:val="22"/>
          <w:szCs w:val="22"/>
          <w:vertAlign w:val="superscript"/>
        </w:rPr>
        <w:t>o</w:t>
      </w:r>
      <w:r w:rsidR="00665391">
        <w:rPr>
          <w:rFonts w:ascii="Helvetica" w:hAnsi="Helvetica"/>
          <w:sz w:val="22"/>
          <w:szCs w:val="22"/>
        </w:rPr>
        <w:t>.</w:t>
      </w:r>
      <w:r>
        <w:rPr>
          <w:rFonts w:ascii="Helvetica" w:hAnsi="Helvetica"/>
          <w:sz w:val="22"/>
          <w:szCs w:val="22"/>
        </w:rPr>
        <w:t xml:space="preserve">  No model antenna beam pattern that is familiar to the NRAO has an off-axis gain as small as -27 </w:t>
      </w:r>
      <w:proofErr w:type="spellStart"/>
      <w:r>
        <w:rPr>
          <w:rFonts w:ascii="Helvetica" w:hAnsi="Helvetica"/>
          <w:sz w:val="22"/>
          <w:szCs w:val="22"/>
        </w:rPr>
        <w:t>dBi</w:t>
      </w:r>
      <w:proofErr w:type="spellEnd"/>
      <w:r>
        <w:rPr>
          <w:rFonts w:ascii="Helvetica" w:hAnsi="Helvetica"/>
          <w:sz w:val="22"/>
          <w:szCs w:val="22"/>
        </w:rPr>
        <w:t>.</w:t>
      </w:r>
      <w:r w:rsidR="00665391">
        <w:rPr>
          <w:rFonts w:ascii="Helvetica" w:hAnsi="Helvetica"/>
          <w:sz w:val="22"/>
          <w:szCs w:val="22"/>
        </w:rPr>
        <w:t xml:space="preserve"> </w:t>
      </w:r>
    </w:p>
    <w:p w14:paraId="4DD020B5" w14:textId="77777777" w:rsidR="00665391" w:rsidRDefault="00665391" w:rsidP="00665391">
      <w:pPr>
        <w:pStyle w:val="BodyText"/>
        <w:kinsoku w:val="0"/>
        <w:overflowPunct w:val="0"/>
        <w:ind w:left="40"/>
        <w:rPr>
          <w:rFonts w:ascii="Helvetica" w:hAnsi="Helvetica"/>
          <w:sz w:val="22"/>
          <w:szCs w:val="22"/>
        </w:rPr>
      </w:pPr>
    </w:p>
    <w:p w14:paraId="3BF0CFE6" w14:textId="5FFE9109" w:rsidR="005B411E" w:rsidRDefault="00665391" w:rsidP="0006460D">
      <w:pPr>
        <w:pStyle w:val="BodyText"/>
        <w:kinsoku w:val="0"/>
        <w:overflowPunct w:val="0"/>
        <w:ind w:left="40"/>
        <w:rPr>
          <w:rFonts w:ascii="Helvetica" w:hAnsi="Helvetica"/>
          <w:sz w:val="22"/>
          <w:szCs w:val="22"/>
        </w:rPr>
      </w:pPr>
      <w:r>
        <w:rPr>
          <w:rFonts w:ascii="Helvetica" w:hAnsi="Helvetica"/>
          <w:sz w:val="22"/>
          <w:szCs w:val="22"/>
        </w:rPr>
        <w:t>However, this begs the question of why the Commission d</w:t>
      </w:r>
      <w:r w:rsidR="00F06ABA">
        <w:rPr>
          <w:rFonts w:ascii="Helvetica" w:hAnsi="Helvetica"/>
          <w:sz w:val="22"/>
          <w:szCs w:val="22"/>
        </w:rPr>
        <w:t>id</w:t>
      </w:r>
      <w:r>
        <w:rPr>
          <w:rFonts w:ascii="Helvetica" w:hAnsi="Helvetica"/>
          <w:sz w:val="22"/>
          <w:szCs w:val="22"/>
        </w:rPr>
        <w:t xml:space="preserve"> not accept </w:t>
      </w:r>
      <w:r w:rsidR="002E51A6">
        <w:rPr>
          <w:rFonts w:ascii="Helvetica" w:hAnsi="Helvetica"/>
          <w:sz w:val="22"/>
          <w:szCs w:val="22"/>
        </w:rPr>
        <w:t xml:space="preserve">CORF’s and </w:t>
      </w:r>
      <w:r>
        <w:rPr>
          <w:rFonts w:ascii="Helvetica" w:hAnsi="Helvetica"/>
          <w:sz w:val="22"/>
          <w:szCs w:val="22"/>
        </w:rPr>
        <w:t xml:space="preserve">NRAO’s </w:t>
      </w:r>
      <w:r w:rsidR="008926CC">
        <w:rPr>
          <w:rFonts w:ascii="Helvetica" w:hAnsi="Helvetica"/>
          <w:sz w:val="22"/>
          <w:szCs w:val="22"/>
        </w:rPr>
        <w:t>explanation</w:t>
      </w:r>
      <w:r w:rsidR="00D05A70">
        <w:rPr>
          <w:rFonts w:ascii="Helvetica" w:hAnsi="Helvetica"/>
          <w:sz w:val="22"/>
          <w:szCs w:val="22"/>
        </w:rPr>
        <w:t>s</w:t>
      </w:r>
      <w:r w:rsidR="008926CC">
        <w:rPr>
          <w:rFonts w:ascii="Helvetica" w:hAnsi="Helvetica"/>
          <w:sz w:val="22"/>
          <w:szCs w:val="22"/>
        </w:rPr>
        <w:t xml:space="preserve"> </w:t>
      </w:r>
      <w:r w:rsidR="008041CA">
        <w:rPr>
          <w:rFonts w:ascii="Helvetica" w:hAnsi="Helvetica"/>
          <w:sz w:val="22"/>
          <w:szCs w:val="22"/>
        </w:rPr>
        <w:t>of</w:t>
      </w:r>
      <w:r w:rsidR="008926CC">
        <w:rPr>
          <w:rFonts w:ascii="Helvetica" w:hAnsi="Helvetica"/>
          <w:sz w:val="22"/>
          <w:szCs w:val="22"/>
        </w:rPr>
        <w:t xml:space="preserve"> </w:t>
      </w:r>
      <w:r w:rsidR="00D05A70">
        <w:rPr>
          <w:rFonts w:ascii="Helvetica" w:hAnsi="Helvetica"/>
          <w:sz w:val="22"/>
          <w:szCs w:val="22"/>
        </w:rPr>
        <w:t xml:space="preserve">their </w:t>
      </w:r>
      <w:r>
        <w:rPr>
          <w:rFonts w:ascii="Helvetica" w:hAnsi="Helvetica"/>
          <w:sz w:val="22"/>
          <w:szCs w:val="22"/>
        </w:rPr>
        <w:t xml:space="preserve">use of 0 </w:t>
      </w:r>
      <w:proofErr w:type="spellStart"/>
      <w:r>
        <w:rPr>
          <w:rFonts w:ascii="Helvetica" w:hAnsi="Helvetica"/>
          <w:sz w:val="22"/>
          <w:szCs w:val="22"/>
        </w:rPr>
        <w:t>dBi</w:t>
      </w:r>
      <w:proofErr w:type="spellEnd"/>
      <w:r>
        <w:rPr>
          <w:rFonts w:ascii="Helvetica" w:hAnsi="Helvetica"/>
          <w:sz w:val="22"/>
          <w:szCs w:val="22"/>
        </w:rPr>
        <w:t xml:space="preserve"> gain</w:t>
      </w:r>
      <w:r w:rsidR="005B411E">
        <w:rPr>
          <w:rFonts w:ascii="Helvetica" w:hAnsi="Helvetica"/>
          <w:sz w:val="22"/>
          <w:szCs w:val="22"/>
        </w:rPr>
        <w:t>, and why the Commission</w:t>
      </w:r>
      <w:r w:rsidR="008041CA">
        <w:rPr>
          <w:rFonts w:ascii="Helvetica" w:hAnsi="Helvetica"/>
          <w:sz w:val="22"/>
          <w:szCs w:val="22"/>
        </w:rPr>
        <w:t xml:space="preserve"> consistently</w:t>
      </w:r>
      <w:r w:rsidR="005B411E">
        <w:rPr>
          <w:rFonts w:ascii="Helvetica" w:hAnsi="Helvetica"/>
          <w:sz w:val="22"/>
          <w:szCs w:val="22"/>
        </w:rPr>
        <w:t xml:space="preserve"> advocat</w:t>
      </w:r>
      <w:r w:rsidR="00F06ABA">
        <w:rPr>
          <w:rFonts w:ascii="Helvetica" w:hAnsi="Helvetica"/>
          <w:sz w:val="22"/>
          <w:szCs w:val="22"/>
        </w:rPr>
        <w:t xml:space="preserve">es </w:t>
      </w:r>
      <w:r w:rsidR="005B411E">
        <w:rPr>
          <w:rFonts w:ascii="Helvetica" w:hAnsi="Helvetica"/>
          <w:sz w:val="22"/>
          <w:szCs w:val="22"/>
        </w:rPr>
        <w:t xml:space="preserve">that radio telescopes do not receive interference when pointing </w:t>
      </w:r>
      <w:r w:rsidR="008041CA">
        <w:rPr>
          <w:rFonts w:ascii="Helvetica" w:hAnsi="Helvetica"/>
          <w:sz w:val="22"/>
          <w:szCs w:val="22"/>
        </w:rPr>
        <w:t xml:space="preserve">away from </w:t>
      </w:r>
      <w:r w:rsidR="005B411E">
        <w:rPr>
          <w:rFonts w:ascii="Helvetica" w:hAnsi="Helvetica"/>
          <w:sz w:val="22"/>
          <w:szCs w:val="22"/>
        </w:rPr>
        <w:t>the interferer.</w:t>
      </w:r>
    </w:p>
    <w:p w14:paraId="0C98614B" w14:textId="77777777" w:rsidR="005B411E" w:rsidRPr="007000F4" w:rsidRDefault="005B411E" w:rsidP="005B411E">
      <w:pPr>
        <w:pStyle w:val="p1"/>
        <w:rPr>
          <w:rFonts w:cs="Arial"/>
          <w:b/>
          <w:sz w:val="22"/>
          <w:szCs w:val="22"/>
        </w:rPr>
      </w:pPr>
    </w:p>
    <w:p w14:paraId="4CD9343D" w14:textId="76B62090" w:rsidR="005B411E" w:rsidRDefault="005B411E" w:rsidP="005B411E">
      <w:pPr>
        <w:pStyle w:val="p1"/>
        <w:numPr>
          <w:ilvl w:val="0"/>
          <w:numId w:val="1"/>
        </w:numPr>
        <w:rPr>
          <w:rFonts w:cs="Arial"/>
          <w:b/>
          <w:sz w:val="22"/>
          <w:szCs w:val="22"/>
        </w:rPr>
      </w:pPr>
      <w:r w:rsidRPr="007000F4">
        <w:rPr>
          <w:rFonts w:cs="Arial"/>
          <w:b/>
          <w:sz w:val="22"/>
          <w:szCs w:val="22"/>
        </w:rPr>
        <w:t xml:space="preserve"> </w:t>
      </w:r>
      <w:r w:rsidR="00EA703C">
        <w:rPr>
          <w:rFonts w:cs="Arial"/>
          <w:b/>
          <w:sz w:val="22"/>
          <w:szCs w:val="22"/>
        </w:rPr>
        <w:t>Directivity, i</w:t>
      </w:r>
      <w:r>
        <w:rPr>
          <w:rFonts w:cs="Arial"/>
          <w:b/>
          <w:sz w:val="22"/>
          <w:szCs w:val="22"/>
        </w:rPr>
        <w:t>nterference and gain</w:t>
      </w:r>
    </w:p>
    <w:p w14:paraId="478ED286" w14:textId="2AFD26D7" w:rsidR="005B411E" w:rsidRDefault="005B411E" w:rsidP="005B411E">
      <w:pPr>
        <w:pStyle w:val="BodyText"/>
        <w:kinsoku w:val="0"/>
        <w:overflowPunct w:val="0"/>
        <w:ind w:left="0"/>
        <w:rPr>
          <w:rFonts w:ascii="Helvetica" w:hAnsi="Helvetica"/>
          <w:sz w:val="22"/>
          <w:szCs w:val="22"/>
        </w:rPr>
      </w:pPr>
    </w:p>
    <w:p w14:paraId="73DBA839" w14:textId="08255A2D" w:rsidR="00600403" w:rsidRDefault="00EA703C" w:rsidP="0074013C">
      <w:pPr>
        <w:pStyle w:val="BodyText"/>
        <w:kinsoku w:val="0"/>
        <w:overflowPunct w:val="0"/>
        <w:ind w:left="40"/>
        <w:rPr>
          <w:rFonts w:ascii="Helvetica" w:hAnsi="Helvetica"/>
          <w:sz w:val="22"/>
          <w:szCs w:val="22"/>
        </w:rPr>
      </w:pPr>
      <w:r>
        <w:rPr>
          <w:rFonts w:ascii="Helvetica" w:hAnsi="Helvetica"/>
          <w:sz w:val="22"/>
          <w:szCs w:val="22"/>
        </w:rPr>
        <w:t>The high directivity of large antennas is necessary for the discrimination (detection) of weak sources of cosmic radio radiation, but this</w:t>
      </w:r>
      <w:r w:rsidR="00600403">
        <w:rPr>
          <w:rFonts w:ascii="Helvetica" w:hAnsi="Helvetica"/>
          <w:sz w:val="22"/>
          <w:szCs w:val="22"/>
        </w:rPr>
        <w:t xml:space="preserve"> does not</w:t>
      </w:r>
      <w:r>
        <w:rPr>
          <w:rFonts w:ascii="Helvetica" w:hAnsi="Helvetica"/>
          <w:sz w:val="22"/>
          <w:szCs w:val="22"/>
        </w:rPr>
        <w:t xml:space="preserve"> protect against the presence of </w:t>
      </w:r>
      <w:r w:rsidR="00600403">
        <w:rPr>
          <w:rFonts w:ascii="Helvetica" w:hAnsi="Helvetica"/>
          <w:sz w:val="22"/>
          <w:szCs w:val="22"/>
        </w:rPr>
        <w:t xml:space="preserve">extraneous </w:t>
      </w:r>
      <w:r>
        <w:rPr>
          <w:rFonts w:ascii="Helvetica" w:hAnsi="Helvetica"/>
          <w:sz w:val="22"/>
          <w:szCs w:val="22"/>
        </w:rPr>
        <w:t>interfering signals in antenna sidelobes.</w:t>
      </w:r>
      <w:r w:rsidR="0074013C">
        <w:rPr>
          <w:rFonts w:ascii="Helvetica" w:hAnsi="Helvetica"/>
          <w:sz w:val="22"/>
          <w:szCs w:val="22"/>
        </w:rPr>
        <w:t xml:space="preserve"> </w:t>
      </w:r>
      <w:r>
        <w:rPr>
          <w:rFonts w:ascii="Helvetica" w:hAnsi="Helvetica"/>
          <w:sz w:val="22"/>
          <w:szCs w:val="22"/>
        </w:rPr>
        <w:t xml:space="preserve"> Radio</w:t>
      </w:r>
      <w:r w:rsidR="00600403">
        <w:rPr>
          <w:rFonts w:ascii="Helvetica" w:hAnsi="Helvetica"/>
          <w:sz w:val="22"/>
          <w:szCs w:val="22"/>
        </w:rPr>
        <w:t xml:space="preserve"> </w:t>
      </w:r>
      <w:r>
        <w:rPr>
          <w:rFonts w:ascii="Helvetica" w:hAnsi="Helvetica"/>
          <w:sz w:val="22"/>
          <w:szCs w:val="22"/>
        </w:rPr>
        <w:t xml:space="preserve">waves impinging on the antenna </w:t>
      </w:r>
      <w:r w:rsidR="0074013C">
        <w:rPr>
          <w:rFonts w:ascii="Helvetica" w:hAnsi="Helvetica"/>
          <w:sz w:val="22"/>
          <w:szCs w:val="22"/>
        </w:rPr>
        <w:t xml:space="preserve">structure </w:t>
      </w:r>
      <w:r>
        <w:rPr>
          <w:rFonts w:ascii="Helvetica" w:hAnsi="Helvetica"/>
          <w:sz w:val="22"/>
          <w:szCs w:val="22"/>
        </w:rPr>
        <w:t>from any</w:t>
      </w:r>
      <w:r w:rsidR="0074013C">
        <w:rPr>
          <w:rFonts w:ascii="Helvetica" w:hAnsi="Helvetica"/>
          <w:sz w:val="22"/>
          <w:szCs w:val="22"/>
        </w:rPr>
        <w:t>where</w:t>
      </w:r>
      <w:r>
        <w:rPr>
          <w:rFonts w:ascii="Helvetica" w:hAnsi="Helvetica"/>
          <w:sz w:val="22"/>
          <w:szCs w:val="22"/>
        </w:rPr>
        <w:t xml:space="preserve"> may eventually enter the signal chain and be </w:t>
      </w:r>
      <w:r w:rsidR="0074013C">
        <w:rPr>
          <w:rFonts w:ascii="Helvetica" w:hAnsi="Helvetica"/>
          <w:sz w:val="22"/>
          <w:szCs w:val="22"/>
        </w:rPr>
        <w:t>detected in</w:t>
      </w:r>
      <w:r>
        <w:rPr>
          <w:rFonts w:ascii="Helvetica" w:hAnsi="Helvetica"/>
          <w:sz w:val="22"/>
          <w:szCs w:val="22"/>
        </w:rPr>
        <w:t xml:space="preserve"> sidelobes that are an unavoidable consequence of all antenna design.</w:t>
      </w:r>
    </w:p>
    <w:p w14:paraId="4CC7D1EF" w14:textId="00C1156A" w:rsidR="00EA703C" w:rsidRDefault="00EA703C" w:rsidP="005B411E">
      <w:pPr>
        <w:pStyle w:val="BodyText"/>
        <w:kinsoku w:val="0"/>
        <w:overflowPunct w:val="0"/>
        <w:ind w:left="0"/>
        <w:rPr>
          <w:rFonts w:ascii="Helvetica" w:hAnsi="Helvetica"/>
          <w:sz w:val="22"/>
          <w:szCs w:val="22"/>
        </w:rPr>
      </w:pPr>
      <w:r>
        <w:rPr>
          <w:rFonts w:ascii="Helvetica" w:hAnsi="Helvetica"/>
          <w:sz w:val="22"/>
          <w:szCs w:val="22"/>
        </w:rPr>
        <w:t xml:space="preserve"> </w:t>
      </w:r>
    </w:p>
    <w:p w14:paraId="476352E2" w14:textId="59A80264" w:rsidR="00F06ABA" w:rsidRDefault="007A5D25" w:rsidP="008041CA">
      <w:pPr>
        <w:pStyle w:val="BodyText"/>
        <w:kinsoku w:val="0"/>
        <w:overflowPunct w:val="0"/>
        <w:ind w:left="40"/>
        <w:rPr>
          <w:rFonts w:ascii="Helvetica" w:hAnsi="Helvetica"/>
          <w:sz w:val="22"/>
          <w:szCs w:val="22"/>
        </w:rPr>
      </w:pPr>
      <w:r>
        <w:rPr>
          <w:rFonts w:ascii="Helvetica" w:hAnsi="Helvetica"/>
          <w:sz w:val="22"/>
          <w:szCs w:val="22"/>
        </w:rPr>
        <w:t xml:space="preserve">The response of any antenna integrated over its beam pattern is 0 </w:t>
      </w:r>
      <w:proofErr w:type="spellStart"/>
      <w:r>
        <w:rPr>
          <w:rFonts w:ascii="Helvetica" w:hAnsi="Helvetica"/>
          <w:sz w:val="22"/>
          <w:szCs w:val="22"/>
        </w:rPr>
        <w:t>dBi</w:t>
      </w:r>
      <w:proofErr w:type="spellEnd"/>
      <w:r>
        <w:rPr>
          <w:rFonts w:ascii="Helvetica" w:hAnsi="Helvetica"/>
          <w:sz w:val="22"/>
          <w:szCs w:val="22"/>
        </w:rPr>
        <w:t>, and t</w:t>
      </w:r>
      <w:r w:rsidR="00B75FCE">
        <w:rPr>
          <w:rFonts w:ascii="Helvetica" w:hAnsi="Helvetica"/>
          <w:sz w:val="22"/>
          <w:szCs w:val="22"/>
        </w:rPr>
        <w:t xml:space="preserve">he interference thresholds </w:t>
      </w:r>
      <w:r>
        <w:rPr>
          <w:rFonts w:ascii="Helvetica" w:hAnsi="Helvetica"/>
          <w:sz w:val="22"/>
          <w:szCs w:val="22"/>
        </w:rPr>
        <w:t xml:space="preserve">that </w:t>
      </w:r>
      <w:r w:rsidR="00B75FCE">
        <w:rPr>
          <w:rFonts w:ascii="Helvetica" w:hAnsi="Helvetica"/>
          <w:sz w:val="22"/>
          <w:szCs w:val="22"/>
        </w:rPr>
        <w:t xml:space="preserve">form the basis </w:t>
      </w:r>
      <w:r>
        <w:rPr>
          <w:rFonts w:ascii="Helvetica" w:hAnsi="Helvetica"/>
          <w:sz w:val="22"/>
          <w:szCs w:val="22"/>
        </w:rPr>
        <w:t>for protecting</w:t>
      </w:r>
      <w:r w:rsidR="00B75FCE">
        <w:rPr>
          <w:rFonts w:ascii="Helvetica" w:hAnsi="Helvetica"/>
          <w:sz w:val="22"/>
          <w:szCs w:val="22"/>
        </w:rPr>
        <w:t xml:space="preserve"> the radio astronomy service </w:t>
      </w:r>
      <w:r w:rsidR="0006460D">
        <w:rPr>
          <w:rFonts w:ascii="Helvetica" w:hAnsi="Helvetica"/>
          <w:sz w:val="22"/>
          <w:szCs w:val="22"/>
        </w:rPr>
        <w:t xml:space="preserve">are calculated </w:t>
      </w:r>
      <w:r w:rsidR="00F06ABA">
        <w:rPr>
          <w:rFonts w:ascii="Helvetica" w:hAnsi="Helvetica"/>
          <w:sz w:val="22"/>
          <w:szCs w:val="22"/>
        </w:rPr>
        <w:t xml:space="preserve">in ITU-R Rec. RA.769 </w:t>
      </w:r>
      <w:r w:rsidR="0006460D">
        <w:rPr>
          <w:rFonts w:ascii="Helvetica" w:hAnsi="Helvetica"/>
          <w:sz w:val="22"/>
          <w:szCs w:val="22"/>
        </w:rPr>
        <w:t xml:space="preserve">for 0 </w:t>
      </w:r>
      <w:proofErr w:type="spellStart"/>
      <w:r w:rsidR="0006460D">
        <w:rPr>
          <w:rFonts w:ascii="Helvetica" w:hAnsi="Helvetica"/>
          <w:sz w:val="22"/>
          <w:szCs w:val="22"/>
        </w:rPr>
        <w:t>dBi</w:t>
      </w:r>
      <w:proofErr w:type="spellEnd"/>
      <w:r w:rsidR="0006460D">
        <w:rPr>
          <w:rFonts w:ascii="Helvetica" w:hAnsi="Helvetica"/>
          <w:sz w:val="22"/>
          <w:szCs w:val="22"/>
        </w:rPr>
        <w:t xml:space="preserve"> gain</w:t>
      </w:r>
      <w:r w:rsidR="008041CA">
        <w:rPr>
          <w:rFonts w:ascii="Helvetica" w:hAnsi="Helvetica"/>
          <w:sz w:val="22"/>
          <w:szCs w:val="22"/>
        </w:rPr>
        <w:t xml:space="preserve"> in the </w:t>
      </w:r>
      <w:proofErr w:type="spellStart"/>
      <w:r w:rsidR="008041CA">
        <w:rPr>
          <w:rFonts w:ascii="Helvetica" w:hAnsi="Helvetica"/>
          <w:sz w:val="22"/>
          <w:szCs w:val="22"/>
        </w:rPr>
        <w:t>general</w:t>
      </w:r>
      <w:proofErr w:type="spellEnd"/>
      <w:r w:rsidR="008041CA">
        <w:rPr>
          <w:rFonts w:ascii="Helvetica" w:hAnsi="Helvetica"/>
          <w:sz w:val="22"/>
          <w:szCs w:val="22"/>
        </w:rPr>
        <w:t xml:space="preserve"> case and</w:t>
      </w:r>
      <w:r w:rsidR="00F06ABA">
        <w:rPr>
          <w:rFonts w:ascii="Helvetica" w:hAnsi="Helvetica"/>
          <w:sz w:val="22"/>
          <w:szCs w:val="22"/>
        </w:rPr>
        <w:t xml:space="preserve"> for </w:t>
      </w:r>
      <w:r w:rsidR="0006460D">
        <w:rPr>
          <w:rFonts w:ascii="Helvetica" w:hAnsi="Helvetica"/>
          <w:sz w:val="22"/>
          <w:szCs w:val="22"/>
        </w:rPr>
        <w:t xml:space="preserve">+15 </w:t>
      </w:r>
      <w:proofErr w:type="spellStart"/>
      <w:r w:rsidR="0006460D">
        <w:rPr>
          <w:rFonts w:ascii="Helvetica" w:hAnsi="Helvetica"/>
          <w:sz w:val="22"/>
          <w:szCs w:val="22"/>
        </w:rPr>
        <w:t>dBi</w:t>
      </w:r>
      <w:proofErr w:type="spellEnd"/>
      <w:r w:rsidR="0006460D">
        <w:rPr>
          <w:rFonts w:ascii="Helvetica" w:hAnsi="Helvetica"/>
          <w:sz w:val="22"/>
          <w:szCs w:val="22"/>
        </w:rPr>
        <w:t xml:space="preserve"> gain</w:t>
      </w:r>
      <w:r w:rsidR="008041CA">
        <w:rPr>
          <w:rFonts w:ascii="Helvetica" w:hAnsi="Helvetica"/>
          <w:sz w:val="22"/>
          <w:szCs w:val="22"/>
        </w:rPr>
        <w:t xml:space="preserve"> in </w:t>
      </w:r>
      <w:r w:rsidR="00F06ABA">
        <w:rPr>
          <w:rFonts w:ascii="Helvetica" w:hAnsi="Helvetica"/>
          <w:sz w:val="22"/>
          <w:szCs w:val="22"/>
        </w:rPr>
        <w:t>the particular case of</w:t>
      </w:r>
      <w:r w:rsidR="005B411E">
        <w:rPr>
          <w:rFonts w:ascii="Helvetica" w:hAnsi="Helvetica"/>
          <w:sz w:val="22"/>
          <w:szCs w:val="22"/>
        </w:rPr>
        <w:t xml:space="preserve"> </w:t>
      </w:r>
      <w:r w:rsidR="008041CA">
        <w:rPr>
          <w:rFonts w:ascii="Helvetica" w:hAnsi="Helvetica"/>
          <w:sz w:val="22"/>
          <w:szCs w:val="22"/>
        </w:rPr>
        <w:t xml:space="preserve">data loss from </w:t>
      </w:r>
      <w:r w:rsidR="005B411E">
        <w:rPr>
          <w:rFonts w:ascii="Helvetica" w:hAnsi="Helvetica"/>
          <w:sz w:val="22"/>
          <w:szCs w:val="22"/>
        </w:rPr>
        <w:t>sky blockage by</w:t>
      </w:r>
      <w:r w:rsidR="0006460D">
        <w:rPr>
          <w:rFonts w:ascii="Helvetica" w:hAnsi="Helvetica"/>
          <w:sz w:val="22"/>
          <w:szCs w:val="22"/>
        </w:rPr>
        <w:t xml:space="preserve"> the GSO </w:t>
      </w:r>
      <w:r w:rsidR="00F06ABA">
        <w:rPr>
          <w:rFonts w:ascii="Helvetica" w:hAnsi="Helvetica"/>
          <w:sz w:val="22"/>
          <w:szCs w:val="22"/>
        </w:rPr>
        <w:t xml:space="preserve">satellite </w:t>
      </w:r>
      <w:r w:rsidR="0006460D">
        <w:rPr>
          <w:rFonts w:ascii="Helvetica" w:hAnsi="Helvetica"/>
          <w:sz w:val="22"/>
          <w:szCs w:val="22"/>
        </w:rPr>
        <w:t>belt.</w:t>
      </w:r>
      <w:r>
        <w:rPr>
          <w:rFonts w:ascii="Helvetica" w:hAnsi="Helvetica"/>
          <w:sz w:val="22"/>
          <w:szCs w:val="22"/>
        </w:rPr>
        <w:t xml:space="preserve">  </w:t>
      </w:r>
      <w:r w:rsidR="00495CC8">
        <w:rPr>
          <w:rFonts w:ascii="Helvetica" w:hAnsi="Helvetica"/>
          <w:sz w:val="22"/>
          <w:szCs w:val="22"/>
        </w:rPr>
        <w:t xml:space="preserve">The use of 0 </w:t>
      </w:r>
      <w:proofErr w:type="spellStart"/>
      <w:r w:rsidR="00495CC8">
        <w:rPr>
          <w:rFonts w:ascii="Helvetica" w:hAnsi="Helvetica"/>
          <w:sz w:val="22"/>
          <w:szCs w:val="22"/>
        </w:rPr>
        <w:t>dBi</w:t>
      </w:r>
      <w:proofErr w:type="spellEnd"/>
      <w:r w:rsidR="00495CC8">
        <w:rPr>
          <w:rFonts w:ascii="Helvetica" w:hAnsi="Helvetica"/>
          <w:sz w:val="22"/>
          <w:szCs w:val="22"/>
        </w:rPr>
        <w:t xml:space="preserve"> gain is tantamount to acknowledging that interference may arise </w:t>
      </w:r>
      <w:r w:rsidR="00963AC4">
        <w:rPr>
          <w:rFonts w:ascii="Helvetica" w:hAnsi="Helvetica"/>
          <w:sz w:val="22"/>
          <w:szCs w:val="22"/>
        </w:rPr>
        <w:t>from</w:t>
      </w:r>
      <w:r w:rsidR="00495CC8">
        <w:rPr>
          <w:rFonts w:ascii="Helvetica" w:hAnsi="Helvetica"/>
          <w:sz w:val="22"/>
          <w:szCs w:val="22"/>
        </w:rPr>
        <w:t xml:space="preserve"> all </w:t>
      </w:r>
      <w:bookmarkStart w:id="9" w:name="_GoBack"/>
      <w:bookmarkEnd w:id="9"/>
      <w:r w:rsidR="00495CC8">
        <w:rPr>
          <w:rFonts w:ascii="Helvetica" w:hAnsi="Helvetica"/>
          <w:sz w:val="22"/>
          <w:szCs w:val="22"/>
        </w:rPr>
        <w:t>directions</w:t>
      </w:r>
      <w:r w:rsidR="00963AC4">
        <w:rPr>
          <w:rFonts w:ascii="Helvetica" w:hAnsi="Helvetica"/>
          <w:sz w:val="22"/>
          <w:szCs w:val="22"/>
        </w:rPr>
        <w:t>, including those away from the boresight</w:t>
      </w:r>
      <w:r w:rsidR="00495CC8">
        <w:rPr>
          <w:rFonts w:ascii="Helvetica" w:hAnsi="Helvetica"/>
          <w:sz w:val="22"/>
          <w:szCs w:val="22"/>
        </w:rPr>
        <w:t xml:space="preserve">.  </w:t>
      </w:r>
      <w:r w:rsidR="00F06ABA">
        <w:rPr>
          <w:rFonts w:ascii="Helvetica" w:hAnsi="Helvetica"/>
          <w:sz w:val="22"/>
          <w:szCs w:val="22"/>
        </w:rPr>
        <w:t xml:space="preserve">Procedures for dynamic </w:t>
      </w:r>
      <w:r w:rsidR="0035758F">
        <w:rPr>
          <w:rFonts w:ascii="Helvetica" w:hAnsi="Helvetica"/>
          <w:sz w:val="22"/>
          <w:szCs w:val="22"/>
        </w:rPr>
        <w:t>numerical</w:t>
      </w:r>
      <w:r w:rsidR="00F06ABA">
        <w:rPr>
          <w:rFonts w:ascii="Helvetica" w:hAnsi="Helvetica"/>
          <w:sz w:val="22"/>
          <w:szCs w:val="22"/>
        </w:rPr>
        <w:t xml:space="preserve"> simulation of radio astronomy observ</w:t>
      </w:r>
      <w:r w:rsidR="00866BCE">
        <w:rPr>
          <w:rFonts w:ascii="Helvetica" w:hAnsi="Helvetica"/>
          <w:sz w:val="22"/>
          <w:szCs w:val="22"/>
        </w:rPr>
        <w:t>ation</w:t>
      </w:r>
      <w:r w:rsidR="00F06ABA">
        <w:rPr>
          <w:rFonts w:ascii="Helvetica" w:hAnsi="Helvetica"/>
          <w:sz w:val="22"/>
          <w:szCs w:val="22"/>
        </w:rPr>
        <w:t xml:space="preserve"> in the presence of non-GSO satellites </w:t>
      </w:r>
      <w:r>
        <w:rPr>
          <w:rFonts w:ascii="Helvetica" w:hAnsi="Helvetica"/>
          <w:sz w:val="22"/>
          <w:szCs w:val="22"/>
        </w:rPr>
        <w:t>(as</w:t>
      </w:r>
      <w:r w:rsidR="00F06ABA">
        <w:rPr>
          <w:rFonts w:ascii="Helvetica" w:hAnsi="Helvetica"/>
          <w:sz w:val="22"/>
          <w:szCs w:val="22"/>
        </w:rPr>
        <w:t xml:space="preserve"> </w:t>
      </w:r>
      <w:r w:rsidR="0035758F">
        <w:rPr>
          <w:rFonts w:ascii="Helvetica" w:hAnsi="Helvetica"/>
          <w:sz w:val="22"/>
          <w:szCs w:val="22"/>
        </w:rPr>
        <w:t xml:space="preserve">in ITU-R Rec. </w:t>
      </w:r>
      <w:r w:rsidR="00F06ABA">
        <w:rPr>
          <w:rFonts w:ascii="Helvetica" w:hAnsi="Helvetica"/>
          <w:sz w:val="22"/>
          <w:szCs w:val="22"/>
        </w:rPr>
        <w:t>S.1586</w:t>
      </w:r>
      <w:r>
        <w:rPr>
          <w:rFonts w:ascii="Helvetica" w:hAnsi="Helvetica"/>
          <w:sz w:val="22"/>
          <w:szCs w:val="22"/>
        </w:rPr>
        <w:t xml:space="preserve">) </w:t>
      </w:r>
      <w:r w:rsidR="00963AC4">
        <w:rPr>
          <w:rFonts w:ascii="Helvetica" w:hAnsi="Helvetica"/>
          <w:sz w:val="22"/>
          <w:szCs w:val="22"/>
        </w:rPr>
        <w:t xml:space="preserve">utilize </w:t>
      </w:r>
      <w:r w:rsidR="00F06ABA">
        <w:rPr>
          <w:rFonts w:ascii="Helvetica" w:hAnsi="Helvetica"/>
          <w:sz w:val="22"/>
          <w:szCs w:val="22"/>
        </w:rPr>
        <w:t xml:space="preserve">knowledge of </w:t>
      </w:r>
      <w:r w:rsidR="00F03875">
        <w:rPr>
          <w:rFonts w:ascii="Helvetica" w:hAnsi="Helvetica"/>
          <w:sz w:val="22"/>
          <w:szCs w:val="22"/>
        </w:rPr>
        <w:t>an</w:t>
      </w:r>
      <w:r w:rsidR="00F06ABA">
        <w:rPr>
          <w:rFonts w:ascii="Helvetica" w:hAnsi="Helvetica"/>
          <w:sz w:val="22"/>
          <w:szCs w:val="22"/>
        </w:rPr>
        <w:t xml:space="preserve"> antenna pattern over the entire sky so that interfer</w:t>
      </w:r>
      <w:r>
        <w:rPr>
          <w:rFonts w:ascii="Helvetica" w:hAnsi="Helvetica"/>
          <w:sz w:val="22"/>
          <w:szCs w:val="22"/>
        </w:rPr>
        <w:t xml:space="preserve">ing signals </w:t>
      </w:r>
      <w:r w:rsidR="00F06ABA">
        <w:rPr>
          <w:rFonts w:ascii="Helvetica" w:hAnsi="Helvetica"/>
          <w:sz w:val="22"/>
          <w:szCs w:val="22"/>
        </w:rPr>
        <w:t>in the main beam may be averaged with th</w:t>
      </w:r>
      <w:r>
        <w:rPr>
          <w:rFonts w:ascii="Helvetica" w:hAnsi="Helvetica"/>
          <w:sz w:val="22"/>
          <w:szCs w:val="22"/>
        </w:rPr>
        <w:t>ose</w:t>
      </w:r>
      <w:r w:rsidR="00F06ABA">
        <w:rPr>
          <w:rFonts w:ascii="Helvetica" w:hAnsi="Helvetica"/>
          <w:sz w:val="22"/>
          <w:szCs w:val="22"/>
        </w:rPr>
        <w:t xml:space="preserve"> </w:t>
      </w:r>
      <w:r w:rsidR="00963AC4">
        <w:rPr>
          <w:rFonts w:ascii="Helvetica" w:hAnsi="Helvetica"/>
          <w:sz w:val="22"/>
          <w:szCs w:val="22"/>
        </w:rPr>
        <w:t>arising in</w:t>
      </w:r>
      <w:r w:rsidR="00F06ABA">
        <w:rPr>
          <w:rFonts w:ascii="Helvetica" w:hAnsi="Helvetica"/>
          <w:sz w:val="22"/>
          <w:szCs w:val="22"/>
        </w:rPr>
        <w:t xml:space="preserve"> </w:t>
      </w:r>
      <w:r>
        <w:rPr>
          <w:rFonts w:ascii="Helvetica" w:hAnsi="Helvetica"/>
          <w:sz w:val="22"/>
          <w:szCs w:val="22"/>
        </w:rPr>
        <w:t xml:space="preserve">all </w:t>
      </w:r>
      <w:r w:rsidR="00F06ABA">
        <w:rPr>
          <w:rFonts w:ascii="Helvetica" w:hAnsi="Helvetica"/>
          <w:sz w:val="22"/>
          <w:szCs w:val="22"/>
        </w:rPr>
        <w:t xml:space="preserve">other directions.  </w:t>
      </w:r>
      <w:r w:rsidR="00495CC8">
        <w:rPr>
          <w:rFonts w:ascii="Helvetica" w:hAnsi="Helvetica"/>
          <w:sz w:val="22"/>
          <w:szCs w:val="22"/>
        </w:rPr>
        <w:t>Experience has shown that such</w:t>
      </w:r>
      <w:r w:rsidR="00F06ABA">
        <w:rPr>
          <w:rFonts w:ascii="Helvetica" w:hAnsi="Helvetica"/>
          <w:sz w:val="22"/>
          <w:szCs w:val="22"/>
        </w:rPr>
        <w:t xml:space="preserve"> simulations lead to </w:t>
      </w:r>
      <w:r>
        <w:rPr>
          <w:rFonts w:ascii="Helvetica" w:hAnsi="Helvetica"/>
          <w:sz w:val="22"/>
          <w:szCs w:val="22"/>
        </w:rPr>
        <w:t xml:space="preserve">somewhat </w:t>
      </w:r>
      <w:r w:rsidR="00F06ABA">
        <w:rPr>
          <w:rFonts w:ascii="Helvetica" w:hAnsi="Helvetica"/>
          <w:sz w:val="22"/>
          <w:szCs w:val="22"/>
        </w:rPr>
        <w:t xml:space="preserve">higher </w:t>
      </w:r>
      <w:r w:rsidR="00963AC4">
        <w:rPr>
          <w:rFonts w:ascii="Helvetica" w:hAnsi="Helvetica"/>
          <w:sz w:val="22"/>
          <w:szCs w:val="22"/>
        </w:rPr>
        <w:t xml:space="preserve">calculated </w:t>
      </w:r>
      <w:r w:rsidR="00F06ABA">
        <w:rPr>
          <w:rFonts w:ascii="Helvetica" w:hAnsi="Helvetica"/>
          <w:sz w:val="22"/>
          <w:szCs w:val="22"/>
        </w:rPr>
        <w:t>levels of interference than</w:t>
      </w:r>
      <w:r w:rsidR="0035758F">
        <w:rPr>
          <w:rFonts w:ascii="Helvetica" w:hAnsi="Helvetica"/>
          <w:sz w:val="22"/>
          <w:szCs w:val="22"/>
        </w:rPr>
        <w:t xml:space="preserve"> when 0 </w:t>
      </w:r>
      <w:proofErr w:type="spellStart"/>
      <w:r w:rsidR="0035758F">
        <w:rPr>
          <w:rFonts w:ascii="Helvetica" w:hAnsi="Helvetica"/>
          <w:sz w:val="22"/>
          <w:szCs w:val="22"/>
        </w:rPr>
        <w:t>dBi</w:t>
      </w:r>
      <w:proofErr w:type="spellEnd"/>
      <w:r w:rsidR="0035758F">
        <w:rPr>
          <w:rFonts w:ascii="Helvetica" w:hAnsi="Helvetica"/>
          <w:sz w:val="22"/>
          <w:szCs w:val="22"/>
        </w:rPr>
        <w:t xml:space="preserve"> is assumed</w:t>
      </w:r>
      <w:r w:rsidR="00495CC8">
        <w:rPr>
          <w:rFonts w:ascii="Helvetica" w:hAnsi="Helvetica"/>
          <w:sz w:val="22"/>
          <w:szCs w:val="22"/>
        </w:rPr>
        <w:t>: High directivity generally has a slightly damaging effect.</w:t>
      </w:r>
    </w:p>
    <w:p w14:paraId="7B067321" w14:textId="77777777" w:rsidR="00F06ABA" w:rsidRDefault="00F06ABA" w:rsidP="005B411E">
      <w:pPr>
        <w:pStyle w:val="BodyText"/>
        <w:kinsoku w:val="0"/>
        <w:overflowPunct w:val="0"/>
        <w:ind w:left="40"/>
        <w:rPr>
          <w:rFonts w:ascii="Helvetica" w:hAnsi="Helvetica"/>
          <w:sz w:val="22"/>
          <w:szCs w:val="22"/>
        </w:rPr>
      </w:pPr>
    </w:p>
    <w:p w14:paraId="50037355" w14:textId="414D4817" w:rsidR="007A5D25" w:rsidRDefault="007A5D25" w:rsidP="00963AC4">
      <w:pPr>
        <w:pStyle w:val="BodyText"/>
        <w:kinsoku w:val="0"/>
        <w:overflowPunct w:val="0"/>
        <w:ind w:left="40"/>
        <w:rPr>
          <w:rFonts w:ascii="Helvetica" w:hAnsi="Helvetica"/>
          <w:sz w:val="22"/>
          <w:szCs w:val="22"/>
        </w:rPr>
      </w:pPr>
      <w:r>
        <w:rPr>
          <w:rFonts w:ascii="Helvetica" w:hAnsi="Helvetica"/>
          <w:sz w:val="22"/>
          <w:szCs w:val="22"/>
        </w:rPr>
        <w:t xml:space="preserve">NRAO and CORF did not invent the </w:t>
      </w:r>
      <w:r w:rsidR="00495CC8">
        <w:rPr>
          <w:rFonts w:ascii="Helvetica" w:hAnsi="Helvetica"/>
          <w:sz w:val="22"/>
          <w:szCs w:val="22"/>
        </w:rPr>
        <w:t xml:space="preserve">use of </w:t>
      </w:r>
      <w:r>
        <w:rPr>
          <w:rFonts w:ascii="Helvetica" w:hAnsi="Helvetica"/>
          <w:sz w:val="22"/>
          <w:szCs w:val="22"/>
        </w:rPr>
        <w:t xml:space="preserve">0 </w:t>
      </w:r>
      <w:proofErr w:type="spellStart"/>
      <w:r>
        <w:rPr>
          <w:rFonts w:ascii="Helvetica" w:hAnsi="Helvetica"/>
          <w:sz w:val="22"/>
          <w:szCs w:val="22"/>
        </w:rPr>
        <w:t>dBi</w:t>
      </w:r>
      <w:proofErr w:type="spellEnd"/>
      <w:r>
        <w:rPr>
          <w:rFonts w:ascii="Helvetica" w:hAnsi="Helvetica"/>
          <w:sz w:val="22"/>
          <w:szCs w:val="22"/>
        </w:rPr>
        <w:t xml:space="preserve"> gain in their compatibility studies for terrestrial transmitters</w:t>
      </w:r>
      <w:r w:rsidR="00495CC8">
        <w:rPr>
          <w:rFonts w:ascii="Helvetica" w:hAnsi="Helvetica"/>
          <w:sz w:val="22"/>
          <w:szCs w:val="22"/>
        </w:rPr>
        <w:t>, they adopted</w:t>
      </w:r>
      <w:r w:rsidR="00963AC4">
        <w:rPr>
          <w:rFonts w:ascii="Helvetica" w:hAnsi="Helvetica"/>
          <w:sz w:val="22"/>
          <w:szCs w:val="22"/>
        </w:rPr>
        <w:t xml:space="preserve"> the </w:t>
      </w:r>
      <w:r w:rsidR="00495CC8">
        <w:rPr>
          <w:rFonts w:ascii="Helvetica" w:hAnsi="Helvetica"/>
          <w:sz w:val="22"/>
          <w:szCs w:val="22"/>
        </w:rPr>
        <w:t>best practice.</w:t>
      </w:r>
      <w:r w:rsidR="00963AC4">
        <w:rPr>
          <w:rFonts w:ascii="Helvetica" w:hAnsi="Helvetica"/>
          <w:sz w:val="22"/>
          <w:szCs w:val="22"/>
        </w:rPr>
        <w:t xml:space="preserve">  C</w:t>
      </w:r>
      <w:r w:rsidR="00F06ABA">
        <w:rPr>
          <w:rFonts w:ascii="Helvetica" w:hAnsi="Helvetica"/>
          <w:sz w:val="22"/>
          <w:szCs w:val="22"/>
        </w:rPr>
        <w:t xml:space="preserve">ompatibility studies of just the sort that are relevant here </w:t>
      </w:r>
      <w:r w:rsidR="00963AC4">
        <w:rPr>
          <w:rFonts w:ascii="Helvetica" w:hAnsi="Helvetica"/>
          <w:sz w:val="22"/>
          <w:szCs w:val="22"/>
        </w:rPr>
        <w:t xml:space="preserve">with 0 </w:t>
      </w:r>
      <w:proofErr w:type="spellStart"/>
      <w:r w:rsidR="00963AC4">
        <w:rPr>
          <w:rFonts w:ascii="Helvetica" w:hAnsi="Helvetica"/>
          <w:sz w:val="22"/>
          <w:szCs w:val="22"/>
        </w:rPr>
        <w:t>dBi</w:t>
      </w:r>
      <w:proofErr w:type="spellEnd"/>
      <w:r w:rsidR="00963AC4">
        <w:rPr>
          <w:rFonts w:ascii="Helvetica" w:hAnsi="Helvetica"/>
          <w:sz w:val="22"/>
          <w:szCs w:val="22"/>
        </w:rPr>
        <w:t xml:space="preserve"> radio astronomy gain </w:t>
      </w:r>
      <w:r w:rsidR="00F06ABA">
        <w:rPr>
          <w:rFonts w:ascii="Helvetica" w:hAnsi="Helvetica"/>
          <w:sz w:val="22"/>
          <w:szCs w:val="22"/>
        </w:rPr>
        <w:t>are on-going</w:t>
      </w:r>
      <w:r w:rsidR="00963AC4">
        <w:rPr>
          <w:rFonts w:ascii="Helvetica" w:hAnsi="Helvetica"/>
          <w:sz w:val="22"/>
          <w:szCs w:val="22"/>
        </w:rPr>
        <w:t xml:space="preserve"> in many venues</w:t>
      </w:r>
      <w:r w:rsidR="00F06ABA">
        <w:rPr>
          <w:rFonts w:ascii="Helvetica" w:hAnsi="Helvetica"/>
          <w:sz w:val="22"/>
          <w:szCs w:val="22"/>
        </w:rPr>
        <w:t xml:space="preserve">, for instance studies with the land mobile and fixed services </w:t>
      </w:r>
      <w:r w:rsidR="00963AC4">
        <w:rPr>
          <w:rFonts w:ascii="Helvetica" w:hAnsi="Helvetica"/>
          <w:sz w:val="22"/>
          <w:szCs w:val="22"/>
        </w:rPr>
        <w:t>for</w:t>
      </w:r>
      <w:r w:rsidR="00F06ABA">
        <w:rPr>
          <w:rFonts w:ascii="Helvetica" w:hAnsi="Helvetica"/>
          <w:sz w:val="22"/>
          <w:szCs w:val="22"/>
        </w:rPr>
        <w:t xml:space="preserve"> AI 1.15 of WRC-19</w:t>
      </w:r>
      <w:r w:rsidR="00866BCE">
        <w:rPr>
          <w:rFonts w:ascii="Helvetica" w:hAnsi="Helvetica"/>
          <w:sz w:val="22"/>
          <w:szCs w:val="22"/>
        </w:rPr>
        <w:t>. ITU-R  s</w:t>
      </w:r>
      <w:r w:rsidR="00866BCE">
        <w:rPr>
          <w:rFonts w:ascii="Helvetica" w:hAnsi="Helvetica"/>
          <w:sz w:val="22"/>
          <w:szCs w:val="22"/>
        </w:rPr>
        <w:t xml:space="preserve">tudies for AI 1.14 use 0 </w:t>
      </w:r>
      <w:proofErr w:type="spellStart"/>
      <w:r w:rsidR="00866BCE">
        <w:rPr>
          <w:rFonts w:ascii="Helvetica" w:hAnsi="Helvetica"/>
          <w:sz w:val="22"/>
          <w:szCs w:val="22"/>
        </w:rPr>
        <w:t>dBi</w:t>
      </w:r>
      <w:proofErr w:type="spellEnd"/>
      <w:r w:rsidR="00866BCE">
        <w:rPr>
          <w:rFonts w:ascii="Helvetica" w:hAnsi="Helvetica"/>
          <w:sz w:val="22"/>
          <w:szCs w:val="22"/>
        </w:rPr>
        <w:t xml:space="preserve"> RAS gain for HAPS uplinks and +30 </w:t>
      </w:r>
      <w:proofErr w:type="spellStart"/>
      <w:r w:rsidR="00866BCE">
        <w:rPr>
          <w:rFonts w:ascii="Helvetica" w:hAnsi="Helvetica"/>
          <w:sz w:val="22"/>
          <w:szCs w:val="22"/>
        </w:rPr>
        <w:t>dBi</w:t>
      </w:r>
      <w:proofErr w:type="spellEnd"/>
      <w:r w:rsidR="00866BCE">
        <w:rPr>
          <w:rFonts w:ascii="Helvetica" w:hAnsi="Helvetica"/>
          <w:sz w:val="22"/>
          <w:szCs w:val="22"/>
        </w:rPr>
        <w:t xml:space="preserve"> for </w:t>
      </w:r>
      <w:r w:rsidR="00866BCE">
        <w:rPr>
          <w:rFonts w:ascii="Helvetica" w:hAnsi="Helvetica"/>
          <w:sz w:val="22"/>
          <w:szCs w:val="22"/>
        </w:rPr>
        <w:t>HAPS</w:t>
      </w:r>
      <w:r w:rsidR="00866BCE">
        <w:rPr>
          <w:rFonts w:ascii="Helvetica" w:hAnsi="Helvetica"/>
          <w:sz w:val="22"/>
          <w:szCs w:val="22"/>
        </w:rPr>
        <w:t xml:space="preserve"> downlinks.</w:t>
      </w:r>
      <w:r w:rsidR="00866BCE">
        <w:rPr>
          <w:rFonts w:ascii="Helvetica" w:hAnsi="Helvetica"/>
          <w:sz w:val="22"/>
          <w:szCs w:val="22"/>
        </w:rPr>
        <w:t xml:space="preserve"> </w:t>
      </w:r>
      <w:r w:rsidR="00F06ABA">
        <w:rPr>
          <w:rFonts w:ascii="Helvetica" w:hAnsi="Helvetica"/>
          <w:sz w:val="22"/>
          <w:szCs w:val="22"/>
        </w:rPr>
        <w:t xml:space="preserve">Other Agenda Items for which studies have been performed using 0 </w:t>
      </w:r>
      <w:proofErr w:type="spellStart"/>
      <w:r w:rsidR="00F06ABA">
        <w:rPr>
          <w:rFonts w:ascii="Helvetica" w:hAnsi="Helvetica"/>
          <w:sz w:val="22"/>
          <w:szCs w:val="22"/>
        </w:rPr>
        <w:t>dBi</w:t>
      </w:r>
      <w:proofErr w:type="spellEnd"/>
      <w:r w:rsidR="00F06ABA">
        <w:rPr>
          <w:rFonts w:ascii="Helvetica" w:hAnsi="Helvetica"/>
          <w:sz w:val="22"/>
          <w:szCs w:val="22"/>
        </w:rPr>
        <w:t xml:space="preserve"> RAS gain include AI 1.9.1 and 9.1.9.</w:t>
      </w:r>
    </w:p>
    <w:p w14:paraId="7AC75A0A" w14:textId="77777777" w:rsidR="007A5D25" w:rsidRPr="007000F4" w:rsidRDefault="007A5D25" w:rsidP="002E51A6">
      <w:pPr>
        <w:pStyle w:val="p1"/>
        <w:rPr>
          <w:rFonts w:cs="Arial"/>
          <w:b/>
          <w:sz w:val="22"/>
          <w:szCs w:val="22"/>
        </w:rPr>
      </w:pPr>
    </w:p>
    <w:p w14:paraId="73E24AEF" w14:textId="55E54541" w:rsidR="002E51A6" w:rsidRDefault="002E51A6" w:rsidP="005B411E">
      <w:pPr>
        <w:pStyle w:val="p1"/>
        <w:numPr>
          <w:ilvl w:val="0"/>
          <w:numId w:val="1"/>
        </w:numPr>
        <w:rPr>
          <w:rFonts w:cs="Arial"/>
          <w:b/>
          <w:sz w:val="22"/>
          <w:szCs w:val="22"/>
        </w:rPr>
      </w:pPr>
      <w:r w:rsidRPr="007000F4">
        <w:rPr>
          <w:rFonts w:cs="Arial"/>
          <w:b/>
          <w:sz w:val="22"/>
          <w:szCs w:val="22"/>
        </w:rPr>
        <w:t xml:space="preserve"> </w:t>
      </w:r>
      <w:r>
        <w:rPr>
          <w:rFonts w:cs="Arial"/>
          <w:b/>
          <w:sz w:val="22"/>
          <w:szCs w:val="22"/>
        </w:rPr>
        <w:t>Some minor matters arising</w:t>
      </w:r>
    </w:p>
    <w:p w14:paraId="579EBAF5" w14:textId="7F773BDE" w:rsidR="002E51A6" w:rsidRDefault="002E51A6" w:rsidP="002E51A6">
      <w:pPr>
        <w:pStyle w:val="p1"/>
        <w:ind w:left="360"/>
        <w:rPr>
          <w:rFonts w:cs="Arial"/>
          <w:b/>
          <w:sz w:val="22"/>
          <w:szCs w:val="22"/>
        </w:rPr>
      </w:pPr>
    </w:p>
    <w:p w14:paraId="1C409EF3" w14:textId="1295B042" w:rsidR="002E51A6" w:rsidRDefault="002E51A6" w:rsidP="002E51A6">
      <w:pPr>
        <w:pStyle w:val="p1"/>
        <w:rPr>
          <w:rFonts w:cs="Arial"/>
          <w:sz w:val="22"/>
          <w:szCs w:val="22"/>
        </w:rPr>
      </w:pPr>
      <w:r>
        <w:rPr>
          <w:rFonts w:cs="Arial"/>
          <w:sz w:val="22"/>
          <w:szCs w:val="22"/>
        </w:rPr>
        <w:t>The list of mm-wave telescopes in CORF’s filing includes two telescopes belonging to the Arizona Radio Observatory that do not appear in footnote 78 of the R&amp;O</w:t>
      </w:r>
      <w:r w:rsidR="008926CC">
        <w:rPr>
          <w:rFonts w:cs="Arial"/>
          <w:sz w:val="22"/>
          <w:szCs w:val="22"/>
        </w:rPr>
        <w:t xml:space="preserve"> where CORF’s list is </w:t>
      </w:r>
      <w:r w:rsidR="00675CEC">
        <w:rPr>
          <w:rFonts w:cs="Arial"/>
          <w:sz w:val="22"/>
          <w:szCs w:val="22"/>
        </w:rPr>
        <w:t>quoted</w:t>
      </w:r>
      <w:r w:rsidR="00A25B25">
        <w:rPr>
          <w:rFonts w:cs="Arial"/>
          <w:sz w:val="22"/>
          <w:szCs w:val="22"/>
        </w:rPr>
        <w:t>.</w:t>
      </w:r>
    </w:p>
    <w:p w14:paraId="27833617" w14:textId="6FBEDEF4" w:rsidR="002E51A6" w:rsidRDefault="002E51A6" w:rsidP="002E51A6">
      <w:pPr>
        <w:pStyle w:val="p1"/>
        <w:rPr>
          <w:rFonts w:cs="Arial"/>
          <w:sz w:val="22"/>
          <w:szCs w:val="22"/>
        </w:rPr>
      </w:pPr>
    </w:p>
    <w:p w14:paraId="087C253D" w14:textId="0BE09B97" w:rsidR="002E51A6" w:rsidRPr="002E51A6" w:rsidRDefault="002E51A6" w:rsidP="002E51A6">
      <w:pPr>
        <w:pStyle w:val="p1"/>
        <w:rPr>
          <w:rFonts w:cs="Arial"/>
          <w:sz w:val="22"/>
          <w:szCs w:val="22"/>
        </w:rPr>
      </w:pPr>
      <w:r>
        <w:rPr>
          <w:rFonts w:cs="Arial"/>
          <w:sz w:val="22"/>
          <w:szCs w:val="22"/>
        </w:rPr>
        <w:t xml:space="preserve">ITU-R </w:t>
      </w:r>
      <w:r w:rsidR="007E2A45">
        <w:rPr>
          <w:rFonts w:cs="Arial"/>
          <w:sz w:val="22"/>
          <w:szCs w:val="22"/>
        </w:rPr>
        <w:t xml:space="preserve">Rep. </w:t>
      </w:r>
      <w:r>
        <w:rPr>
          <w:rFonts w:cs="Arial"/>
          <w:sz w:val="22"/>
          <w:szCs w:val="22"/>
        </w:rPr>
        <w:t>RA.2189 that is mentioned in the R&amp;O in footnote 95 has been updated to 2189-1 (09/2019)</w:t>
      </w:r>
      <w:r w:rsidR="007E2A45">
        <w:rPr>
          <w:rFonts w:cs="Arial"/>
          <w:sz w:val="22"/>
          <w:szCs w:val="22"/>
        </w:rPr>
        <w:t>, and has somewhat different conclusions regarding compatibility of passive and active service operations in the frequency range 275 – 450 GHz.</w:t>
      </w:r>
    </w:p>
    <w:p w14:paraId="531A196A" w14:textId="77777777" w:rsidR="0004782F" w:rsidRDefault="0004782F" w:rsidP="00A56117">
      <w:pPr>
        <w:rPr>
          <w:rFonts w:ascii="Helvetica" w:hAnsi="Helvetica" w:cs="Arial"/>
          <w:sz w:val="22"/>
          <w:szCs w:val="22"/>
        </w:rPr>
      </w:pPr>
    </w:p>
    <w:p w14:paraId="5233BAC2" w14:textId="41CCB4F1" w:rsidR="001D444D" w:rsidRPr="001E4ABF" w:rsidRDefault="0004782F" w:rsidP="00A56117">
      <w:pPr>
        <w:rPr>
          <w:rFonts w:ascii="Helvetica" w:hAnsi="Helvetica" w:cs="Arial"/>
          <w:sz w:val="22"/>
          <w:szCs w:val="22"/>
        </w:rPr>
      </w:pPr>
      <w:r>
        <w:rPr>
          <w:rFonts w:ascii="Helvetica" w:hAnsi="Helvetica" w:cs="Arial"/>
          <w:sz w:val="22"/>
          <w:szCs w:val="22"/>
        </w:rPr>
        <w:t>Respectfully submitted,</w:t>
      </w:r>
    </w:p>
    <w:p w14:paraId="4B10D090" w14:textId="7B9C47EB" w:rsidR="00EC2DFB" w:rsidRPr="001E4ABF" w:rsidRDefault="00F3683A" w:rsidP="00A56117">
      <w:pPr>
        <w:rPr>
          <w:rFonts w:ascii="Helvetica" w:hAnsi="Helvetica" w:cs="Arial"/>
          <w:sz w:val="22"/>
          <w:szCs w:val="22"/>
        </w:rPr>
      </w:pPr>
      <w:r w:rsidRPr="001E4ABF">
        <w:rPr>
          <w:rFonts w:ascii="Helvetica" w:hAnsi="Helvetica" w:cs="Arial"/>
          <w:noProof/>
          <w:sz w:val="22"/>
          <w:szCs w:val="22"/>
        </w:rPr>
        <w:drawing>
          <wp:inline distT="0" distB="0" distL="0" distR="0" wp14:anchorId="09BE85A2" wp14:editId="1883C425">
            <wp:extent cx="1467129" cy="612367"/>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8-01-27 at 12.04.51 PM.png"/>
                    <pic:cNvPicPr/>
                  </pic:nvPicPr>
                  <pic:blipFill>
                    <a:blip r:embed="rId9">
                      <a:extLst>
                        <a:ext uri="{28A0092B-C50C-407E-A947-70E740481C1C}">
                          <a14:useLocalDpi xmlns:a14="http://schemas.microsoft.com/office/drawing/2010/main" val="0"/>
                        </a:ext>
                      </a:extLst>
                    </a:blip>
                    <a:stretch>
                      <a:fillRect/>
                    </a:stretch>
                  </pic:blipFill>
                  <pic:spPr>
                    <a:xfrm>
                      <a:off x="0" y="0"/>
                      <a:ext cx="1552443" cy="647976"/>
                    </a:xfrm>
                    <a:prstGeom prst="rect">
                      <a:avLst/>
                    </a:prstGeom>
                  </pic:spPr>
                </pic:pic>
              </a:graphicData>
            </a:graphic>
          </wp:inline>
        </w:drawing>
      </w:r>
    </w:p>
    <w:p w14:paraId="37E36449" w14:textId="266911CB" w:rsidR="007E667D" w:rsidRPr="001E4ABF" w:rsidRDefault="005C752E" w:rsidP="00A56117">
      <w:pPr>
        <w:rPr>
          <w:rFonts w:ascii="Helvetica" w:hAnsi="Helvetica" w:cs="Arial"/>
          <w:sz w:val="22"/>
          <w:szCs w:val="22"/>
        </w:rPr>
      </w:pPr>
      <w:r w:rsidRPr="001E4ABF">
        <w:rPr>
          <w:rFonts w:ascii="Helvetica" w:hAnsi="Helvetica" w:cs="Arial"/>
          <w:sz w:val="22"/>
          <w:szCs w:val="22"/>
        </w:rPr>
        <w:t>Harvey S. Liszt</w:t>
      </w:r>
      <w:r w:rsidR="007E667D" w:rsidRPr="001E4ABF">
        <w:rPr>
          <w:rFonts w:ascii="Helvetica" w:hAnsi="Helvetica" w:cs="Arial"/>
          <w:sz w:val="22"/>
          <w:szCs w:val="22"/>
        </w:rPr>
        <w:t xml:space="preserve"> </w:t>
      </w:r>
      <w:r w:rsidR="00F85433">
        <w:rPr>
          <w:rFonts w:ascii="Helvetica" w:hAnsi="Helvetica" w:cs="Arial"/>
          <w:sz w:val="22"/>
          <w:szCs w:val="22"/>
        </w:rPr>
        <w:t>(</w:t>
      </w:r>
      <w:r w:rsidR="0004782F">
        <w:rPr>
          <w:rFonts w:ascii="Helvetica" w:hAnsi="Helvetica" w:cs="Arial"/>
          <w:sz w:val="22"/>
          <w:szCs w:val="22"/>
        </w:rPr>
        <w:t>hliszt@nrao.edu</w:t>
      </w:r>
      <w:r w:rsidR="00F85433">
        <w:rPr>
          <w:rFonts w:ascii="Helvetica" w:hAnsi="Helvetica" w:cs="Arial"/>
          <w:sz w:val="22"/>
          <w:szCs w:val="22"/>
        </w:rPr>
        <w:t>)</w:t>
      </w:r>
    </w:p>
    <w:p w14:paraId="199DB1FE" w14:textId="77777777" w:rsidR="0004782F" w:rsidRDefault="00F3683A" w:rsidP="0005019B">
      <w:pPr>
        <w:rPr>
          <w:rFonts w:ascii="Helvetica" w:hAnsi="Helvetica" w:cs="Arial"/>
          <w:sz w:val="22"/>
          <w:szCs w:val="22"/>
        </w:rPr>
      </w:pPr>
      <w:r w:rsidRPr="001E4ABF">
        <w:rPr>
          <w:rFonts w:ascii="Helvetica" w:hAnsi="Helvetica" w:cs="Arial"/>
          <w:sz w:val="22"/>
          <w:szCs w:val="22"/>
        </w:rPr>
        <w:t>Astronomer</w:t>
      </w:r>
      <w:r w:rsidR="00D0535B" w:rsidRPr="001E4ABF">
        <w:rPr>
          <w:rFonts w:ascii="Helvetica" w:hAnsi="Helvetica" w:cs="Arial"/>
          <w:sz w:val="22"/>
          <w:szCs w:val="22"/>
        </w:rPr>
        <w:t xml:space="preserve"> and Spectrum Manager</w:t>
      </w:r>
    </w:p>
    <w:p w14:paraId="7E36DE6B" w14:textId="1E3739D8" w:rsidR="00E45787" w:rsidRPr="001E4ABF" w:rsidRDefault="0004782F" w:rsidP="0005019B">
      <w:pPr>
        <w:rPr>
          <w:rFonts w:ascii="Helvetica" w:hAnsi="Helvetica" w:cs="Arial"/>
          <w:sz w:val="22"/>
          <w:szCs w:val="22"/>
        </w:rPr>
      </w:pPr>
      <w:r>
        <w:rPr>
          <w:rFonts w:ascii="Helvetica" w:hAnsi="Helvetica" w:cs="Arial"/>
          <w:sz w:val="22"/>
          <w:szCs w:val="22"/>
        </w:rPr>
        <w:t>T</w:t>
      </w:r>
      <w:r w:rsidRPr="001E4ABF">
        <w:rPr>
          <w:rFonts w:ascii="Helvetica" w:hAnsi="Helvetica" w:cs="Arial"/>
          <w:sz w:val="22"/>
          <w:szCs w:val="22"/>
        </w:rPr>
        <w:t>o whom correspondence may be addressed</w:t>
      </w:r>
    </w:p>
    <w:sectPr w:rsidR="00E45787" w:rsidRPr="001E4ABF" w:rsidSect="0077149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10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7494C" w14:textId="77777777" w:rsidR="002A14A8" w:rsidRDefault="002A14A8" w:rsidP="00FA0158">
      <w:r>
        <w:separator/>
      </w:r>
    </w:p>
  </w:endnote>
  <w:endnote w:type="continuationSeparator" w:id="0">
    <w:p w14:paraId="76D46743" w14:textId="77777777" w:rsidR="002A14A8" w:rsidRDefault="002A14A8" w:rsidP="00FA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ld">
    <w:altName w:val="Times New Roman"/>
    <w:panose1 w:val="020B0604020202020204"/>
    <w:charset w:val="00"/>
    <w:family w:val="roman"/>
    <w:pitch w:val="variable"/>
    <w:sig w:usb0="E0003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AD282" w14:textId="77777777" w:rsidR="00604E3D" w:rsidRDefault="00604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846F2" w14:textId="16791207" w:rsidR="00D66382" w:rsidRPr="00604E3D" w:rsidRDefault="00891BDC">
    <w:pPr>
      <w:pStyle w:val="Footer"/>
      <w:rPr>
        <w:rFonts w:ascii="Gill Sans MT" w:hAnsi="Gill Sans MT"/>
        <w:sz w:val="14"/>
        <w:szCs w:val="14"/>
      </w:rPr>
    </w:pPr>
    <w:r w:rsidRPr="00891BDC">
      <w:rPr>
        <w:rFonts w:ascii="Gill Sans MT" w:hAnsi="Gill Sans MT"/>
        <w:noProof/>
        <w:sz w:val="12"/>
        <w:szCs w:val="14"/>
      </w:rPr>
      <w:t>{01292183-1 }</w:t>
    </w:r>
    <w:r w:rsidR="00D66382" w:rsidRPr="00604E3D">
      <w:rPr>
        <w:rFonts w:ascii="Gill Sans MT" w:hAnsi="Gill Sans MT"/>
        <w:sz w:val="14"/>
        <w:szCs w:val="14"/>
      </w:rPr>
      <w:t>The National Radio Astronomy Observatory is a facility of the National Science Foundation operated under cooperative agreement by Associated Universities, Inc.</w:t>
    </w:r>
  </w:p>
  <w:p w14:paraId="2E169CEA" w14:textId="77777777" w:rsidR="00D66382" w:rsidRPr="00604E3D" w:rsidRDefault="00D663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4EC41" w14:textId="5AF0AFF2" w:rsidR="00D66382" w:rsidRPr="00604E3D" w:rsidRDefault="00891BDC" w:rsidP="00771492">
    <w:pPr>
      <w:pStyle w:val="Footer"/>
      <w:rPr>
        <w:rFonts w:ascii="Gill Sans MT" w:hAnsi="Gill Sans MT"/>
        <w:sz w:val="14"/>
        <w:szCs w:val="14"/>
      </w:rPr>
    </w:pPr>
    <w:r w:rsidRPr="00891BDC">
      <w:rPr>
        <w:rFonts w:ascii="Gill Sans MT" w:hAnsi="Gill Sans MT"/>
        <w:noProof/>
        <w:sz w:val="12"/>
        <w:szCs w:val="14"/>
      </w:rPr>
      <w:t>{01292183-1 }</w:t>
    </w:r>
    <w:r w:rsidR="00D66382" w:rsidRPr="00604E3D">
      <w:rPr>
        <w:rFonts w:ascii="Gill Sans MT" w:hAnsi="Gill Sans MT"/>
        <w:sz w:val="14"/>
        <w:szCs w:val="14"/>
      </w:rPr>
      <w:t>The National Radio Astronomy Observatory is a facility of the National Science Foundation operated under cooperative agreement by Associated Universities, Inc.</w:t>
    </w:r>
  </w:p>
  <w:p w14:paraId="7E686176" w14:textId="77777777" w:rsidR="00D66382" w:rsidRPr="00604E3D" w:rsidRDefault="00D66382" w:rsidP="00771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87B1D" w14:textId="77777777" w:rsidR="002A14A8" w:rsidRDefault="002A14A8" w:rsidP="00FA0158">
      <w:pPr>
        <w:rPr>
          <w:noProof/>
        </w:rPr>
      </w:pPr>
      <w:r>
        <w:rPr>
          <w:noProof/>
        </w:rPr>
        <w:separator/>
      </w:r>
    </w:p>
  </w:footnote>
  <w:footnote w:type="continuationSeparator" w:id="0">
    <w:p w14:paraId="33435605" w14:textId="77777777" w:rsidR="002A14A8" w:rsidRDefault="002A14A8" w:rsidP="00FA0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32B1D" w14:textId="77777777" w:rsidR="00604E3D" w:rsidRDefault="00604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84D1D" w14:textId="77777777" w:rsidR="00604E3D" w:rsidRDefault="00604E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17D5F" w14:textId="77777777" w:rsidR="00D66382" w:rsidRDefault="00D66382" w:rsidP="00771492">
    <w:pPr>
      <w:pStyle w:val="Header"/>
    </w:pPr>
    <w:r>
      <w:rPr>
        <w:rFonts w:ascii="Gill Sans MT" w:hAnsi="Gill Sans MT"/>
        <w:noProof/>
      </w:rPr>
      <w:drawing>
        <wp:inline distT="0" distB="0" distL="0" distR="0" wp14:anchorId="70C6F2A7" wp14:editId="1B57D84C">
          <wp:extent cx="3571875" cy="866775"/>
          <wp:effectExtent l="0" t="0" r="9525" b="9525"/>
          <wp:docPr id="1" name="Picture 1" descr="Dir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ect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1875" cy="866775"/>
                  </a:xfrm>
                  <a:prstGeom prst="rect">
                    <a:avLst/>
                  </a:prstGeom>
                  <a:noFill/>
                  <a:ln>
                    <a:noFill/>
                  </a:ln>
                </pic:spPr>
              </pic:pic>
            </a:graphicData>
          </a:graphic>
        </wp:inline>
      </w:drawing>
    </w:r>
  </w:p>
  <w:p w14:paraId="09237CCF" w14:textId="77777777" w:rsidR="00D66382" w:rsidRPr="00771492" w:rsidRDefault="00D66382" w:rsidP="007714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5703C"/>
    <w:multiLevelType w:val="hybridMultilevel"/>
    <w:tmpl w:val="7102E228"/>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33A92"/>
    <w:multiLevelType w:val="hybridMultilevel"/>
    <w:tmpl w:val="2E3636C0"/>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465B29"/>
    <w:multiLevelType w:val="hybridMultilevel"/>
    <w:tmpl w:val="A52C29E2"/>
    <w:lvl w:ilvl="0" w:tplc="4A4463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515EAF"/>
    <w:multiLevelType w:val="hybridMultilevel"/>
    <w:tmpl w:val="7C0072EC"/>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1D2593"/>
    <w:multiLevelType w:val="hybridMultilevel"/>
    <w:tmpl w:val="458EDC48"/>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B417E3"/>
    <w:multiLevelType w:val="hybridMultilevel"/>
    <w:tmpl w:val="E9121E70"/>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7F4638"/>
    <w:multiLevelType w:val="hybridMultilevel"/>
    <w:tmpl w:val="4EFA46BC"/>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8C6B50"/>
    <w:multiLevelType w:val="hybridMultilevel"/>
    <w:tmpl w:val="F58A6A62"/>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474244"/>
    <w:multiLevelType w:val="hybridMultilevel"/>
    <w:tmpl w:val="B6FC7E4E"/>
    <w:lvl w:ilvl="0" w:tplc="156881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5"/>
  </w:num>
  <w:num w:numId="4">
    <w:abstractNumId w:val="1"/>
  </w:num>
  <w:num w:numId="5">
    <w:abstractNumId w:val="3"/>
  </w:num>
  <w:num w:numId="6">
    <w:abstractNumId w:val="2"/>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4"/>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3DC"/>
    <w:rsid w:val="0000214A"/>
    <w:rsid w:val="00005776"/>
    <w:rsid w:val="000127D1"/>
    <w:rsid w:val="0001794C"/>
    <w:rsid w:val="000278F6"/>
    <w:rsid w:val="00030328"/>
    <w:rsid w:val="000342D3"/>
    <w:rsid w:val="00042B6A"/>
    <w:rsid w:val="0004782F"/>
    <w:rsid w:val="0005019B"/>
    <w:rsid w:val="0005162E"/>
    <w:rsid w:val="000541C5"/>
    <w:rsid w:val="00054963"/>
    <w:rsid w:val="0006460D"/>
    <w:rsid w:val="00067B8D"/>
    <w:rsid w:val="00072C95"/>
    <w:rsid w:val="00073059"/>
    <w:rsid w:val="00076779"/>
    <w:rsid w:val="00082111"/>
    <w:rsid w:val="000A21F6"/>
    <w:rsid w:val="000B09CF"/>
    <w:rsid w:val="000B0E21"/>
    <w:rsid w:val="000B2FD7"/>
    <w:rsid w:val="000B5C2B"/>
    <w:rsid w:val="000B669E"/>
    <w:rsid w:val="000C1ED5"/>
    <w:rsid w:val="000C7853"/>
    <w:rsid w:val="000D1159"/>
    <w:rsid w:val="000E0AC9"/>
    <w:rsid w:val="000F3D57"/>
    <w:rsid w:val="00110F06"/>
    <w:rsid w:val="001175C7"/>
    <w:rsid w:val="00117B7A"/>
    <w:rsid w:val="00121FA8"/>
    <w:rsid w:val="00126BC4"/>
    <w:rsid w:val="0013151F"/>
    <w:rsid w:val="001315F3"/>
    <w:rsid w:val="001374A7"/>
    <w:rsid w:val="00137BBD"/>
    <w:rsid w:val="001474F0"/>
    <w:rsid w:val="00150191"/>
    <w:rsid w:val="001510C8"/>
    <w:rsid w:val="001665FF"/>
    <w:rsid w:val="00166C59"/>
    <w:rsid w:val="00171DEE"/>
    <w:rsid w:val="001B3912"/>
    <w:rsid w:val="001C069D"/>
    <w:rsid w:val="001C4CE2"/>
    <w:rsid w:val="001D32B5"/>
    <w:rsid w:val="001D444D"/>
    <w:rsid w:val="001D45C4"/>
    <w:rsid w:val="001D5D36"/>
    <w:rsid w:val="001E0BE5"/>
    <w:rsid w:val="001E0D6C"/>
    <w:rsid w:val="001E269B"/>
    <w:rsid w:val="001E3D9B"/>
    <w:rsid w:val="001E4ABF"/>
    <w:rsid w:val="001E4D5D"/>
    <w:rsid w:val="001E6DE8"/>
    <w:rsid w:val="001E79FD"/>
    <w:rsid w:val="001F3FDA"/>
    <w:rsid w:val="001F46B9"/>
    <w:rsid w:val="001F71EE"/>
    <w:rsid w:val="001F7F41"/>
    <w:rsid w:val="00210419"/>
    <w:rsid w:val="0021362F"/>
    <w:rsid w:val="00215E4B"/>
    <w:rsid w:val="0023291D"/>
    <w:rsid w:val="0023436C"/>
    <w:rsid w:val="002409C5"/>
    <w:rsid w:val="00252755"/>
    <w:rsid w:val="002653E8"/>
    <w:rsid w:val="00265B10"/>
    <w:rsid w:val="00267AE8"/>
    <w:rsid w:val="00267C32"/>
    <w:rsid w:val="00271B28"/>
    <w:rsid w:val="00274242"/>
    <w:rsid w:val="00280076"/>
    <w:rsid w:val="00290173"/>
    <w:rsid w:val="002928B1"/>
    <w:rsid w:val="00297D70"/>
    <w:rsid w:val="002A14A8"/>
    <w:rsid w:val="002A2B79"/>
    <w:rsid w:val="002A3B5B"/>
    <w:rsid w:val="002A73F3"/>
    <w:rsid w:val="002B6C8A"/>
    <w:rsid w:val="002C02FE"/>
    <w:rsid w:val="002C722C"/>
    <w:rsid w:val="002D14B4"/>
    <w:rsid w:val="002D1592"/>
    <w:rsid w:val="002D2960"/>
    <w:rsid w:val="002D39E3"/>
    <w:rsid w:val="002D3E0E"/>
    <w:rsid w:val="002D3EF6"/>
    <w:rsid w:val="002D5295"/>
    <w:rsid w:val="002E2F1A"/>
    <w:rsid w:val="002E4374"/>
    <w:rsid w:val="002E51A6"/>
    <w:rsid w:val="003018C9"/>
    <w:rsid w:val="00314A21"/>
    <w:rsid w:val="0031509D"/>
    <w:rsid w:val="00337BA1"/>
    <w:rsid w:val="00345D83"/>
    <w:rsid w:val="003543DC"/>
    <w:rsid w:val="00354E33"/>
    <w:rsid w:val="00355FBE"/>
    <w:rsid w:val="0035758F"/>
    <w:rsid w:val="00360492"/>
    <w:rsid w:val="00360878"/>
    <w:rsid w:val="0036238C"/>
    <w:rsid w:val="0037439F"/>
    <w:rsid w:val="00376DA9"/>
    <w:rsid w:val="0038193A"/>
    <w:rsid w:val="00384EE5"/>
    <w:rsid w:val="00385003"/>
    <w:rsid w:val="00393C2A"/>
    <w:rsid w:val="003A3466"/>
    <w:rsid w:val="003B5DE8"/>
    <w:rsid w:val="003C25AA"/>
    <w:rsid w:val="003C543D"/>
    <w:rsid w:val="003D0942"/>
    <w:rsid w:val="003D4507"/>
    <w:rsid w:val="003D4CE7"/>
    <w:rsid w:val="003F3B67"/>
    <w:rsid w:val="003F61E9"/>
    <w:rsid w:val="003F7CEB"/>
    <w:rsid w:val="0040045A"/>
    <w:rsid w:val="0040625F"/>
    <w:rsid w:val="00411D29"/>
    <w:rsid w:val="00431042"/>
    <w:rsid w:val="0043616C"/>
    <w:rsid w:val="004368B0"/>
    <w:rsid w:val="00443AEE"/>
    <w:rsid w:val="0044572A"/>
    <w:rsid w:val="00451CB3"/>
    <w:rsid w:val="00462FA6"/>
    <w:rsid w:val="004630F5"/>
    <w:rsid w:val="00465C16"/>
    <w:rsid w:val="00466FA5"/>
    <w:rsid w:val="004674C2"/>
    <w:rsid w:val="00473EA9"/>
    <w:rsid w:val="00476366"/>
    <w:rsid w:val="004804F3"/>
    <w:rsid w:val="00484283"/>
    <w:rsid w:val="004951F0"/>
    <w:rsid w:val="00495CC8"/>
    <w:rsid w:val="00497AE6"/>
    <w:rsid w:val="004A7409"/>
    <w:rsid w:val="004B6788"/>
    <w:rsid w:val="004B688C"/>
    <w:rsid w:val="004C2C9C"/>
    <w:rsid w:val="004C6CB7"/>
    <w:rsid w:val="004D09EB"/>
    <w:rsid w:val="004D4BB7"/>
    <w:rsid w:val="004E2C81"/>
    <w:rsid w:val="004F4D1A"/>
    <w:rsid w:val="005032F5"/>
    <w:rsid w:val="005071C2"/>
    <w:rsid w:val="0051147F"/>
    <w:rsid w:val="0051628F"/>
    <w:rsid w:val="005175FF"/>
    <w:rsid w:val="0052213E"/>
    <w:rsid w:val="00534A44"/>
    <w:rsid w:val="00535B12"/>
    <w:rsid w:val="005378F4"/>
    <w:rsid w:val="00545601"/>
    <w:rsid w:val="00547A3D"/>
    <w:rsid w:val="00554194"/>
    <w:rsid w:val="00554BE1"/>
    <w:rsid w:val="00561897"/>
    <w:rsid w:val="00566083"/>
    <w:rsid w:val="0057098C"/>
    <w:rsid w:val="00573D2E"/>
    <w:rsid w:val="00583D57"/>
    <w:rsid w:val="00584B5A"/>
    <w:rsid w:val="00586DEB"/>
    <w:rsid w:val="00594E17"/>
    <w:rsid w:val="005A5760"/>
    <w:rsid w:val="005A7694"/>
    <w:rsid w:val="005B17F7"/>
    <w:rsid w:val="005B39BE"/>
    <w:rsid w:val="005B411E"/>
    <w:rsid w:val="005B607D"/>
    <w:rsid w:val="005B7368"/>
    <w:rsid w:val="005C45B1"/>
    <w:rsid w:val="005C65E5"/>
    <w:rsid w:val="005C752E"/>
    <w:rsid w:val="005D0F7C"/>
    <w:rsid w:val="005D7BD0"/>
    <w:rsid w:val="005E12A4"/>
    <w:rsid w:val="005E3A48"/>
    <w:rsid w:val="00600403"/>
    <w:rsid w:val="006009C9"/>
    <w:rsid w:val="006040C0"/>
    <w:rsid w:val="00604E3D"/>
    <w:rsid w:val="00612D15"/>
    <w:rsid w:val="00613A8D"/>
    <w:rsid w:val="0061578D"/>
    <w:rsid w:val="00617D42"/>
    <w:rsid w:val="006336F9"/>
    <w:rsid w:val="00635AB9"/>
    <w:rsid w:val="0063646D"/>
    <w:rsid w:val="00640267"/>
    <w:rsid w:val="00643BF8"/>
    <w:rsid w:val="00645B3E"/>
    <w:rsid w:val="00660815"/>
    <w:rsid w:val="00660BB6"/>
    <w:rsid w:val="00660DA5"/>
    <w:rsid w:val="006636F5"/>
    <w:rsid w:val="00665391"/>
    <w:rsid w:val="00671755"/>
    <w:rsid w:val="00672CCD"/>
    <w:rsid w:val="00672F1D"/>
    <w:rsid w:val="00673A25"/>
    <w:rsid w:val="00675CEC"/>
    <w:rsid w:val="006A0490"/>
    <w:rsid w:val="006A210C"/>
    <w:rsid w:val="006A2E89"/>
    <w:rsid w:val="006A58DF"/>
    <w:rsid w:val="006A5C6E"/>
    <w:rsid w:val="006B5280"/>
    <w:rsid w:val="006C1D2B"/>
    <w:rsid w:val="006C2D9B"/>
    <w:rsid w:val="006D50FF"/>
    <w:rsid w:val="006D5966"/>
    <w:rsid w:val="006D6593"/>
    <w:rsid w:val="006D7941"/>
    <w:rsid w:val="006E3A29"/>
    <w:rsid w:val="006E7151"/>
    <w:rsid w:val="006F365D"/>
    <w:rsid w:val="006F6774"/>
    <w:rsid w:val="006F6E82"/>
    <w:rsid w:val="006F75D3"/>
    <w:rsid w:val="007000F4"/>
    <w:rsid w:val="0071483A"/>
    <w:rsid w:val="0071772F"/>
    <w:rsid w:val="00726A3D"/>
    <w:rsid w:val="0072778F"/>
    <w:rsid w:val="00732868"/>
    <w:rsid w:val="00734FB1"/>
    <w:rsid w:val="0074013C"/>
    <w:rsid w:val="007526B8"/>
    <w:rsid w:val="00755ED1"/>
    <w:rsid w:val="007644EF"/>
    <w:rsid w:val="0076649B"/>
    <w:rsid w:val="00771492"/>
    <w:rsid w:val="00773B14"/>
    <w:rsid w:val="00786744"/>
    <w:rsid w:val="00793FCC"/>
    <w:rsid w:val="007A5D25"/>
    <w:rsid w:val="007B148F"/>
    <w:rsid w:val="007D1172"/>
    <w:rsid w:val="007D38F5"/>
    <w:rsid w:val="007D6746"/>
    <w:rsid w:val="007E2A45"/>
    <w:rsid w:val="007E667D"/>
    <w:rsid w:val="007E7056"/>
    <w:rsid w:val="007F1593"/>
    <w:rsid w:val="007F520E"/>
    <w:rsid w:val="007F72E4"/>
    <w:rsid w:val="008041CA"/>
    <w:rsid w:val="008137F5"/>
    <w:rsid w:val="00814BF2"/>
    <w:rsid w:val="00817D9C"/>
    <w:rsid w:val="008242C0"/>
    <w:rsid w:val="00830AB2"/>
    <w:rsid w:val="00835968"/>
    <w:rsid w:val="008359D0"/>
    <w:rsid w:val="00836143"/>
    <w:rsid w:val="0084742D"/>
    <w:rsid w:val="0085033B"/>
    <w:rsid w:val="00857262"/>
    <w:rsid w:val="008652D8"/>
    <w:rsid w:val="008653D9"/>
    <w:rsid w:val="00866BCE"/>
    <w:rsid w:val="0087047B"/>
    <w:rsid w:val="00871D46"/>
    <w:rsid w:val="00873137"/>
    <w:rsid w:val="00880438"/>
    <w:rsid w:val="00885420"/>
    <w:rsid w:val="00891BDC"/>
    <w:rsid w:val="008926CC"/>
    <w:rsid w:val="008A1EAC"/>
    <w:rsid w:val="008A5739"/>
    <w:rsid w:val="008B133C"/>
    <w:rsid w:val="008B18BE"/>
    <w:rsid w:val="008C20A0"/>
    <w:rsid w:val="008C2AD6"/>
    <w:rsid w:val="008C78FD"/>
    <w:rsid w:val="008D1E35"/>
    <w:rsid w:val="008D3BE1"/>
    <w:rsid w:val="008E7C77"/>
    <w:rsid w:val="00901F4B"/>
    <w:rsid w:val="00902874"/>
    <w:rsid w:val="00903CE1"/>
    <w:rsid w:val="00905B81"/>
    <w:rsid w:val="00913355"/>
    <w:rsid w:val="00916692"/>
    <w:rsid w:val="00927F39"/>
    <w:rsid w:val="00933782"/>
    <w:rsid w:val="009354BA"/>
    <w:rsid w:val="00935F18"/>
    <w:rsid w:val="00936FA9"/>
    <w:rsid w:val="009473BA"/>
    <w:rsid w:val="0095587D"/>
    <w:rsid w:val="00955C4D"/>
    <w:rsid w:val="00963AC4"/>
    <w:rsid w:val="00964BF1"/>
    <w:rsid w:val="00981046"/>
    <w:rsid w:val="00981E51"/>
    <w:rsid w:val="009903D7"/>
    <w:rsid w:val="00991BBB"/>
    <w:rsid w:val="009931B0"/>
    <w:rsid w:val="009B7C85"/>
    <w:rsid w:val="009C4CB2"/>
    <w:rsid w:val="009C6474"/>
    <w:rsid w:val="009D3341"/>
    <w:rsid w:val="009E661F"/>
    <w:rsid w:val="009F52EE"/>
    <w:rsid w:val="009F5F20"/>
    <w:rsid w:val="00A03D4B"/>
    <w:rsid w:val="00A04184"/>
    <w:rsid w:val="00A04EB9"/>
    <w:rsid w:val="00A066C0"/>
    <w:rsid w:val="00A14236"/>
    <w:rsid w:val="00A25B25"/>
    <w:rsid w:val="00A26949"/>
    <w:rsid w:val="00A30B0D"/>
    <w:rsid w:val="00A3142D"/>
    <w:rsid w:val="00A467F8"/>
    <w:rsid w:val="00A51C6C"/>
    <w:rsid w:val="00A56117"/>
    <w:rsid w:val="00A61041"/>
    <w:rsid w:val="00A6572F"/>
    <w:rsid w:val="00A73662"/>
    <w:rsid w:val="00A757A1"/>
    <w:rsid w:val="00A764B4"/>
    <w:rsid w:val="00A819A6"/>
    <w:rsid w:val="00A82F83"/>
    <w:rsid w:val="00A86F7C"/>
    <w:rsid w:val="00A91760"/>
    <w:rsid w:val="00A92A2C"/>
    <w:rsid w:val="00A94540"/>
    <w:rsid w:val="00A94C64"/>
    <w:rsid w:val="00A950D2"/>
    <w:rsid w:val="00A970D1"/>
    <w:rsid w:val="00AA0C7F"/>
    <w:rsid w:val="00AA0F79"/>
    <w:rsid w:val="00AA20B7"/>
    <w:rsid w:val="00AB23E8"/>
    <w:rsid w:val="00AB2BD7"/>
    <w:rsid w:val="00AC1A44"/>
    <w:rsid w:val="00AD12D1"/>
    <w:rsid w:val="00AD1540"/>
    <w:rsid w:val="00AD1951"/>
    <w:rsid w:val="00AF53A8"/>
    <w:rsid w:val="00AF66CD"/>
    <w:rsid w:val="00B0394F"/>
    <w:rsid w:val="00B06A58"/>
    <w:rsid w:val="00B15CDD"/>
    <w:rsid w:val="00B1623D"/>
    <w:rsid w:val="00B21D7F"/>
    <w:rsid w:val="00B31B00"/>
    <w:rsid w:val="00B31B16"/>
    <w:rsid w:val="00B32556"/>
    <w:rsid w:val="00B362DE"/>
    <w:rsid w:val="00B43097"/>
    <w:rsid w:val="00B47215"/>
    <w:rsid w:val="00B57092"/>
    <w:rsid w:val="00B57C70"/>
    <w:rsid w:val="00B70DD2"/>
    <w:rsid w:val="00B75FCE"/>
    <w:rsid w:val="00B80AAF"/>
    <w:rsid w:val="00B819E0"/>
    <w:rsid w:val="00B82E6C"/>
    <w:rsid w:val="00B871DC"/>
    <w:rsid w:val="00B952F7"/>
    <w:rsid w:val="00BA3058"/>
    <w:rsid w:val="00BA520B"/>
    <w:rsid w:val="00BA66CD"/>
    <w:rsid w:val="00BA6C6F"/>
    <w:rsid w:val="00BB6CC2"/>
    <w:rsid w:val="00BB7472"/>
    <w:rsid w:val="00BC06AC"/>
    <w:rsid w:val="00BC19C5"/>
    <w:rsid w:val="00BD11C2"/>
    <w:rsid w:val="00BE5674"/>
    <w:rsid w:val="00BF0789"/>
    <w:rsid w:val="00C00A29"/>
    <w:rsid w:val="00C00A8D"/>
    <w:rsid w:val="00C00E22"/>
    <w:rsid w:val="00C03A1C"/>
    <w:rsid w:val="00C06F69"/>
    <w:rsid w:val="00C10D53"/>
    <w:rsid w:val="00C11F26"/>
    <w:rsid w:val="00C12165"/>
    <w:rsid w:val="00C22842"/>
    <w:rsid w:val="00C3303E"/>
    <w:rsid w:val="00C376BF"/>
    <w:rsid w:val="00C41747"/>
    <w:rsid w:val="00C42C32"/>
    <w:rsid w:val="00C50C92"/>
    <w:rsid w:val="00C62884"/>
    <w:rsid w:val="00C93022"/>
    <w:rsid w:val="00C962AD"/>
    <w:rsid w:val="00CA1C30"/>
    <w:rsid w:val="00CA41A4"/>
    <w:rsid w:val="00CA7FD1"/>
    <w:rsid w:val="00CB05E4"/>
    <w:rsid w:val="00CB4A7B"/>
    <w:rsid w:val="00CB51DD"/>
    <w:rsid w:val="00CB5A4D"/>
    <w:rsid w:val="00CC0E5D"/>
    <w:rsid w:val="00CC61B3"/>
    <w:rsid w:val="00CC6A4F"/>
    <w:rsid w:val="00CC7D48"/>
    <w:rsid w:val="00CD043C"/>
    <w:rsid w:val="00CD14C1"/>
    <w:rsid w:val="00CD2D3C"/>
    <w:rsid w:val="00CD49B7"/>
    <w:rsid w:val="00CF5059"/>
    <w:rsid w:val="00D0535B"/>
    <w:rsid w:val="00D05A70"/>
    <w:rsid w:val="00D068F0"/>
    <w:rsid w:val="00D16EAF"/>
    <w:rsid w:val="00D16FA3"/>
    <w:rsid w:val="00D2688B"/>
    <w:rsid w:val="00D36F7C"/>
    <w:rsid w:val="00D52D8D"/>
    <w:rsid w:val="00D60E0A"/>
    <w:rsid w:val="00D656DF"/>
    <w:rsid w:val="00D66382"/>
    <w:rsid w:val="00D66CAB"/>
    <w:rsid w:val="00D72205"/>
    <w:rsid w:val="00D76618"/>
    <w:rsid w:val="00D86D48"/>
    <w:rsid w:val="00D87B9A"/>
    <w:rsid w:val="00D9160A"/>
    <w:rsid w:val="00D94677"/>
    <w:rsid w:val="00D956DA"/>
    <w:rsid w:val="00DA0FFC"/>
    <w:rsid w:val="00DA69A7"/>
    <w:rsid w:val="00DB7638"/>
    <w:rsid w:val="00DD18EB"/>
    <w:rsid w:val="00DD190B"/>
    <w:rsid w:val="00DD1D0C"/>
    <w:rsid w:val="00DD1EC7"/>
    <w:rsid w:val="00DD6EEE"/>
    <w:rsid w:val="00DD7154"/>
    <w:rsid w:val="00DF086F"/>
    <w:rsid w:val="00E00935"/>
    <w:rsid w:val="00E03C99"/>
    <w:rsid w:val="00E047B7"/>
    <w:rsid w:val="00E04D25"/>
    <w:rsid w:val="00E0623E"/>
    <w:rsid w:val="00E206FE"/>
    <w:rsid w:val="00E22A31"/>
    <w:rsid w:val="00E36380"/>
    <w:rsid w:val="00E45787"/>
    <w:rsid w:val="00E469F6"/>
    <w:rsid w:val="00E46C4B"/>
    <w:rsid w:val="00E6348E"/>
    <w:rsid w:val="00E63DD6"/>
    <w:rsid w:val="00E64730"/>
    <w:rsid w:val="00E667AE"/>
    <w:rsid w:val="00E7741D"/>
    <w:rsid w:val="00E84B16"/>
    <w:rsid w:val="00E9015F"/>
    <w:rsid w:val="00EA703C"/>
    <w:rsid w:val="00EB31D8"/>
    <w:rsid w:val="00EC2DFB"/>
    <w:rsid w:val="00EC4195"/>
    <w:rsid w:val="00ED14CE"/>
    <w:rsid w:val="00ED6BE0"/>
    <w:rsid w:val="00EF191B"/>
    <w:rsid w:val="00F018C6"/>
    <w:rsid w:val="00F03875"/>
    <w:rsid w:val="00F048AF"/>
    <w:rsid w:val="00F06ABA"/>
    <w:rsid w:val="00F06EB6"/>
    <w:rsid w:val="00F1587C"/>
    <w:rsid w:val="00F20957"/>
    <w:rsid w:val="00F25C7B"/>
    <w:rsid w:val="00F33610"/>
    <w:rsid w:val="00F3683A"/>
    <w:rsid w:val="00F42BFE"/>
    <w:rsid w:val="00F44069"/>
    <w:rsid w:val="00F51D2C"/>
    <w:rsid w:val="00F56534"/>
    <w:rsid w:val="00F5695B"/>
    <w:rsid w:val="00F70364"/>
    <w:rsid w:val="00F8133D"/>
    <w:rsid w:val="00F85433"/>
    <w:rsid w:val="00F85673"/>
    <w:rsid w:val="00FA0158"/>
    <w:rsid w:val="00FA1D4B"/>
    <w:rsid w:val="00FA577F"/>
    <w:rsid w:val="00FA59E6"/>
    <w:rsid w:val="00FA7D0E"/>
    <w:rsid w:val="00FB6435"/>
    <w:rsid w:val="00FD57E6"/>
    <w:rsid w:val="00FD7911"/>
    <w:rsid w:val="00FE114B"/>
    <w:rsid w:val="00FF70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E182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5968"/>
    <w:rPr>
      <w:rFonts w:ascii="Times New Roman" w:eastAsia="Times New Roman" w:hAnsi="Times New Roman"/>
      <w:sz w:val="24"/>
      <w:szCs w:val="24"/>
    </w:rPr>
  </w:style>
  <w:style w:type="paragraph" w:styleId="Heading1">
    <w:name w:val="heading 1"/>
    <w:basedOn w:val="Normal"/>
    <w:link w:val="Heading1Char"/>
    <w:uiPriority w:val="1"/>
    <w:qFormat/>
    <w:rsid w:val="002C02FE"/>
    <w:pPr>
      <w:widowControl w:val="0"/>
      <w:autoSpaceDE w:val="0"/>
      <w:autoSpaceDN w:val="0"/>
      <w:spacing w:before="5"/>
      <w:ind w:left="1640" w:hanging="720"/>
      <w:outlineLvl w:val="0"/>
    </w:pPr>
    <w:rPr>
      <w:b/>
      <w:bCs/>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158"/>
    <w:pPr>
      <w:tabs>
        <w:tab w:val="center" w:pos="4680"/>
        <w:tab w:val="right" w:pos="9360"/>
      </w:tabs>
    </w:pPr>
  </w:style>
  <w:style w:type="character" w:customStyle="1" w:styleId="HeaderChar">
    <w:name w:val="Header Char"/>
    <w:basedOn w:val="DefaultParagraphFont"/>
    <w:link w:val="Header"/>
    <w:uiPriority w:val="99"/>
    <w:rsid w:val="00FA0158"/>
  </w:style>
  <w:style w:type="paragraph" w:styleId="Footer">
    <w:name w:val="footer"/>
    <w:basedOn w:val="Normal"/>
    <w:link w:val="FooterChar"/>
    <w:uiPriority w:val="99"/>
    <w:unhideWhenUsed/>
    <w:rsid w:val="00FA0158"/>
    <w:pPr>
      <w:tabs>
        <w:tab w:val="center" w:pos="4680"/>
        <w:tab w:val="right" w:pos="9360"/>
      </w:tabs>
    </w:pPr>
  </w:style>
  <w:style w:type="character" w:customStyle="1" w:styleId="FooterChar">
    <w:name w:val="Footer Char"/>
    <w:basedOn w:val="DefaultParagraphFont"/>
    <w:link w:val="Footer"/>
    <w:uiPriority w:val="99"/>
    <w:rsid w:val="00FA0158"/>
  </w:style>
  <w:style w:type="paragraph" w:styleId="BalloonText">
    <w:name w:val="Balloon Text"/>
    <w:basedOn w:val="Normal"/>
    <w:link w:val="BalloonTextChar"/>
    <w:uiPriority w:val="99"/>
    <w:semiHidden/>
    <w:unhideWhenUsed/>
    <w:rsid w:val="00FA0158"/>
    <w:rPr>
      <w:rFonts w:ascii="Tahoma" w:hAnsi="Tahoma" w:cs="Tahoma"/>
      <w:sz w:val="16"/>
      <w:szCs w:val="16"/>
    </w:rPr>
  </w:style>
  <w:style w:type="character" w:customStyle="1" w:styleId="BalloonTextChar">
    <w:name w:val="Balloon Text Char"/>
    <w:basedOn w:val="DefaultParagraphFont"/>
    <w:link w:val="BalloonText"/>
    <w:uiPriority w:val="99"/>
    <w:semiHidden/>
    <w:rsid w:val="00FA0158"/>
    <w:rPr>
      <w:rFonts w:ascii="Tahoma" w:hAnsi="Tahoma" w:cs="Tahoma"/>
      <w:sz w:val="16"/>
      <w:szCs w:val="16"/>
    </w:rPr>
  </w:style>
  <w:style w:type="paragraph" w:styleId="PlainText">
    <w:name w:val="Plain Text"/>
    <w:basedOn w:val="Normal"/>
    <w:link w:val="PlainTextChar"/>
    <w:uiPriority w:val="99"/>
    <w:semiHidden/>
    <w:unhideWhenUsed/>
    <w:rsid w:val="00C42C32"/>
    <w:rPr>
      <w:rFonts w:cs="Consolas"/>
      <w:szCs w:val="21"/>
    </w:rPr>
  </w:style>
  <w:style w:type="character" w:customStyle="1" w:styleId="PlainTextChar">
    <w:name w:val="Plain Text Char"/>
    <w:basedOn w:val="DefaultParagraphFont"/>
    <w:link w:val="PlainText"/>
    <w:uiPriority w:val="99"/>
    <w:semiHidden/>
    <w:rsid w:val="00C42C32"/>
    <w:rPr>
      <w:rFonts w:cs="Consolas"/>
      <w:sz w:val="22"/>
      <w:szCs w:val="21"/>
    </w:rPr>
  </w:style>
  <w:style w:type="paragraph" w:styleId="HTMLPreformatted">
    <w:name w:val="HTML Preformatted"/>
    <w:basedOn w:val="Normal"/>
    <w:link w:val="HTMLPreformattedChar"/>
    <w:uiPriority w:val="99"/>
    <w:semiHidden/>
    <w:unhideWhenUsed/>
    <w:rsid w:val="006D5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D5966"/>
    <w:rPr>
      <w:rFonts w:ascii="Courier New" w:eastAsia="Times New Roman" w:hAnsi="Courier New" w:cs="Courier New"/>
    </w:rPr>
  </w:style>
  <w:style w:type="character" w:customStyle="1" w:styleId="ng-binding">
    <w:name w:val="ng-binding"/>
    <w:basedOn w:val="DefaultParagraphFont"/>
    <w:rsid w:val="00660815"/>
  </w:style>
  <w:style w:type="character" w:styleId="Hyperlink">
    <w:name w:val="Hyperlink"/>
    <w:basedOn w:val="DefaultParagraphFont"/>
    <w:uiPriority w:val="99"/>
    <w:unhideWhenUsed/>
    <w:rsid w:val="00D0535B"/>
    <w:rPr>
      <w:color w:val="0000FF" w:themeColor="hyperlink"/>
      <w:u w:val="single"/>
    </w:rPr>
  </w:style>
  <w:style w:type="paragraph" w:customStyle="1" w:styleId="p1">
    <w:name w:val="p1"/>
    <w:basedOn w:val="Normal"/>
    <w:rsid w:val="00EC2DFB"/>
    <w:rPr>
      <w:rFonts w:ascii="Helvetica" w:hAnsi="Helvetica"/>
      <w:sz w:val="18"/>
      <w:szCs w:val="18"/>
    </w:rPr>
  </w:style>
  <w:style w:type="character" w:customStyle="1" w:styleId="s1">
    <w:name w:val="s1"/>
    <w:basedOn w:val="DefaultParagraphFont"/>
    <w:rsid w:val="00584B5A"/>
    <w:rPr>
      <w:rFonts w:ascii="Times New Roman" w:hAnsi="Times New Roman" w:cs="Times New Roman" w:hint="default"/>
      <w:sz w:val="11"/>
      <w:szCs w:val="11"/>
    </w:rPr>
  </w:style>
  <w:style w:type="character" w:customStyle="1" w:styleId="apple-converted-space">
    <w:name w:val="apple-converted-space"/>
    <w:basedOn w:val="DefaultParagraphFont"/>
    <w:rsid w:val="00584B5A"/>
  </w:style>
  <w:style w:type="character" w:styleId="FollowedHyperlink">
    <w:name w:val="FollowedHyperlink"/>
    <w:basedOn w:val="DefaultParagraphFont"/>
    <w:uiPriority w:val="99"/>
    <w:semiHidden/>
    <w:unhideWhenUsed/>
    <w:rsid w:val="00CD043C"/>
    <w:rPr>
      <w:color w:val="800080" w:themeColor="followedHyperlink"/>
      <w:u w:val="single"/>
    </w:rPr>
  </w:style>
  <w:style w:type="paragraph" w:customStyle="1" w:styleId="Tabletext">
    <w:name w:val="Table_text"/>
    <w:basedOn w:val="Normal"/>
    <w:rsid w:val="00F4406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Tablehead">
    <w:name w:val="Table_head"/>
    <w:basedOn w:val="Normal"/>
    <w:rsid w:val="00F44069"/>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rsid w:val="00F44069"/>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rsid w:val="00F4406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ablefin">
    <w:name w:val="Table_fin"/>
    <w:basedOn w:val="Normal"/>
    <w:next w:val="Normal"/>
    <w:rsid w:val="00F44069"/>
    <w:pPr>
      <w:suppressAutoHyphens/>
      <w:autoSpaceDN w:val="0"/>
      <w:jc w:val="both"/>
    </w:pPr>
    <w:rPr>
      <w:rFonts w:eastAsia="Batang"/>
      <w:sz w:val="20"/>
      <w:szCs w:val="20"/>
    </w:rPr>
  </w:style>
  <w:style w:type="paragraph" w:customStyle="1" w:styleId="Default">
    <w:name w:val="Default"/>
    <w:rsid w:val="004951F0"/>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semiHidden/>
    <w:unhideWhenUsed/>
    <w:rsid w:val="005B39BE"/>
    <w:pPr>
      <w:spacing w:before="100" w:beforeAutospacing="1" w:after="100" w:afterAutospacing="1"/>
    </w:pPr>
  </w:style>
  <w:style w:type="character" w:styleId="Strong">
    <w:name w:val="Strong"/>
    <w:basedOn w:val="DefaultParagraphFont"/>
    <w:uiPriority w:val="22"/>
    <w:qFormat/>
    <w:rsid w:val="005B39BE"/>
    <w:rPr>
      <w:b/>
      <w:bCs/>
    </w:rPr>
  </w:style>
  <w:style w:type="character" w:customStyle="1" w:styleId="UnresolvedMention1">
    <w:name w:val="Unresolved Mention1"/>
    <w:basedOn w:val="DefaultParagraphFont"/>
    <w:uiPriority w:val="99"/>
    <w:rsid w:val="00F1587C"/>
    <w:rPr>
      <w:color w:val="808080"/>
      <w:shd w:val="clear" w:color="auto" w:fill="E6E6E6"/>
    </w:rPr>
  </w:style>
  <w:style w:type="character" w:customStyle="1" w:styleId="Heading1Char">
    <w:name w:val="Heading 1 Char"/>
    <w:basedOn w:val="DefaultParagraphFont"/>
    <w:link w:val="Heading1"/>
    <w:uiPriority w:val="1"/>
    <w:rsid w:val="002C02FE"/>
    <w:rPr>
      <w:rFonts w:ascii="Times New Roman" w:eastAsia="Times New Roman" w:hAnsi="Times New Roman"/>
      <w:b/>
      <w:bCs/>
      <w:sz w:val="24"/>
      <w:szCs w:val="24"/>
      <w:lang w:bidi="en-US"/>
    </w:rPr>
  </w:style>
  <w:style w:type="paragraph" w:styleId="BodyText">
    <w:name w:val="Body Text"/>
    <w:basedOn w:val="Normal"/>
    <w:link w:val="BodyTextChar"/>
    <w:uiPriority w:val="1"/>
    <w:qFormat/>
    <w:rsid w:val="002C02FE"/>
    <w:pPr>
      <w:widowControl w:val="0"/>
      <w:autoSpaceDE w:val="0"/>
      <w:autoSpaceDN w:val="0"/>
      <w:ind w:left="200"/>
    </w:pPr>
    <w:rPr>
      <w:lang w:bidi="en-US"/>
    </w:rPr>
  </w:style>
  <w:style w:type="character" w:customStyle="1" w:styleId="BodyTextChar">
    <w:name w:val="Body Text Char"/>
    <w:basedOn w:val="DefaultParagraphFont"/>
    <w:link w:val="BodyText"/>
    <w:uiPriority w:val="1"/>
    <w:rsid w:val="002C02FE"/>
    <w:rPr>
      <w:rFonts w:ascii="Times New Roman" w:eastAsia="Times New Roman" w:hAnsi="Times New Roman"/>
      <w:sz w:val="24"/>
      <w:szCs w:val="24"/>
      <w:lang w:bidi="en-US"/>
    </w:rPr>
  </w:style>
  <w:style w:type="paragraph" w:customStyle="1" w:styleId="TableParagraph">
    <w:name w:val="Table Paragraph"/>
    <w:basedOn w:val="Normal"/>
    <w:uiPriority w:val="1"/>
    <w:qFormat/>
    <w:rsid w:val="002C02FE"/>
    <w:pPr>
      <w:widowControl w:val="0"/>
      <w:autoSpaceDE w:val="0"/>
      <w:autoSpaceDN w:val="0"/>
    </w:pPr>
    <w:rPr>
      <w:sz w:val="22"/>
      <w:szCs w:val="22"/>
      <w:lang w:bidi="en-US"/>
    </w:rPr>
  </w:style>
  <w:style w:type="paragraph" w:styleId="TOAHeading">
    <w:name w:val="toa heading"/>
    <w:basedOn w:val="Normal"/>
    <w:next w:val="Normal"/>
    <w:semiHidden/>
    <w:rsid w:val="00B819E0"/>
    <w:pPr>
      <w:widowControl w:val="0"/>
      <w:tabs>
        <w:tab w:val="right" w:pos="9360"/>
      </w:tabs>
      <w:suppressAutoHyphens/>
      <w:jc w:val="both"/>
    </w:pPr>
    <w:rPr>
      <w:snapToGrid w:val="0"/>
      <w:kern w:val="28"/>
      <w:sz w:val="22"/>
      <w:szCs w:val="20"/>
    </w:rPr>
  </w:style>
  <w:style w:type="paragraph" w:styleId="FootnoteText">
    <w:name w:val="footnote text"/>
    <w:basedOn w:val="Normal"/>
    <w:link w:val="FootnoteTextChar"/>
    <w:uiPriority w:val="99"/>
    <w:semiHidden/>
    <w:unhideWhenUsed/>
    <w:rsid w:val="00B31B16"/>
    <w:rPr>
      <w:sz w:val="20"/>
      <w:szCs w:val="20"/>
    </w:rPr>
  </w:style>
  <w:style w:type="character" w:customStyle="1" w:styleId="FootnoteTextChar">
    <w:name w:val="Footnote Text Char"/>
    <w:basedOn w:val="DefaultParagraphFont"/>
    <w:link w:val="FootnoteText"/>
    <w:uiPriority w:val="99"/>
    <w:semiHidden/>
    <w:rsid w:val="00B31B16"/>
    <w:rPr>
      <w:rFonts w:ascii="Times New Roman" w:eastAsia="Times New Roman" w:hAnsi="Times New Roman"/>
    </w:rPr>
  </w:style>
  <w:style w:type="character" w:styleId="FootnoteReference">
    <w:name w:val="footnote reference"/>
    <w:basedOn w:val="DefaultParagraphFont"/>
    <w:uiPriority w:val="99"/>
    <w:semiHidden/>
    <w:unhideWhenUsed/>
    <w:rsid w:val="00B31B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22845">
      <w:bodyDiv w:val="1"/>
      <w:marLeft w:val="0"/>
      <w:marRight w:val="0"/>
      <w:marTop w:val="0"/>
      <w:marBottom w:val="0"/>
      <w:divBdr>
        <w:top w:val="none" w:sz="0" w:space="0" w:color="auto"/>
        <w:left w:val="none" w:sz="0" w:space="0" w:color="auto"/>
        <w:bottom w:val="none" w:sz="0" w:space="0" w:color="auto"/>
        <w:right w:val="none" w:sz="0" w:space="0" w:color="auto"/>
      </w:divBdr>
    </w:div>
    <w:div w:id="177962167">
      <w:bodyDiv w:val="1"/>
      <w:marLeft w:val="0"/>
      <w:marRight w:val="0"/>
      <w:marTop w:val="0"/>
      <w:marBottom w:val="0"/>
      <w:divBdr>
        <w:top w:val="none" w:sz="0" w:space="0" w:color="auto"/>
        <w:left w:val="none" w:sz="0" w:space="0" w:color="auto"/>
        <w:bottom w:val="none" w:sz="0" w:space="0" w:color="auto"/>
        <w:right w:val="none" w:sz="0" w:space="0" w:color="auto"/>
      </w:divBdr>
    </w:div>
    <w:div w:id="250550839">
      <w:bodyDiv w:val="1"/>
      <w:marLeft w:val="0"/>
      <w:marRight w:val="0"/>
      <w:marTop w:val="0"/>
      <w:marBottom w:val="0"/>
      <w:divBdr>
        <w:top w:val="none" w:sz="0" w:space="0" w:color="auto"/>
        <w:left w:val="none" w:sz="0" w:space="0" w:color="auto"/>
        <w:bottom w:val="none" w:sz="0" w:space="0" w:color="auto"/>
        <w:right w:val="none" w:sz="0" w:space="0" w:color="auto"/>
      </w:divBdr>
    </w:div>
    <w:div w:id="315883884">
      <w:bodyDiv w:val="1"/>
      <w:marLeft w:val="0"/>
      <w:marRight w:val="0"/>
      <w:marTop w:val="0"/>
      <w:marBottom w:val="0"/>
      <w:divBdr>
        <w:top w:val="none" w:sz="0" w:space="0" w:color="auto"/>
        <w:left w:val="none" w:sz="0" w:space="0" w:color="auto"/>
        <w:bottom w:val="none" w:sz="0" w:space="0" w:color="auto"/>
        <w:right w:val="none" w:sz="0" w:space="0" w:color="auto"/>
      </w:divBdr>
    </w:div>
    <w:div w:id="320163264">
      <w:bodyDiv w:val="1"/>
      <w:marLeft w:val="0"/>
      <w:marRight w:val="0"/>
      <w:marTop w:val="0"/>
      <w:marBottom w:val="0"/>
      <w:divBdr>
        <w:top w:val="none" w:sz="0" w:space="0" w:color="auto"/>
        <w:left w:val="none" w:sz="0" w:space="0" w:color="auto"/>
        <w:bottom w:val="none" w:sz="0" w:space="0" w:color="auto"/>
        <w:right w:val="none" w:sz="0" w:space="0" w:color="auto"/>
      </w:divBdr>
    </w:div>
    <w:div w:id="635600423">
      <w:bodyDiv w:val="1"/>
      <w:marLeft w:val="0"/>
      <w:marRight w:val="0"/>
      <w:marTop w:val="0"/>
      <w:marBottom w:val="0"/>
      <w:divBdr>
        <w:top w:val="none" w:sz="0" w:space="0" w:color="auto"/>
        <w:left w:val="none" w:sz="0" w:space="0" w:color="auto"/>
        <w:bottom w:val="none" w:sz="0" w:space="0" w:color="auto"/>
        <w:right w:val="none" w:sz="0" w:space="0" w:color="auto"/>
      </w:divBdr>
    </w:div>
    <w:div w:id="682322648">
      <w:bodyDiv w:val="1"/>
      <w:marLeft w:val="0"/>
      <w:marRight w:val="0"/>
      <w:marTop w:val="0"/>
      <w:marBottom w:val="0"/>
      <w:divBdr>
        <w:top w:val="none" w:sz="0" w:space="0" w:color="auto"/>
        <w:left w:val="none" w:sz="0" w:space="0" w:color="auto"/>
        <w:bottom w:val="none" w:sz="0" w:space="0" w:color="auto"/>
        <w:right w:val="none" w:sz="0" w:space="0" w:color="auto"/>
      </w:divBdr>
    </w:div>
    <w:div w:id="685641084">
      <w:bodyDiv w:val="1"/>
      <w:marLeft w:val="0"/>
      <w:marRight w:val="0"/>
      <w:marTop w:val="0"/>
      <w:marBottom w:val="0"/>
      <w:divBdr>
        <w:top w:val="none" w:sz="0" w:space="0" w:color="auto"/>
        <w:left w:val="none" w:sz="0" w:space="0" w:color="auto"/>
        <w:bottom w:val="none" w:sz="0" w:space="0" w:color="auto"/>
        <w:right w:val="none" w:sz="0" w:space="0" w:color="auto"/>
      </w:divBdr>
    </w:div>
    <w:div w:id="727070677">
      <w:bodyDiv w:val="1"/>
      <w:marLeft w:val="0"/>
      <w:marRight w:val="0"/>
      <w:marTop w:val="0"/>
      <w:marBottom w:val="0"/>
      <w:divBdr>
        <w:top w:val="none" w:sz="0" w:space="0" w:color="auto"/>
        <w:left w:val="none" w:sz="0" w:space="0" w:color="auto"/>
        <w:bottom w:val="none" w:sz="0" w:space="0" w:color="auto"/>
        <w:right w:val="none" w:sz="0" w:space="0" w:color="auto"/>
      </w:divBdr>
    </w:div>
    <w:div w:id="818694731">
      <w:bodyDiv w:val="1"/>
      <w:marLeft w:val="0"/>
      <w:marRight w:val="0"/>
      <w:marTop w:val="0"/>
      <w:marBottom w:val="0"/>
      <w:divBdr>
        <w:top w:val="none" w:sz="0" w:space="0" w:color="auto"/>
        <w:left w:val="none" w:sz="0" w:space="0" w:color="auto"/>
        <w:bottom w:val="none" w:sz="0" w:space="0" w:color="auto"/>
        <w:right w:val="none" w:sz="0" w:space="0" w:color="auto"/>
      </w:divBdr>
    </w:div>
    <w:div w:id="824468485">
      <w:bodyDiv w:val="1"/>
      <w:marLeft w:val="0"/>
      <w:marRight w:val="0"/>
      <w:marTop w:val="0"/>
      <w:marBottom w:val="0"/>
      <w:divBdr>
        <w:top w:val="none" w:sz="0" w:space="0" w:color="auto"/>
        <w:left w:val="none" w:sz="0" w:space="0" w:color="auto"/>
        <w:bottom w:val="none" w:sz="0" w:space="0" w:color="auto"/>
        <w:right w:val="none" w:sz="0" w:space="0" w:color="auto"/>
      </w:divBdr>
    </w:div>
    <w:div w:id="974673863">
      <w:bodyDiv w:val="1"/>
      <w:marLeft w:val="0"/>
      <w:marRight w:val="0"/>
      <w:marTop w:val="0"/>
      <w:marBottom w:val="0"/>
      <w:divBdr>
        <w:top w:val="none" w:sz="0" w:space="0" w:color="auto"/>
        <w:left w:val="none" w:sz="0" w:space="0" w:color="auto"/>
        <w:bottom w:val="none" w:sz="0" w:space="0" w:color="auto"/>
        <w:right w:val="none" w:sz="0" w:space="0" w:color="auto"/>
      </w:divBdr>
    </w:div>
    <w:div w:id="996953522">
      <w:bodyDiv w:val="1"/>
      <w:marLeft w:val="0"/>
      <w:marRight w:val="0"/>
      <w:marTop w:val="0"/>
      <w:marBottom w:val="0"/>
      <w:divBdr>
        <w:top w:val="none" w:sz="0" w:space="0" w:color="auto"/>
        <w:left w:val="none" w:sz="0" w:space="0" w:color="auto"/>
        <w:bottom w:val="none" w:sz="0" w:space="0" w:color="auto"/>
        <w:right w:val="none" w:sz="0" w:space="0" w:color="auto"/>
      </w:divBdr>
    </w:div>
    <w:div w:id="1116557056">
      <w:bodyDiv w:val="1"/>
      <w:marLeft w:val="0"/>
      <w:marRight w:val="0"/>
      <w:marTop w:val="0"/>
      <w:marBottom w:val="0"/>
      <w:divBdr>
        <w:top w:val="none" w:sz="0" w:space="0" w:color="auto"/>
        <w:left w:val="none" w:sz="0" w:space="0" w:color="auto"/>
        <w:bottom w:val="none" w:sz="0" w:space="0" w:color="auto"/>
        <w:right w:val="none" w:sz="0" w:space="0" w:color="auto"/>
      </w:divBdr>
    </w:div>
    <w:div w:id="1139150595">
      <w:bodyDiv w:val="1"/>
      <w:marLeft w:val="0"/>
      <w:marRight w:val="0"/>
      <w:marTop w:val="0"/>
      <w:marBottom w:val="0"/>
      <w:divBdr>
        <w:top w:val="none" w:sz="0" w:space="0" w:color="auto"/>
        <w:left w:val="none" w:sz="0" w:space="0" w:color="auto"/>
        <w:bottom w:val="none" w:sz="0" w:space="0" w:color="auto"/>
        <w:right w:val="none" w:sz="0" w:space="0" w:color="auto"/>
      </w:divBdr>
    </w:div>
    <w:div w:id="1145854309">
      <w:bodyDiv w:val="1"/>
      <w:marLeft w:val="0"/>
      <w:marRight w:val="0"/>
      <w:marTop w:val="0"/>
      <w:marBottom w:val="0"/>
      <w:divBdr>
        <w:top w:val="none" w:sz="0" w:space="0" w:color="auto"/>
        <w:left w:val="none" w:sz="0" w:space="0" w:color="auto"/>
        <w:bottom w:val="none" w:sz="0" w:space="0" w:color="auto"/>
        <w:right w:val="none" w:sz="0" w:space="0" w:color="auto"/>
      </w:divBdr>
    </w:div>
    <w:div w:id="1279531594">
      <w:bodyDiv w:val="1"/>
      <w:marLeft w:val="0"/>
      <w:marRight w:val="0"/>
      <w:marTop w:val="0"/>
      <w:marBottom w:val="0"/>
      <w:divBdr>
        <w:top w:val="none" w:sz="0" w:space="0" w:color="auto"/>
        <w:left w:val="none" w:sz="0" w:space="0" w:color="auto"/>
        <w:bottom w:val="none" w:sz="0" w:space="0" w:color="auto"/>
        <w:right w:val="none" w:sz="0" w:space="0" w:color="auto"/>
      </w:divBdr>
    </w:div>
    <w:div w:id="1305306247">
      <w:bodyDiv w:val="1"/>
      <w:marLeft w:val="0"/>
      <w:marRight w:val="0"/>
      <w:marTop w:val="0"/>
      <w:marBottom w:val="0"/>
      <w:divBdr>
        <w:top w:val="none" w:sz="0" w:space="0" w:color="auto"/>
        <w:left w:val="none" w:sz="0" w:space="0" w:color="auto"/>
        <w:bottom w:val="none" w:sz="0" w:space="0" w:color="auto"/>
        <w:right w:val="none" w:sz="0" w:space="0" w:color="auto"/>
      </w:divBdr>
    </w:div>
    <w:div w:id="1917783122">
      <w:bodyDiv w:val="1"/>
      <w:marLeft w:val="0"/>
      <w:marRight w:val="0"/>
      <w:marTop w:val="0"/>
      <w:marBottom w:val="0"/>
      <w:divBdr>
        <w:top w:val="none" w:sz="0" w:space="0" w:color="auto"/>
        <w:left w:val="none" w:sz="0" w:space="0" w:color="auto"/>
        <w:bottom w:val="none" w:sz="0" w:space="0" w:color="auto"/>
        <w:right w:val="none" w:sz="0" w:space="0" w:color="auto"/>
      </w:divBdr>
    </w:div>
    <w:div w:id="1925333821">
      <w:bodyDiv w:val="1"/>
      <w:marLeft w:val="0"/>
      <w:marRight w:val="0"/>
      <w:marTop w:val="0"/>
      <w:marBottom w:val="0"/>
      <w:divBdr>
        <w:top w:val="none" w:sz="0" w:space="0" w:color="auto"/>
        <w:left w:val="none" w:sz="0" w:space="0" w:color="auto"/>
        <w:bottom w:val="none" w:sz="0" w:space="0" w:color="auto"/>
        <w:right w:val="none" w:sz="0" w:space="0" w:color="auto"/>
      </w:divBdr>
    </w:div>
    <w:div w:id="1996909844">
      <w:bodyDiv w:val="1"/>
      <w:marLeft w:val="0"/>
      <w:marRight w:val="0"/>
      <w:marTop w:val="0"/>
      <w:marBottom w:val="0"/>
      <w:divBdr>
        <w:top w:val="none" w:sz="0" w:space="0" w:color="auto"/>
        <w:left w:val="none" w:sz="0" w:space="0" w:color="auto"/>
        <w:bottom w:val="none" w:sz="0" w:space="0" w:color="auto"/>
        <w:right w:val="none" w:sz="0" w:space="0" w:color="auto"/>
      </w:divBdr>
    </w:div>
    <w:div w:id="2059546799">
      <w:bodyDiv w:val="1"/>
      <w:marLeft w:val="0"/>
      <w:marRight w:val="0"/>
      <w:marTop w:val="0"/>
      <w:marBottom w:val="0"/>
      <w:divBdr>
        <w:top w:val="none" w:sz="0" w:space="0" w:color="auto"/>
        <w:left w:val="none" w:sz="0" w:space="0" w:color="auto"/>
        <w:bottom w:val="none" w:sz="0" w:space="0" w:color="auto"/>
        <w:right w:val="none" w:sz="0" w:space="0" w:color="auto"/>
      </w:divBdr>
    </w:div>
    <w:div w:id="2062973253">
      <w:bodyDiv w:val="1"/>
      <w:marLeft w:val="0"/>
      <w:marRight w:val="0"/>
      <w:marTop w:val="0"/>
      <w:marBottom w:val="0"/>
      <w:divBdr>
        <w:top w:val="none" w:sz="0" w:space="0" w:color="auto"/>
        <w:left w:val="none" w:sz="0" w:space="0" w:color="auto"/>
        <w:bottom w:val="none" w:sz="0" w:space="0" w:color="auto"/>
        <w:right w:val="none" w:sz="0" w:space="0" w:color="auto"/>
      </w:divBdr>
    </w:div>
    <w:div w:id="213254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bankobservatory.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47BDC-0B8C-3642-B7E8-C4DD8B01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2031</Words>
  <Characters>9324</Characters>
  <Application>Microsoft Office Word</Application>
  <DocSecurity>0</DocSecurity>
  <PresentationFormat>15|.DOCX</PresentationFormat>
  <Lines>137</Lines>
  <Paragraphs>23</Paragraphs>
  <ScaleCrop>false</ScaleCrop>
  <HeadingPairs>
    <vt:vector size="2" baseType="variant">
      <vt:variant>
        <vt:lpstr>Title</vt:lpstr>
      </vt:variant>
      <vt:variant>
        <vt:i4>1</vt:i4>
      </vt:variant>
    </vt:vector>
  </HeadingPairs>
  <TitlesOfParts>
    <vt:vector size="1" baseType="lpstr">
      <vt:lpstr>NRAO Reply to Draft Above 95 GHz Order PF RED 03.06.19 (01292183).DOCX</vt:lpstr>
    </vt:vector>
  </TitlesOfParts>
  <Company>NRAO</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NRAO Reply to Draft Above 95 GHz Order PF RED 03.06.19 (01292183).DOCX</dc:title>
  <dc:subject>01292183-1 /font=6</dc:subject>
  <dc:creator>Taylor Johnson</dc:creator>
  <cp:lastModifiedBy>Harvey Steven Liszt</cp:lastModifiedBy>
  <cp:revision>2</cp:revision>
  <cp:lastPrinted>2018-02-07T21:25:00Z</cp:lastPrinted>
  <dcterms:created xsi:type="dcterms:W3CDTF">2019-03-14T02:38:00Z</dcterms:created>
  <dcterms:modified xsi:type="dcterms:W3CDTF">2019-03-14T02:38:00Z</dcterms:modified>
</cp:coreProperties>
</file>