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2A46" w:rsidRPr="00B60181" w:rsidRDefault="000C26AE" w:rsidP="00B60181">
      <w:pPr>
        <w:jc w:val="center"/>
        <w:rPr>
          <w:caps/>
        </w:rPr>
      </w:pPr>
      <w:r w:rsidRPr="00B60181">
        <w:rPr>
          <w:caps/>
        </w:rPr>
        <w:t>Before the Federal Communications Commission</w:t>
      </w:r>
    </w:p>
    <w:p w:rsidR="00933925" w:rsidRDefault="000C26AE" w:rsidP="00933925">
      <w:pPr>
        <w:jc w:val="center"/>
      </w:pPr>
      <w:r>
        <w:t xml:space="preserve">Washington, D.C. </w:t>
      </w:r>
      <w:r w:rsidR="00B60181">
        <w:t xml:space="preserve"> </w:t>
      </w:r>
      <w:r>
        <w:t>20554</w:t>
      </w:r>
    </w:p>
    <w:p w:rsidR="000C26AE" w:rsidRDefault="00933925" w:rsidP="00933925">
      <w:pPr>
        <w:jc w:val="center"/>
      </w:pPr>
      <w:r>
        <w:t xml:space="preserve"> </w:t>
      </w:r>
    </w:p>
    <w:p w:rsidR="00AB2220" w:rsidRDefault="000C26AE" w:rsidP="002258B9">
      <w:r>
        <w:t xml:space="preserve">In The Matter </w:t>
      </w:r>
      <w:proofErr w:type="gramStart"/>
      <w:r>
        <w:t xml:space="preserve">of </w:t>
      </w:r>
      <w:r w:rsidR="00AB2220">
        <w:t xml:space="preserve"> </w:t>
      </w:r>
      <w:r>
        <w:t>Amendment</w:t>
      </w:r>
      <w:proofErr w:type="gramEnd"/>
      <w:r>
        <w:t xml:space="preserve"> of Section 73.3555(e) of the Commission’s Rules, National Television</w:t>
      </w:r>
      <w:r w:rsidR="00E801D4">
        <w:t xml:space="preserve"> Multiple </w:t>
      </w:r>
      <w:r>
        <w:t>Ownership</w:t>
      </w:r>
      <w:r w:rsidR="00E801D4">
        <w:t xml:space="preserve"> )</w:t>
      </w:r>
      <w:r w:rsidR="00AB2220">
        <w:t xml:space="preserve">  </w:t>
      </w:r>
      <w:r>
        <w:t xml:space="preserve"> </w:t>
      </w:r>
      <w:r w:rsidR="002258B9">
        <w:t xml:space="preserve">    MB Docket </w:t>
      </w:r>
      <w:r w:rsidR="00ED0C73">
        <w:t xml:space="preserve"> No. </w:t>
      </w:r>
      <w:r w:rsidR="002258B9">
        <w:t>17-</w:t>
      </w:r>
      <w:r w:rsidR="00ED0C73">
        <w:t>318</w:t>
      </w:r>
      <w:r w:rsidR="002258B9">
        <w:t xml:space="preserve">                            </w:t>
      </w:r>
    </w:p>
    <w:p w:rsidR="002258B9" w:rsidRDefault="002258B9"/>
    <w:p w:rsidR="002258B9" w:rsidRDefault="002258B9"/>
    <w:p w:rsidR="00481BDC" w:rsidRPr="00481BDC" w:rsidRDefault="00AB2220" w:rsidP="00481BDC">
      <w:pPr>
        <w:jc w:val="center"/>
        <w:rPr>
          <w:caps/>
        </w:rPr>
      </w:pPr>
      <w:r w:rsidRPr="00481BDC">
        <w:rPr>
          <w:caps/>
        </w:rPr>
        <w:t>Commen</w:t>
      </w:r>
      <w:r w:rsidR="00422B2E" w:rsidRPr="00481BDC">
        <w:rPr>
          <w:caps/>
        </w:rPr>
        <w:t>ts</w:t>
      </w:r>
      <w:r w:rsidR="00481BDC" w:rsidRPr="00481BDC">
        <w:rPr>
          <w:caps/>
        </w:rPr>
        <w:t xml:space="preserve"> of Herndon-Reston Indivisible </w:t>
      </w:r>
    </w:p>
    <w:p w:rsidR="00AB2220" w:rsidRDefault="00422B2E" w:rsidP="00481BDC">
      <w:pPr>
        <w:jc w:val="center"/>
      </w:pPr>
      <w:r>
        <w:t xml:space="preserve">                                 </w:t>
      </w:r>
      <w:r w:rsidR="00481BDC">
        <w:t xml:space="preserve">                            </w:t>
      </w:r>
    </w:p>
    <w:p w:rsidR="00AB2220" w:rsidRDefault="00422B2E">
      <w:r>
        <w:t>Herndon-Reston Indivisible</w:t>
      </w:r>
      <w:r w:rsidR="00481BDC">
        <w:t xml:space="preserve"> (“HRI”)</w:t>
      </w:r>
      <w:r w:rsidR="00933925">
        <w:t>,</w:t>
      </w:r>
      <w:r w:rsidR="0023556B">
        <w:t xml:space="preserve"> </w:t>
      </w:r>
      <w:r w:rsidR="00933925">
        <w:t xml:space="preserve"> by its </w:t>
      </w:r>
      <w:r>
        <w:t>counsel and pursuant to Sections 1.415 and 1.419 of the Commission’s rules, 47</w:t>
      </w:r>
      <w:r w:rsidR="001C307C">
        <w:t xml:space="preserve"> CFR Sections 1.415 and 1.419, hereby respectfully submit</w:t>
      </w:r>
      <w:r w:rsidR="00933925">
        <w:t>s its</w:t>
      </w:r>
      <w:r w:rsidR="001C307C">
        <w:t xml:space="preserve"> Comments in response to the Commission’s Notice of Proposed Rulemaking , FCC 17-169, </w:t>
      </w:r>
      <w:r w:rsidR="00471F8F">
        <w:t>released December 18, 2017, in MB Docket No.17-318 (the “</w:t>
      </w:r>
      <w:r w:rsidR="00471F8F" w:rsidRPr="00627898">
        <w:rPr>
          <w:i/>
        </w:rPr>
        <w:t>NPRM</w:t>
      </w:r>
      <w:r w:rsidR="00471F8F">
        <w:t xml:space="preserve">”).  </w:t>
      </w:r>
    </w:p>
    <w:p w:rsidR="00471F8F" w:rsidRDefault="00471F8F"/>
    <w:p w:rsidR="00471F8F" w:rsidRDefault="00AE6D3A" w:rsidP="00AE6D3A">
      <w:pPr>
        <w:pStyle w:val="ListParagraph"/>
        <w:numPr>
          <w:ilvl w:val="0"/>
          <w:numId w:val="1"/>
        </w:numPr>
      </w:pPr>
      <w:r>
        <w:t>The Commission Manifestly Does Not Have The Authority To</w:t>
      </w:r>
      <w:r w:rsidR="005B5B8E">
        <w:t xml:space="preserve"> Override An Express Congressionally-Mandated Ownership Cap </w:t>
      </w:r>
    </w:p>
    <w:p w:rsidR="00AB2220" w:rsidRDefault="00627898" w:rsidP="0075679D">
      <w:pPr>
        <w:ind w:left="360"/>
      </w:pPr>
      <w:r>
        <w:t xml:space="preserve"> </w:t>
      </w:r>
      <w:r w:rsidR="00AE7444">
        <w:t>T</w:t>
      </w:r>
      <w:r>
        <w:t xml:space="preserve">he </w:t>
      </w:r>
      <w:r w:rsidRPr="00AE7444">
        <w:rPr>
          <w:i/>
        </w:rPr>
        <w:t>NPRM</w:t>
      </w:r>
      <w:r>
        <w:t xml:space="preserve"> poses</w:t>
      </w:r>
      <w:r w:rsidR="00674685">
        <w:t xml:space="preserve"> the critical </w:t>
      </w:r>
      <w:r w:rsidR="002A41C4">
        <w:t>issue o</w:t>
      </w:r>
      <w:r w:rsidR="00674685">
        <w:t>f whether the FCC can unilaterally</w:t>
      </w:r>
      <w:r w:rsidR="00C95EA4">
        <w:t xml:space="preserve"> ignore the 39% national ownership limit adop</w:t>
      </w:r>
      <w:r w:rsidR="002F6E5A">
        <w:t>ted by the United S</w:t>
      </w:r>
      <w:r w:rsidR="00C95EA4">
        <w:t>tates Congress in 2004</w:t>
      </w:r>
      <w:r w:rsidR="004D452C">
        <w:t>.</w:t>
      </w:r>
      <w:r w:rsidR="00AE7444">
        <w:rPr>
          <w:rStyle w:val="FootnoteReference"/>
        </w:rPr>
        <w:footnoteReference w:id="1"/>
      </w:r>
      <w:r>
        <w:t xml:space="preserve"> NPRM at</w:t>
      </w:r>
      <w:r w:rsidR="00AE7444">
        <w:t xml:space="preserve"> 4-8. </w:t>
      </w:r>
      <w:r>
        <w:t xml:space="preserve"> </w:t>
      </w:r>
      <w:r w:rsidR="004D452C">
        <w:t xml:space="preserve">  Congress’ adoption</w:t>
      </w:r>
      <w:r w:rsidR="002A41C4">
        <w:t xml:space="preserve"> of that threshold </w:t>
      </w:r>
      <w:r w:rsidR="00C174E0">
        <w:t>was a hotly debated, carefully chosen compromise, rejecting the Commission’s more aggressive 45% cap</w:t>
      </w:r>
      <w:r>
        <w:t>.</w:t>
      </w:r>
      <w:r w:rsidR="0051109D">
        <w:t xml:space="preserve"> </w:t>
      </w:r>
      <w:r w:rsidR="002F6E5A">
        <w:t xml:space="preserve"> </w:t>
      </w:r>
      <w:r>
        <w:t>Th</w:t>
      </w:r>
      <w:r w:rsidR="0051109D">
        <w:t xml:space="preserve">e latter </w:t>
      </w:r>
      <w:r>
        <w:t xml:space="preserve">cap was </w:t>
      </w:r>
      <w:r w:rsidR="002F6E5A">
        <w:t>adopted by the agency</w:t>
      </w:r>
      <w:r w:rsidR="00C95EA4">
        <w:t xml:space="preserve"> </w:t>
      </w:r>
      <w:r w:rsidR="009F3391">
        <w:t xml:space="preserve">in its </w:t>
      </w:r>
      <w:r w:rsidR="009F3391" w:rsidRPr="00345214">
        <w:rPr>
          <w:i/>
        </w:rPr>
        <w:t xml:space="preserve">2002 </w:t>
      </w:r>
      <w:r w:rsidR="009F3391" w:rsidRPr="0051109D">
        <w:rPr>
          <w:i/>
        </w:rPr>
        <w:t xml:space="preserve">Biennial </w:t>
      </w:r>
      <w:r w:rsidR="009F3391" w:rsidRPr="00345214">
        <w:rPr>
          <w:i/>
        </w:rPr>
        <w:t>Review Order</w:t>
      </w:r>
      <w:r w:rsidR="0051109D">
        <w:t>.</w:t>
      </w:r>
      <w:r w:rsidR="0051109D">
        <w:rPr>
          <w:rStyle w:val="FootnoteReference"/>
        </w:rPr>
        <w:footnoteReference w:id="2"/>
      </w:r>
      <w:r w:rsidR="00C174E0">
        <w:t xml:space="preserve">.  </w:t>
      </w:r>
      <w:r w:rsidR="008A6A94">
        <w:t>Congress’</w:t>
      </w:r>
      <w:r w:rsidR="002F6E5A">
        <w:t xml:space="preserve"> rollback was explicit, directing the Commission “to modify its rules to set </w:t>
      </w:r>
      <w:r w:rsidR="0075679D">
        <w:t>the national cap at 39% of national television households.”</w:t>
      </w:r>
      <w:r w:rsidR="002725D3">
        <w:t xml:space="preserve"> </w:t>
      </w:r>
      <w:r w:rsidR="0075679D">
        <w:t xml:space="preserve"> </w:t>
      </w:r>
      <w:r w:rsidR="002F6E5A">
        <w:t xml:space="preserve"> </w:t>
      </w:r>
    </w:p>
    <w:p w:rsidR="00345214" w:rsidRDefault="00345214" w:rsidP="0075679D">
      <w:pPr>
        <w:ind w:left="360"/>
      </w:pPr>
      <w:r>
        <w:t xml:space="preserve">Moreover, as the Commission acknowledges, while </w:t>
      </w:r>
      <w:r w:rsidR="0076722F">
        <w:t>Section 202 of the 1996 Telecommunications Act requi</w:t>
      </w:r>
      <w:r w:rsidR="00392CB2">
        <w:t>r</w:t>
      </w:r>
      <w:r w:rsidR="0076722F">
        <w:t>ed the Commission to review its rules on a quadrennial b</w:t>
      </w:r>
      <w:r w:rsidR="001679EF">
        <w:t>asis to determine whether they sh</w:t>
      </w:r>
      <w:r w:rsidR="0076722F">
        <w:t xml:space="preserve">ould be eliminated in light of changing market conditions or other factors, </w:t>
      </w:r>
      <w:r w:rsidR="00AA4694">
        <w:t xml:space="preserve">Congress specifically excluded from this deregulatory mandate the national ownership cap.  See </w:t>
      </w:r>
      <w:r w:rsidR="00AA4694" w:rsidRPr="001679EF">
        <w:rPr>
          <w:i/>
        </w:rPr>
        <w:t>NPRM</w:t>
      </w:r>
      <w:r w:rsidR="00AA4694">
        <w:t xml:space="preserve"> at </w:t>
      </w:r>
      <w:proofErr w:type="spellStart"/>
      <w:r w:rsidR="00AA4694">
        <w:t>para</w:t>
      </w:r>
      <w:proofErr w:type="spellEnd"/>
      <w:r w:rsidR="00AA4694">
        <w:t xml:space="preserve">. </w:t>
      </w:r>
      <w:proofErr w:type="gramStart"/>
      <w:r w:rsidR="00AA4694">
        <w:t>4 and n.16.</w:t>
      </w:r>
      <w:proofErr w:type="gramEnd"/>
      <w:r w:rsidR="00AA4694">
        <w:t xml:space="preserve">  Further, as the Commission also concedes, the Third Circuit </w:t>
      </w:r>
      <w:r w:rsidR="00CF4A85">
        <w:t xml:space="preserve">subsequently held in </w:t>
      </w:r>
      <w:r w:rsidR="00CF4A85" w:rsidRPr="00E17A22">
        <w:rPr>
          <w:i/>
        </w:rPr>
        <w:t>Prometheus</w:t>
      </w:r>
      <w:r w:rsidR="00E17A22" w:rsidRPr="00E17A22">
        <w:rPr>
          <w:i/>
        </w:rPr>
        <w:t xml:space="preserve"> Radio Project v. FCC</w:t>
      </w:r>
      <w:proofErr w:type="gramStart"/>
      <w:r w:rsidR="008A6A94">
        <w:rPr>
          <w:i/>
        </w:rPr>
        <w:t xml:space="preserve">, </w:t>
      </w:r>
      <w:r w:rsidR="00E17A22">
        <w:t xml:space="preserve"> 373</w:t>
      </w:r>
      <w:proofErr w:type="gramEnd"/>
      <w:r w:rsidR="00E17A22">
        <w:t xml:space="preserve"> F.3</w:t>
      </w:r>
      <w:r w:rsidR="00E17A22" w:rsidRPr="00E17A22">
        <w:rPr>
          <w:vertAlign w:val="superscript"/>
        </w:rPr>
        <w:t>rd</w:t>
      </w:r>
      <w:r w:rsidR="00E17A22">
        <w:t xml:space="preserve"> 372, 395-97 (3d. Cir. 2004) (“</w:t>
      </w:r>
      <w:r w:rsidR="00E17A22" w:rsidRPr="000D50BE">
        <w:rPr>
          <w:i/>
        </w:rPr>
        <w:t>Prometheus I</w:t>
      </w:r>
      <w:r w:rsidR="00E17A22">
        <w:t xml:space="preserve">”) </w:t>
      </w:r>
      <w:r w:rsidR="00CF4A85">
        <w:t xml:space="preserve">that challenges to the </w:t>
      </w:r>
      <w:r w:rsidR="00CF4A85" w:rsidRPr="000D50BE">
        <w:rPr>
          <w:i/>
        </w:rPr>
        <w:t>2002 Biennial Review Order</w:t>
      </w:r>
      <w:r w:rsidR="00CF4A85">
        <w:t xml:space="preserve"> </w:t>
      </w:r>
      <w:proofErr w:type="gramStart"/>
      <w:r w:rsidR="00CF4A85">
        <w:t>were</w:t>
      </w:r>
      <w:proofErr w:type="gramEnd"/>
      <w:r w:rsidR="00CF4A85">
        <w:t xml:space="preserve"> moot “as a result of Congress’</w:t>
      </w:r>
      <w:r w:rsidR="00392CB2">
        <w:t xml:space="preserve"> action [setting the 39 % cap]</w:t>
      </w:r>
      <w:r w:rsidR="00CF4A85">
        <w:t>”</w:t>
      </w:r>
      <w:r w:rsidR="00020CFC">
        <w:t>.</w:t>
      </w:r>
      <w:r w:rsidR="00CF4A85">
        <w:t xml:space="preserve"> </w:t>
      </w:r>
      <w:proofErr w:type="gramStart"/>
      <w:r w:rsidR="00CF4A85">
        <w:t xml:space="preserve">NPRM at </w:t>
      </w:r>
      <w:proofErr w:type="spellStart"/>
      <w:r w:rsidR="00CF4A85">
        <w:t>para</w:t>
      </w:r>
      <w:proofErr w:type="spellEnd"/>
      <w:r w:rsidR="00CF4A85">
        <w:t>.</w:t>
      </w:r>
      <w:proofErr w:type="gramEnd"/>
      <w:r w:rsidR="00CF4A85">
        <w:t xml:space="preserve"> 4.</w:t>
      </w:r>
      <w:r w:rsidR="002C00D8">
        <w:t xml:space="preserve">  Thus, Congress and t</w:t>
      </w:r>
      <w:r w:rsidR="008A6A94">
        <w:t xml:space="preserve">he Third Circuit </w:t>
      </w:r>
      <w:proofErr w:type="gramStart"/>
      <w:r w:rsidR="008A6A94">
        <w:t xml:space="preserve">have </w:t>
      </w:r>
      <w:r w:rsidR="002C00D8">
        <w:t xml:space="preserve"> confirm</w:t>
      </w:r>
      <w:r w:rsidR="008A6A94">
        <w:t>ed</w:t>
      </w:r>
      <w:proofErr w:type="gramEnd"/>
      <w:r w:rsidR="008A6A94">
        <w:t xml:space="preserve"> that Congress-not the Commis</w:t>
      </w:r>
      <w:r w:rsidR="002C00D8">
        <w:t>sion-will set the cap</w:t>
      </w:r>
      <w:r w:rsidR="008A6A94">
        <w:t>.</w:t>
      </w:r>
    </w:p>
    <w:p w:rsidR="007265D5" w:rsidRDefault="00B93577" w:rsidP="00C06862">
      <w:pPr>
        <w:ind w:left="360"/>
      </w:pPr>
      <w:r>
        <w:lastRenderedPageBreak/>
        <w:t>It is hornbook administrative and</w:t>
      </w:r>
      <w:r w:rsidR="00CB7D82">
        <w:t xml:space="preserve"> communicat</w:t>
      </w:r>
      <w:r w:rsidR="004D452C">
        <w:t>ions law that Congress can preempt</w:t>
      </w:r>
      <w:r w:rsidR="00CB7D82">
        <w:t xml:space="preserve"> the FCC at the former’s</w:t>
      </w:r>
      <w:r>
        <w:t xml:space="preserve"> will.  While the agency is independent of the Executive Branch except as to appointments, it is a creature </w:t>
      </w:r>
      <w:r w:rsidR="00CB7D82">
        <w:t>of</w:t>
      </w:r>
      <w:r>
        <w:t xml:space="preserve"> the Legislative Branch, which controls its</w:t>
      </w:r>
      <w:r w:rsidR="000B1ED4">
        <w:t xml:space="preserve"> </w:t>
      </w:r>
      <w:proofErr w:type="gramStart"/>
      <w:r w:rsidR="000B1ED4">
        <w:t>budget</w:t>
      </w:r>
      <w:r w:rsidR="001919CA">
        <w:t xml:space="preserve"> ,</w:t>
      </w:r>
      <w:proofErr w:type="gramEnd"/>
      <w:r w:rsidR="001919CA">
        <w:t xml:space="preserve"> determines through legislation overarching communications policy,</w:t>
      </w:r>
      <w:r>
        <w:t xml:space="preserve"> and conducts oversight of the </w:t>
      </w:r>
      <w:r w:rsidR="001919CA">
        <w:t>agency’s actions and their compliance with Congressional intent.</w:t>
      </w:r>
      <w:r w:rsidR="00CB7D82">
        <w:t xml:space="preserve">  </w:t>
      </w:r>
      <w:r>
        <w:t xml:space="preserve"> </w:t>
      </w:r>
      <w:r w:rsidR="008E6335">
        <w:t>Had the Commission wished the</w:t>
      </w:r>
      <w:r w:rsidR="00CB7D82">
        <w:t xml:space="preserve"> cap to be raised or, as the </w:t>
      </w:r>
      <w:r w:rsidR="00CB7D82" w:rsidRPr="001919CA">
        <w:rPr>
          <w:i/>
        </w:rPr>
        <w:t>NPRM</w:t>
      </w:r>
      <w:r w:rsidR="00CB7D82">
        <w:t xml:space="preserve"> intimates, junked</w:t>
      </w:r>
      <w:r w:rsidR="001919CA">
        <w:t>,</w:t>
      </w:r>
      <w:r w:rsidR="00CB7D82">
        <w:t xml:space="preserve"> the Commission could easily have sought </w:t>
      </w:r>
      <w:r w:rsidR="008E6335">
        <w:t>the</w:t>
      </w:r>
      <w:r w:rsidR="00D27500">
        <w:t xml:space="preserve"> required</w:t>
      </w:r>
      <w:r w:rsidR="008E6335">
        <w:t xml:space="preserve"> Congressional imprimatur.  It did not. </w:t>
      </w:r>
      <w:r w:rsidR="003B6CC5">
        <w:t xml:space="preserve">  </w:t>
      </w:r>
      <w:r w:rsidR="008E6335">
        <w:t>Inste</w:t>
      </w:r>
      <w:r w:rsidR="003B6CC5">
        <w:t xml:space="preserve">ad, </w:t>
      </w:r>
      <w:r w:rsidR="009D19B9">
        <w:t>the</w:t>
      </w:r>
      <w:r w:rsidR="003B6CC5">
        <w:t xml:space="preserve"> agency seems</w:t>
      </w:r>
      <w:r w:rsidR="008E6335">
        <w:t xml:space="preserve"> to be inclined to forge ahead unilaterally.</w:t>
      </w:r>
      <w:r w:rsidR="00CB7D82">
        <w:t xml:space="preserve"> </w:t>
      </w:r>
      <w:r w:rsidR="00243255">
        <w:t>There could not be a more patent exercise of pointed Congressional</w:t>
      </w:r>
      <w:r w:rsidR="009D19B9">
        <w:t xml:space="preserve"> intent</w:t>
      </w:r>
      <w:r w:rsidR="007F2ADA">
        <w:t xml:space="preserve"> than </w:t>
      </w:r>
      <w:r w:rsidR="009D19B9">
        <w:t xml:space="preserve">the </w:t>
      </w:r>
      <w:r w:rsidR="009D19B9" w:rsidRPr="009D19B9">
        <w:rPr>
          <w:i/>
        </w:rPr>
        <w:t>CAA</w:t>
      </w:r>
      <w:r w:rsidR="009D19B9">
        <w:t xml:space="preserve"> </w:t>
      </w:r>
      <w:r w:rsidR="00243255">
        <w:t>preempting FCC rulemaking</w:t>
      </w:r>
      <w:r w:rsidR="007F2ADA">
        <w:t xml:space="preserve"> regarding the cap</w:t>
      </w:r>
      <w:r w:rsidR="00243255">
        <w:t>.</w:t>
      </w:r>
      <w:r w:rsidR="003B6CC5">
        <w:t xml:space="preserve">  And there</w:t>
      </w:r>
      <w:r w:rsidR="007F2ADA">
        <w:t xml:space="preserve"> therefore</w:t>
      </w:r>
      <w:r w:rsidR="003B6CC5">
        <w:t xml:space="preserve"> could not be a more radical and arbitrary </w:t>
      </w:r>
      <w:r w:rsidR="007F2ADA">
        <w:t>usurpation of Congressional power by an agency tha</w:t>
      </w:r>
      <w:r w:rsidR="00D27500">
        <w:t>n</w:t>
      </w:r>
      <w:r w:rsidR="007F2ADA">
        <w:t xml:space="preserve"> substantially raising or even eliminating the cap.</w:t>
      </w:r>
      <w:r w:rsidR="008879E4">
        <w:t xml:space="preserve"> Such action would be unlawful. </w:t>
      </w:r>
      <w:r w:rsidR="007265D5">
        <w:t xml:space="preserve"> </w:t>
      </w:r>
      <w:r w:rsidR="008879E4">
        <w:t>See</w:t>
      </w:r>
      <w:r w:rsidR="00D31994">
        <w:t xml:space="preserve"> cases cited in footnote 13 of the</w:t>
      </w:r>
      <w:r w:rsidR="008879E4">
        <w:t xml:space="preserve"> </w:t>
      </w:r>
      <w:r w:rsidR="00EB2B74" w:rsidRPr="00561369">
        <w:rPr>
          <w:i/>
        </w:rPr>
        <w:t>Comments of the Attorneys General of the States of Illinois, Iowa, Maine, Massachusetts, Pennsylvania, Rhode Island and Virginia</w:t>
      </w:r>
      <w:r w:rsidR="00EB2B74">
        <w:t>, filed February 26, 2018 (</w:t>
      </w:r>
      <w:proofErr w:type="gramStart"/>
      <w:r w:rsidR="00EB2B74">
        <w:t xml:space="preserve">“ </w:t>
      </w:r>
      <w:r w:rsidR="00EB2B74" w:rsidRPr="009D19B9">
        <w:rPr>
          <w:i/>
        </w:rPr>
        <w:t>the</w:t>
      </w:r>
      <w:proofErr w:type="gramEnd"/>
      <w:r w:rsidR="00EB2B74" w:rsidRPr="009D19B9">
        <w:rPr>
          <w:i/>
        </w:rPr>
        <w:t xml:space="preserve"> AGs’ Comments</w:t>
      </w:r>
      <w:r w:rsidR="00EB2B74">
        <w:t xml:space="preserve">”).  </w:t>
      </w:r>
    </w:p>
    <w:p w:rsidR="001D15F7" w:rsidRDefault="007265D5" w:rsidP="001D15F7">
      <w:pPr>
        <w:ind w:left="360"/>
      </w:pPr>
      <w:r>
        <w:t>Moreover,</w:t>
      </w:r>
      <w:r w:rsidR="00C06862" w:rsidRPr="00C06862">
        <w:t xml:space="preserve"> </w:t>
      </w:r>
      <w:r w:rsidR="00C06862">
        <w:t xml:space="preserve">The Commission’s attempt to read alternative meanings into the appropriation language quoted above falls flat on its face when the legislative history of the </w:t>
      </w:r>
      <w:r w:rsidR="00C06862" w:rsidRPr="000A005C">
        <w:rPr>
          <w:i/>
        </w:rPr>
        <w:t>CAA</w:t>
      </w:r>
      <w:r w:rsidR="00C06862">
        <w:t xml:space="preserve"> is reviewed. </w:t>
      </w:r>
      <w:r w:rsidR="00EB2B74">
        <w:t xml:space="preserve"> </w:t>
      </w:r>
      <w:r w:rsidR="00C06862">
        <w:t xml:space="preserve"> The legislative history makes manifest that the 39% cap is mandatory.</w:t>
      </w:r>
      <w:r w:rsidR="00EB2B74">
        <w:t xml:space="preserve">  Congress “forbade” the FCC to change the cap.   See </w:t>
      </w:r>
      <w:r w:rsidR="00EB2B74" w:rsidRPr="00EB2B74">
        <w:rPr>
          <w:i/>
        </w:rPr>
        <w:t>AGs’ Comments</w:t>
      </w:r>
      <w:r w:rsidR="00EB2B74">
        <w:t xml:space="preserve"> at 6.</w:t>
      </w:r>
    </w:p>
    <w:p w:rsidR="001960FC" w:rsidRDefault="001960FC" w:rsidP="001D15F7">
      <w:pPr>
        <w:ind w:left="360"/>
      </w:pPr>
    </w:p>
    <w:p w:rsidR="006909B8" w:rsidRDefault="006909B8" w:rsidP="0075679D">
      <w:pPr>
        <w:ind w:left="360"/>
      </w:pPr>
      <w:r>
        <w:t>2.     Congress’ 39% Cap</w:t>
      </w:r>
      <w:r w:rsidR="001540FB">
        <w:t xml:space="preserve"> Reflects </w:t>
      </w:r>
      <w:r>
        <w:t>The Need to Avoid Further Consolidation of the Television Industry</w:t>
      </w:r>
      <w:r w:rsidR="00FB037F">
        <w:t>,</w:t>
      </w:r>
      <w:r>
        <w:t xml:space="preserve"> </w:t>
      </w:r>
      <w:r w:rsidR="001671B9">
        <w:t>Undermining the Core Elements o</w:t>
      </w:r>
      <w:r w:rsidR="00561369">
        <w:t>f Localism, Diversity, and Compe</w:t>
      </w:r>
      <w:r w:rsidR="001671B9">
        <w:t>tition</w:t>
      </w:r>
      <w:r w:rsidR="00793F78">
        <w:t>.</w:t>
      </w:r>
    </w:p>
    <w:p w:rsidR="00793F78" w:rsidRDefault="00793F78" w:rsidP="00793F78">
      <w:pPr>
        <w:ind w:left="360"/>
      </w:pPr>
      <w:r>
        <w:t xml:space="preserve">The Commission also seeks comment on the question of whether the essential goal of localism will be undermined by removal or dilution of the cap.  </w:t>
      </w:r>
      <w:proofErr w:type="gramStart"/>
      <w:r w:rsidRPr="00793F78">
        <w:rPr>
          <w:i/>
        </w:rPr>
        <w:t xml:space="preserve">NPRM </w:t>
      </w:r>
      <w:r>
        <w:t>at 9.</w:t>
      </w:r>
      <w:proofErr w:type="gramEnd"/>
      <w:r>
        <w:t xml:space="preserve">  Commenters urge that the FCC confront reality here.  Localism is about a concern for </w:t>
      </w:r>
      <w:r w:rsidRPr="008A572F">
        <w:rPr>
          <w:i/>
        </w:rPr>
        <w:t>local</w:t>
      </w:r>
      <w:r>
        <w:rPr>
          <w:i/>
        </w:rPr>
        <w:t xml:space="preserve"> </w:t>
      </w:r>
      <w:r>
        <w:t xml:space="preserve">issues and </w:t>
      </w:r>
      <w:r w:rsidRPr="00DC0DF2">
        <w:rPr>
          <w:i/>
        </w:rPr>
        <w:t>local</w:t>
      </w:r>
      <w:r>
        <w:t xml:space="preserve"> problems, most often addressed by </w:t>
      </w:r>
      <w:r w:rsidRPr="00DC0DF2">
        <w:rPr>
          <w:i/>
        </w:rPr>
        <w:t>local</w:t>
      </w:r>
      <w:r>
        <w:t xml:space="preserve"> programming.  Large group owners, focused on efficiencies of scale, and seeking to present a branded national corporate message based on political views of the owner shaped in New York, Baltimore or Los Angeles, are most unlikely to be aware of or even care about local issues in Peoria or Birmingham or Seattle.  And the more stations they are permitted to acquire, serving the more households nationally, the more likely economics and ideology will combine to mandate nationally produced, cookie cutter programming</w:t>
      </w:r>
      <w:r w:rsidR="00FB037F">
        <w:t xml:space="preserve">  far less likely to ensure</w:t>
      </w:r>
      <w:r>
        <w:t xml:space="preserve"> that localism will be preserved.  </w:t>
      </w:r>
    </w:p>
    <w:p w:rsidR="00793F78" w:rsidRDefault="00793F78" w:rsidP="00793F78">
      <w:pPr>
        <w:ind w:left="360"/>
      </w:pPr>
      <w:r>
        <w:t xml:space="preserve">The Commission is confronted with concrete evidence of these realities in the Sinclair merger docket. Evidence therein indicates that Sinclair mandates that </w:t>
      </w:r>
      <w:r w:rsidRPr="00AB0671">
        <w:rPr>
          <w:i/>
        </w:rPr>
        <w:t>all</w:t>
      </w:r>
      <w:r>
        <w:t xml:space="preserve"> of its stations carry identical “must run” programming focused on national</w:t>
      </w:r>
      <w:r w:rsidR="00FB037F">
        <w:t xml:space="preserve"> and international</w:t>
      </w:r>
      <w:r>
        <w:t>, not local, issues.  This “one message fits all” approach means that Sinclair stations and managers in liberal, progressive Seattle are forced to ignore the interests and views of this coastal megalopolis</w:t>
      </w:r>
      <w:r w:rsidR="00FB037F">
        <w:t xml:space="preserve">.  </w:t>
      </w:r>
      <w:r>
        <w:t xml:space="preserve"> </w:t>
      </w:r>
      <w:r w:rsidR="00FB037F">
        <w:t>I</w:t>
      </w:r>
      <w:r>
        <w:t>n</w:t>
      </w:r>
      <w:r w:rsidR="00FB037F">
        <w:t>stead,</w:t>
      </w:r>
      <w:r w:rsidR="00703193">
        <w:t xml:space="preserve"> Sinclair airs programming</w:t>
      </w:r>
      <w:r>
        <w:t xml:space="preserve"> </w:t>
      </w:r>
      <w:r w:rsidR="00703193">
        <w:t>reflecting</w:t>
      </w:r>
      <w:r>
        <w:t xml:space="preserve"> a dramatically different viewpoint with programming packaged and pre</w:t>
      </w:r>
      <w:r w:rsidR="00703193">
        <w:t xml:space="preserve">sented within local news blocks. It is not locally produced, but rather </w:t>
      </w:r>
      <w:r>
        <w:t>at Sinclair’s Baltimore headquarters.  Such programming</w:t>
      </w:r>
      <w:r w:rsidR="002F1A9B">
        <w:t xml:space="preserve"> is</w:t>
      </w:r>
      <w:r>
        <w:t xml:space="preserve"> designed to resonate with voters in the Midwest or Rocky Mountain West.  It then comes as no surprise that Sinclair’s regularly scheduled “Terrorism Alert” focuses on the threat of violence committed by Muslim terrorists.  Yet, most of Sinclair’s audiences reside in communities with no </w:t>
      </w:r>
      <w:r w:rsidR="002F1A9B">
        <w:t xml:space="preserve">or very few </w:t>
      </w:r>
      <w:r>
        <w:t>Muslim residents.  If the ownership cap is abandoned, anomalies of this sort will become far more prevalent</w:t>
      </w:r>
      <w:r w:rsidR="00703193">
        <w:t xml:space="preserve">. </w:t>
      </w:r>
      <w:r>
        <w:t xml:space="preserve"> Sinclair and other dominant national players</w:t>
      </w:r>
      <w:r w:rsidR="00703193">
        <w:t xml:space="preserve"> will</w:t>
      </w:r>
      <w:r>
        <w:t xml:space="preserve"> gobble up TV stations in </w:t>
      </w:r>
      <w:r w:rsidR="002F1A9B">
        <w:t>“</w:t>
      </w:r>
      <w:r>
        <w:t>Pac Man</w:t>
      </w:r>
      <w:r w:rsidR="002F1A9B">
        <w:t>”</w:t>
      </w:r>
      <w:r>
        <w:t xml:space="preserve"> fashion and </w:t>
      </w:r>
      <w:proofErr w:type="gramStart"/>
      <w:r>
        <w:t>operate  them</w:t>
      </w:r>
      <w:proofErr w:type="gramEnd"/>
      <w:r>
        <w:t xml:space="preserve"> like a</w:t>
      </w:r>
      <w:r w:rsidR="00703193">
        <w:t xml:space="preserve"> national</w:t>
      </w:r>
      <w:r>
        <w:t xml:space="preserve"> “network” with no</w:t>
      </w:r>
      <w:r w:rsidR="002F1A9B">
        <w:t xml:space="preserve"> legal</w:t>
      </w:r>
      <w:r>
        <w:t xml:space="preserve"> boundaries.</w:t>
      </w:r>
    </w:p>
    <w:p w:rsidR="00793F78" w:rsidRDefault="00793F78" w:rsidP="00793F78">
      <w:pPr>
        <w:ind w:left="360"/>
      </w:pPr>
      <w:r>
        <w:lastRenderedPageBreak/>
        <w:t xml:space="preserve">Thus, the </w:t>
      </w:r>
      <w:r w:rsidR="0008206E">
        <w:t xml:space="preserve">answer to the </w:t>
      </w:r>
      <w:r w:rsidR="002F1A9B">
        <w:t>Commission’s question</w:t>
      </w:r>
      <w:r>
        <w:t xml:space="preserve"> about how elimination of a cap would affect localism </w:t>
      </w:r>
      <w:r w:rsidR="002F1A9B">
        <w:t>is a</w:t>
      </w:r>
      <w:r>
        <w:t xml:space="preserve"> no-brainer.  Likewise, regardless of the Commission’s claims that it resolved in the past that the cap does not encourage diversity and competition , </w:t>
      </w:r>
      <w:r w:rsidRPr="0008206E">
        <w:rPr>
          <w:i/>
        </w:rPr>
        <w:t>NPRM</w:t>
      </w:r>
      <w:r>
        <w:t xml:space="preserve"> at p.8, it is simply inconceivable that allowing a company owning and controlling hundreds of stations, including multiple stations in a market AND sidecars, would not subvert diversity of ownership and voices and undermine competition across the nation.  </w:t>
      </w:r>
      <w:r w:rsidR="0008206E">
        <w:t>Moreover, t</w:t>
      </w:r>
      <w:r>
        <w:t xml:space="preserve">he more stations Sinclair, </w:t>
      </w:r>
      <w:proofErr w:type="spellStart"/>
      <w:r>
        <w:t>Tegna</w:t>
      </w:r>
      <w:proofErr w:type="spellEnd"/>
      <w:r>
        <w:t xml:space="preserve">, Fox, and </w:t>
      </w:r>
      <w:proofErr w:type="spellStart"/>
      <w:r>
        <w:t>Nexstar</w:t>
      </w:r>
      <w:proofErr w:type="spellEnd"/>
      <w:r>
        <w:t xml:space="preserve"> accumulate,  the less stations will be available for the very few adequately capitalized minority and female owned entrepreneurs left in the arena—an arena in which minorities and females currently own a pitiable share well south of 10% of the nation’s </w:t>
      </w:r>
      <w:r w:rsidR="002F1A9B">
        <w:t>TV stations.</w:t>
      </w:r>
      <w:r>
        <w:t xml:space="preserve">.  </w:t>
      </w:r>
    </w:p>
    <w:p w:rsidR="00D31994" w:rsidRDefault="0053293A" w:rsidP="0075679D">
      <w:pPr>
        <w:ind w:left="360"/>
      </w:pPr>
      <w:r>
        <w:t>Congress</w:t>
      </w:r>
      <w:r w:rsidR="00D31994">
        <w:t xml:space="preserve"> lowered the FCC’s cap</w:t>
      </w:r>
      <w:r>
        <w:t xml:space="preserve"> in 2004</w:t>
      </w:r>
      <w:r w:rsidR="002B2AB4">
        <w:t xml:space="preserve"> because of the same concerns</w:t>
      </w:r>
      <w:r w:rsidR="00D31994">
        <w:t xml:space="preserve"> th</w:t>
      </w:r>
      <w:r w:rsidR="001671B9">
        <w:t>at should animate the outcome</w:t>
      </w:r>
      <w:r w:rsidR="0008206E">
        <w:t xml:space="preserve"> </w:t>
      </w:r>
      <w:r w:rsidR="001671B9">
        <w:t>of this rulemaking.  These are</w:t>
      </w:r>
      <w:r>
        <w:t xml:space="preserve"> preservation of the diversity, competition and localism values that underpin the public interest standard underlying the Communications Act. The tele</w:t>
      </w:r>
      <w:r w:rsidR="00357E75">
        <w:t>vision industry is already subs</w:t>
      </w:r>
      <w:r>
        <w:t>tantial</w:t>
      </w:r>
      <w:r w:rsidR="00357E75">
        <w:t>l</w:t>
      </w:r>
      <w:r>
        <w:t>y consolidated among a smattering of media conglomerates.</w:t>
      </w:r>
      <w:r w:rsidR="0008206E">
        <w:t xml:space="preserve"> </w:t>
      </w:r>
      <w:r w:rsidR="00357E75">
        <w:t xml:space="preserve"> If</w:t>
      </w:r>
      <w:r w:rsidR="001671B9">
        <w:t>, in the absence of a national cap,</w:t>
      </w:r>
      <w:r w:rsidR="00357E75">
        <w:t xml:space="preserve"> those dominant players are allowed to swallow up as many </w:t>
      </w:r>
      <w:r w:rsidR="002B2AB4">
        <w:t xml:space="preserve">local </w:t>
      </w:r>
      <w:r w:rsidR="00357E75">
        <w:t>TV outlets as they wish, there is no doubt but that they will enthusiastically exploit the opportunity.</w:t>
      </w:r>
      <w:r w:rsidR="002B2AB4">
        <w:t xml:space="preserve"> The resulting “land grab” will leave smaller potential competitors </w:t>
      </w:r>
      <w:r w:rsidR="00DA139E">
        <w:t>with no feasib</w:t>
      </w:r>
      <w:r w:rsidR="00504F92">
        <w:t>le hope of ever</w:t>
      </w:r>
      <w:r w:rsidR="005C617F">
        <w:t xml:space="preserve"> effectively </w:t>
      </w:r>
      <w:r w:rsidR="00504F92">
        <w:t>competing</w:t>
      </w:r>
      <w:r w:rsidR="00DA139E">
        <w:t>.</w:t>
      </w:r>
    </w:p>
    <w:p w:rsidR="00DA139E" w:rsidRDefault="00DA139E" w:rsidP="0075679D">
      <w:pPr>
        <w:ind w:left="360"/>
      </w:pPr>
      <w:r>
        <w:t>The</w:t>
      </w:r>
      <w:r w:rsidR="00B60A1A">
        <w:t xml:space="preserve"> </w:t>
      </w:r>
      <w:r w:rsidR="00B60A1A" w:rsidRPr="00504F92">
        <w:rPr>
          <w:i/>
        </w:rPr>
        <w:t>NPRM</w:t>
      </w:r>
      <w:r w:rsidR="00B60A1A">
        <w:t xml:space="preserve"> utterly ignores the additional key</w:t>
      </w:r>
      <w:r>
        <w:t xml:space="preserve"> factor</w:t>
      </w:r>
      <w:r w:rsidR="00B60A1A">
        <w:t xml:space="preserve"> here. </w:t>
      </w:r>
      <w:r w:rsidR="006F1EE0">
        <w:t xml:space="preserve"> </w:t>
      </w:r>
      <w:r w:rsidR="00C85561">
        <w:t xml:space="preserve"> </w:t>
      </w:r>
      <w:r w:rsidR="006F1EE0">
        <w:t>A</w:t>
      </w:r>
      <w:r w:rsidR="00C85561">
        <w:t>s a result of the</w:t>
      </w:r>
      <w:r w:rsidR="00B60A1A">
        <w:t xml:space="preserve"> deregulation that</w:t>
      </w:r>
      <w:r w:rsidR="006F1EE0">
        <w:t xml:space="preserve"> the current FCC has conducted</w:t>
      </w:r>
      <w:r w:rsidR="00B60A1A">
        <w:t xml:space="preserve"> in</w:t>
      </w:r>
      <w:r w:rsidR="006F1EE0">
        <w:t xml:space="preserve"> the last </w:t>
      </w:r>
      <w:r w:rsidR="00B60A1A">
        <w:t>15 months, the</w:t>
      </w:r>
      <w:r w:rsidR="00C85561">
        <w:t xml:space="preserve"> proverbial</w:t>
      </w:r>
      <w:r w:rsidR="00B60A1A">
        <w:t xml:space="preserve"> horse is out of the barn.</w:t>
      </w:r>
      <w:r w:rsidR="00C85561">
        <w:t xml:space="preserve">  It may already be too late to save local TV.</w:t>
      </w:r>
      <w:r w:rsidR="006B481C">
        <w:t xml:space="preserve"> </w:t>
      </w:r>
      <w:r w:rsidR="00C85561">
        <w:t xml:space="preserve"> Elimination of the FCC’s</w:t>
      </w:r>
      <w:r w:rsidR="00271E2A">
        <w:t xml:space="preserve"> main studio rule, failure to</w:t>
      </w:r>
      <w:r w:rsidR="00C85561">
        <w:t xml:space="preserve"> enforce rules and policies like the ban on unauthorized</w:t>
      </w:r>
      <w:r w:rsidR="0041175F">
        <w:t xml:space="preserve"> </w:t>
      </w:r>
      <w:r w:rsidR="00C85561">
        <w:t xml:space="preserve"> transfer </w:t>
      </w:r>
      <w:r w:rsidR="0041175F">
        <w:t>of control</w:t>
      </w:r>
      <w:r w:rsidR="006B481C">
        <w:t xml:space="preserve">, </w:t>
      </w:r>
      <w:r w:rsidR="00271E2A">
        <w:t xml:space="preserve">failure to </w:t>
      </w:r>
      <w:r w:rsidR="006B481C">
        <w:t>scrutin</w:t>
      </w:r>
      <w:r w:rsidR="00271E2A">
        <w:t>ize</w:t>
      </w:r>
      <w:r w:rsidR="006B481C">
        <w:t xml:space="preserve">  family fronts,</w:t>
      </w:r>
      <w:r w:rsidR="0041175F">
        <w:t xml:space="preserve">  and turning a blind  eye to “sidecar” agreements</w:t>
      </w:r>
      <w:r w:rsidR="006B481C">
        <w:t xml:space="preserve"> that other Federal age</w:t>
      </w:r>
      <w:r w:rsidR="0041175F">
        <w:t>ncies treat as attributable</w:t>
      </w:r>
      <w:r w:rsidR="004800D9">
        <w:t xml:space="preserve"> make it es</w:t>
      </w:r>
      <w:r w:rsidR="006F1EE0">
        <w:t xml:space="preserve">pecially important that the national cap be retained. Termination of </w:t>
      </w:r>
      <w:r w:rsidR="006B481C">
        <w:t>the national cap</w:t>
      </w:r>
      <w:r w:rsidR="00902E67">
        <w:t xml:space="preserve"> </w:t>
      </w:r>
      <w:r w:rsidR="00657C12">
        <w:t xml:space="preserve">will </w:t>
      </w:r>
      <w:r w:rsidR="00902E67">
        <w:t>not serve the public interest.  Rather, it wil</w:t>
      </w:r>
      <w:r w:rsidR="006F1EE0">
        <w:t>l serve the business goals</w:t>
      </w:r>
      <w:r w:rsidR="00902E67">
        <w:t xml:space="preserve"> of conglome</w:t>
      </w:r>
      <w:r w:rsidR="00BB7D8D">
        <w:t>rates like Sinclair</w:t>
      </w:r>
      <w:r w:rsidR="00902E67">
        <w:t>, who is now attempting to secure FCC and DOJ b</w:t>
      </w:r>
      <w:r w:rsidR="00835452">
        <w:t>l</w:t>
      </w:r>
      <w:r w:rsidR="00902E67">
        <w:t>essing fo</w:t>
      </w:r>
      <w:r w:rsidR="00835452">
        <w:t>r</w:t>
      </w:r>
      <w:r w:rsidR="00902E67">
        <w:t xml:space="preserve"> a 3.9 billion merger</w:t>
      </w:r>
      <w:r w:rsidR="00F84B45">
        <w:t>.</w:t>
      </w:r>
      <w:r w:rsidR="00BB7D8D">
        <w:t xml:space="preserve"> The merger would add tens of additional stations to Sinclair’s portfolio, already the largest in the nation.</w:t>
      </w:r>
      <w:r w:rsidR="00F84B45">
        <w:t xml:space="preserve">  According to credible trade press</w:t>
      </w:r>
      <w:r w:rsidR="00BB7D8D">
        <w:t xml:space="preserve"> reports</w:t>
      </w:r>
      <w:r w:rsidR="00F84B45">
        <w:t>, Sinclair’s</w:t>
      </w:r>
      <w:r w:rsidR="00835452">
        <w:t xml:space="preserve"> CEO </w:t>
      </w:r>
      <w:r w:rsidR="00F84B45">
        <w:t>told</w:t>
      </w:r>
      <w:r w:rsidR="00835452">
        <w:t xml:space="preserve"> investors last year that Sinclair’s business plan contemplates only one strong, dominant operator </w:t>
      </w:r>
      <w:r w:rsidR="00E22F4F">
        <w:t>and one news outlet i</w:t>
      </w:r>
      <w:r w:rsidR="00F84B45">
        <w:t>n each major market—Sinclair.</w:t>
      </w:r>
      <w:r w:rsidR="006E1126">
        <w:t xml:space="preserve"> </w:t>
      </w:r>
      <w:r w:rsidR="00BB7D8D">
        <w:t xml:space="preserve"> This doesn’t bode well for </w:t>
      </w:r>
      <w:r w:rsidR="009628DB">
        <w:t>localism, diversity, or competition.</w:t>
      </w:r>
    </w:p>
    <w:p w:rsidR="007D7DAA" w:rsidRDefault="00E22F4F" w:rsidP="004A03C0">
      <w:pPr>
        <w:ind w:left="360"/>
      </w:pPr>
      <w:r>
        <w:t>Further, it should be noted that much of the debate around the</w:t>
      </w:r>
      <w:r w:rsidR="009628DB">
        <w:t xml:space="preserve"> national</w:t>
      </w:r>
      <w:r>
        <w:t xml:space="preserve"> cap over the pa</w:t>
      </w:r>
      <w:r w:rsidR="00F84B45">
        <w:t>st decade</w:t>
      </w:r>
      <w:r>
        <w:t xml:space="preserve"> has been motivated by concern about maintaining a degree of equipoise </w:t>
      </w:r>
      <w:proofErr w:type="gramStart"/>
      <w:r w:rsidR="0081401B">
        <w:t>among  television</w:t>
      </w:r>
      <w:proofErr w:type="gramEnd"/>
      <w:r w:rsidR="0019778D">
        <w:t xml:space="preserve"> networks and their affiliates, s</w:t>
      </w:r>
      <w:r w:rsidR="0081401B">
        <w:t>o as not to allow either to become</w:t>
      </w:r>
      <w:r w:rsidR="0019778D">
        <w:t xml:space="preserve"> dominant. </w:t>
      </w:r>
      <w:r w:rsidR="00931EE7">
        <w:t xml:space="preserve"> See </w:t>
      </w:r>
      <w:r w:rsidR="00931EE7" w:rsidRPr="0081401B">
        <w:rPr>
          <w:i/>
        </w:rPr>
        <w:t>NPRM</w:t>
      </w:r>
      <w:r w:rsidR="00931EE7">
        <w:t xml:space="preserve"> at 6</w:t>
      </w:r>
      <w:r w:rsidR="000B48EA">
        <w:t>, 14</w:t>
      </w:r>
      <w:r w:rsidR="00931EE7">
        <w:t>.</w:t>
      </w:r>
      <w:r w:rsidR="0019778D">
        <w:t xml:space="preserve"> </w:t>
      </w:r>
      <w:r w:rsidR="006E1126">
        <w:t>The FCC’s rules prevent abuses by the networks of th</w:t>
      </w:r>
      <w:r w:rsidR="00B34564">
        <w:t>e</w:t>
      </w:r>
      <w:r w:rsidR="006E1126">
        <w:t xml:space="preserve">ir power, such as </w:t>
      </w:r>
      <w:r w:rsidR="0081401B">
        <w:t xml:space="preserve">limitations on </w:t>
      </w:r>
      <w:r w:rsidR="006E1126">
        <w:t>the right to preempt.</w:t>
      </w:r>
      <w:r w:rsidR="00B34564">
        <w:t xml:space="preserve">   </w:t>
      </w:r>
      <w:r w:rsidR="0019778D">
        <w:t>But termination of the</w:t>
      </w:r>
      <w:r w:rsidR="0081401B">
        <w:t xml:space="preserve"> </w:t>
      </w:r>
      <w:proofErr w:type="gramStart"/>
      <w:r w:rsidR="0081401B">
        <w:t xml:space="preserve">national </w:t>
      </w:r>
      <w:r w:rsidR="0019778D">
        <w:t xml:space="preserve"> </w:t>
      </w:r>
      <w:r w:rsidR="0081401B">
        <w:t>cap</w:t>
      </w:r>
      <w:proofErr w:type="gramEnd"/>
      <w:r w:rsidR="0019778D">
        <w:t xml:space="preserve"> would potentially have adverse effects far more challenging.   Here Sinclair, </w:t>
      </w:r>
      <w:proofErr w:type="spellStart"/>
      <w:r w:rsidR="0019778D">
        <w:t>Nexstar</w:t>
      </w:r>
      <w:proofErr w:type="spellEnd"/>
      <w:r w:rsidR="0019778D">
        <w:t xml:space="preserve">, </w:t>
      </w:r>
      <w:proofErr w:type="spellStart"/>
      <w:r w:rsidR="0019778D">
        <w:t>Tegna</w:t>
      </w:r>
      <w:proofErr w:type="spellEnd"/>
      <w:r w:rsidR="0019778D">
        <w:t xml:space="preserve"> and other</w:t>
      </w:r>
      <w:r w:rsidR="00F95042">
        <w:t xml:space="preserve"> non-network behemoths </w:t>
      </w:r>
      <w:r w:rsidR="00F95042" w:rsidRPr="002A623D">
        <w:rPr>
          <w:i/>
        </w:rPr>
        <w:t xml:space="preserve">own </w:t>
      </w:r>
      <w:r w:rsidR="00F95042">
        <w:t>their stations.  There</w:t>
      </w:r>
      <w:r w:rsidR="002A623D">
        <w:t xml:space="preserve"> are</w:t>
      </w:r>
      <w:r w:rsidR="00F95042">
        <w:t xml:space="preserve"> no ne</w:t>
      </w:r>
      <w:r w:rsidR="009628DB">
        <w:t>twork- affiliate balancing restrictions because n</w:t>
      </w:r>
      <w:r w:rsidR="00B34564">
        <w:t xml:space="preserve">o “network” rules </w:t>
      </w:r>
      <w:r w:rsidR="0081401B">
        <w:t>apply to</w:t>
      </w:r>
      <w:r w:rsidR="00657C12">
        <w:t xml:space="preserve"> Sinclair</w:t>
      </w:r>
      <w:r w:rsidR="009628DB">
        <w:t xml:space="preserve"> and these other group owners.  They</w:t>
      </w:r>
      <w:r w:rsidR="00657C12">
        <w:t xml:space="preserve"> </w:t>
      </w:r>
      <w:r w:rsidR="00F93A1C">
        <w:t xml:space="preserve">are </w:t>
      </w:r>
      <w:r w:rsidR="00657C12">
        <w:t>not “network</w:t>
      </w:r>
      <w:r w:rsidR="00F93A1C">
        <w:t>s</w:t>
      </w:r>
      <w:r w:rsidR="00657C12">
        <w:t>.</w:t>
      </w:r>
      <w:r w:rsidR="00B34564">
        <w:t xml:space="preserve">”  </w:t>
      </w:r>
      <w:r w:rsidR="0081401B">
        <w:t xml:space="preserve"> </w:t>
      </w:r>
      <w:r w:rsidR="007C78F3">
        <w:t xml:space="preserve">Yet, as noted above, </w:t>
      </w:r>
      <w:r w:rsidR="0081401B">
        <w:t>Sinclair</w:t>
      </w:r>
      <w:r w:rsidR="00F95042">
        <w:t xml:space="preserve"> closely supervises its local outlets a</w:t>
      </w:r>
      <w:r w:rsidR="007C78F3">
        <w:t>nd requires they air “must run”</w:t>
      </w:r>
      <w:r w:rsidR="00F95042">
        <w:t xml:space="preserve"> </w:t>
      </w:r>
      <w:r w:rsidR="002A623D">
        <w:t>commentaries</w:t>
      </w:r>
      <w:r w:rsidR="00F93A1C">
        <w:t xml:space="preserve"> within news blocks</w:t>
      </w:r>
      <w:r w:rsidR="002A623D">
        <w:t xml:space="preserve"> having no connection to local news.  Station managers have no choice but to run this nationally produced programming</w:t>
      </w:r>
      <w:r w:rsidR="006E1126">
        <w:t xml:space="preserve"> </w:t>
      </w:r>
      <w:r w:rsidR="006E1126" w:rsidRPr="0099060C">
        <w:rPr>
          <w:i/>
        </w:rPr>
        <w:t>verbatim</w:t>
      </w:r>
      <w:r w:rsidR="002A623D">
        <w:t xml:space="preserve"> as part of the local news,</w:t>
      </w:r>
      <w:r w:rsidR="006E1126">
        <w:t xml:space="preserve"> or risk consequences</w:t>
      </w:r>
      <w:r w:rsidR="00931EE7">
        <w:t>.</w:t>
      </w:r>
      <w:r w:rsidR="00F93A1C">
        <w:t xml:space="preserve"> No network could</w:t>
      </w:r>
      <w:r w:rsidR="005C617F">
        <w:t xml:space="preserve"> legally</w:t>
      </w:r>
      <w:r w:rsidR="00F93A1C">
        <w:t xml:space="preserve"> do that.</w:t>
      </w:r>
      <w:r w:rsidR="007D7DAA">
        <w:t xml:space="preserve"> </w:t>
      </w:r>
    </w:p>
    <w:p w:rsidR="00931EE7" w:rsidRDefault="007D7DAA" w:rsidP="004A03C0">
      <w:pPr>
        <w:ind w:left="360"/>
      </w:pPr>
      <w:r>
        <w:t>The core question is how will localism, diversity of voices, and effective competition be achieved by Sinclair requiring must run programming across the country?  And how will competition be enhanced or the intere</w:t>
      </w:r>
      <w:r>
        <w:t xml:space="preserve">sts of “small entities”, </w:t>
      </w:r>
      <w:r w:rsidRPr="007D7DAA">
        <w:rPr>
          <w:i/>
        </w:rPr>
        <w:t>NPRM</w:t>
      </w:r>
      <w:r>
        <w:t xml:space="preserve"> </w:t>
      </w:r>
      <w:r>
        <w:t xml:space="preserve">at p. 6, </w:t>
      </w:r>
      <w:proofErr w:type="gramStart"/>
      <w:r>
        <w:t>be</w:t>
      </w:r>
      <w:proofErr w:type="gramEnd"/>
      <w:r>
        <w:t xml:space="preserve"> served by opening the regulatory floodgates to Sinclair and its fellow conglomerates to acquire 100% of the station inventory in major markets?  It’s a practical impossibility.  Thus, Commenters </w:t>
      </w:r>
      <w:r>
        <w:lastRenderedPageBreak/>
        <w:t xml:space="preserve">respectfully submit that the only “fresh look”, </w:t>
      </w:r>
      <w:r w:rsidRPr="007D7DAA">
        <w:rPr>
          <w:i/>
        </w:rPr>
        <w:t>NPRM</w:t>
      </w:r>
      <w:r>
        <w:t xml:space="preserve"> at p. 9, the Commission should take at the national cap now is to realize that it is nonsensical to conclude that its elimination would be any less destructive to the public interest triad than elimination of the local ownership caps.</w:t>
      </w:r>
    </w:p>
    <w:p w:rsidR="001D118D" w:rsidRDefault="001D118D" w:rsidP="0075679D">
      <w:pPr>
        <w:ind w:left="360"/>
      </w:pPr>
    </w:p>
    <w:p w:rsidR="005F125B" w:rsidRDefault="00BD1A49" w:rsidP="0075679D">
      <w:pPr>
        <w:ind w:left="360"/>
      </w:pPr>
      <w:r>
        <w:t xml:space="preserve">3.  </w:t>
      </w:r>
      <w:r w:rsidR="005C617F">
        <w:t xml:space="preserve">The Existence </w:t>
      </w:r>
      <w:proofErr w:type="gramStart"/>
      <w:r w:rsidR="005C617F">
        <w:t>Of</w:t>
      </w:r>
      <w:proofErr w:type="gramEnd"/>
      <w:r w:rsidR="005C617F">
        <w:t xml:space="preserve"> Other Non-Broadcast Media Voices</w:t>
      </w:r>
      <w:r w:rsidR="005F125B">
        <w:t xml:space="preserve"> Does Not Eliminate The Need For Structural Regulation Of The Television Industry</w:t>
      </w:r>
    </w:p>
    <w:p w:rsidR="00794FB8" w:rsidRDefault="00794FB8" w:rsidP="00794FB8">
      <w:pPr>
        <w:ind w:left="360"/>
      </w:pPr>
      <w:r>
        <w:t xml:space="preserve">As it has repeatedly done to justify recent deregulatory moves, the Commission relies heavily on a  “considerably” changing media marketplace with a proliferation of alternative sources of programming from the Internet, cable and satellite sources.  </w:t>
      </w:r>
      <w:proofErr w:type="gramStart"/>
      <w:r w:rsidRPr="009A47E7">
        <w:rPr>
          <w:i/>
        </w:rPr>
        <w:t>NPRM</w:t>
      </w:r>
      <w:r>
        <w:t xml:space="preserve"> at 6.</w:t>
      </w:r>
      <w:proofErr w:type="gramEnd"/>
      <w:r>
        <w:t xml:space="preserve">  But the fallacy of this construct has been demonstrated by pleadings and </w:t>
      </w:r>
      <w:r w:rsidRPr="00761464">
        <w:rPr>
          <w:i/>
        </w:rPr>
        <w:t>ex parte</w:t>
      </w:r>
      <w:r>
        <w:t xml:space="preserve"> comments filed in the Sinclair-Tribune merger docket (MB 17-179) and in earlier proceedings.  Only one medium of communications and information in this country is </w:t>
      </w:r>
      <w:r w:rsidRPr="00810162">
        <w:rPr>
          <w:i/>
        </w:rPr>
        <w:t>free</w:t>
      </w:r>
      <w:r>
        <w:t xml:space="preserve">.  Only one medium is regulated by a federal agency because it received </w:t>
      </w:r>
      <w:r w:rsidRPr="00A85A14">
        <w:rPr>
          <w:i/>
        </w:rPr>
        <w:t xml:space="preserve">gratis </w:t>
      </w:r>
      <w:r>
        <w:t>massive amounts of spectrum owned by the American citizenry and in return assumed a public trusteeship as to that spectrum.  Only one media source must serve the “public interest” and answer to the Commission.  To treat unregulated cable operators, Facebook, Google and Twitter as fungible with local broadcasters is therefore illogical and astoundingly superficial.</w:t>
      </w:r>
    </w:p>
    <w:p w:rsidR="007660A4" w:rsidRDefault="001D118D" w:rsidP="0075679D">
      <w:pPr>
        <w:ind w:left="360"/>
      </w:pPr>
      <w:r>
        <w:t xml:space="preserve">Moreover, Commenters have demonstrated in their comments and pleadings in the Sinclair merger docket </w:t>
      </w:r>
      <w:r w:rsidR="002007EA">
        <w:t>and other regulatory dockets that the Commission’</w:t>
      </w:r>
      <w:r w:rsidR="005F125B">
        <w:t>s s</w:t>
      </w:r>
      <w:r w:rsidR="009A47E7">
        <w:t>uggestion that the advent of</w:t>
      </w:r>
      <w:r w:rsidR="005F125B">
        <w:t xml:space="preserve"> cable and the Internet have eliminated the need for regulator</w:t>
      </w:r>
      <w:r w:rsidR="00B62B2A">
        <w:t>y actions like the national cap</w:t>
      </w:r>
      <w:r w:rsidR="002007EA">
        <w:t xml:space="preserve"> is undermined by</w:t>
      </w:r>
      <w:r w:rsidR="00810162">
        <w:t xml:space="preserve"> </w:t>
      </w:r>
      <w:r w:rsidR="002007EA">
        <w:t xml:space="preserve">critical </w:t>
      </w:r>
      <w:r w:rsidR="007660A4">
        <w:t>fact</w:t>
      </w:r>
      <w:r w:rsidR="00386D7B">
        <w:t>s</w:t>
      </w:r>
      <w:r w:rsidR="002007EA">
        <w:t xml:space="preserve"> the</w:t>
      </w:r>
      <w:r w:rsidR="00EA6D3B">
        <w:t xml:space="preserve"> Commission ignores. </w:t>
      </w:r>
    </w:p>
    <w:p w:rsidR="001D118D" w:rsidRDefault="00EA6D3B" w:rsidP="0075679D">
      <w:pPr>
        <w:ind w:left="360"/>
      </w:pPr>
      <w:r>
        <w:t xml:space="preserve">First, studies show that at least 40 million Americans depend </w:t>
      </w:r>
      <w:r w:rsidRPr="00624843">
        <w:rPr>
          <w:i/>
        </w:rPr>
        <w:t>ex</w:t>
      </w:r>
      <w:r w:rsidR="00624843" w:rsidRPr="00624843">
        <w:rPr>
          <w:i/>
        </w:rPr>
        <w:t>c</w:t>
      </w:r>
      <w:r w:rsidRPr="00624843">
        <w:rPr>
          <w:i/>
        </w:rPr>
        <w:t>lusively</w:t>
      </w:r>
      <w:r w:rsidR="002007EA">
        <w:t xml:space="preserve"> </w:t>
      </w:r>
      <w:r>
        <w:t>upon local stations for thei</w:t>
      </w:r>
      <w:r w:rsidR="00624843">
        <w:t>r</w:t>
      </w:r>
      <w:r w:rsidR="002007EA">
        <w:t xml:space="preserve"> </w:t>
      </w:r>
      <w:r w:rsidR="00624843">
        <w:t>news.  Comparing</w:t>
      </w:r>
      <w:r w:rsidR="007660A4">
        <w:t xml:space="preserve"> </w:t>
      </w:r>
      <w:r w:rsidR="00624843">
        <w:t>the three principal types of television news, that is network, cable and local, at least 55 mill</w:t>
      </w:r>
      <w:r w:rsidR="00874FB2">
        <w:t>i</w:t>
      </w:r>
      <w:r w:rsidR="00624843">
        <w:t>on adults</w:t>
      </w:r>
      <w:r w:rsidR="007660A4">
        <w:t xml:space="preserve"> </w:t>
      </w:r>
      <w:r w:rsidR="00B64BF0">
        <w:t xml:space="preserve">rely </w:t>
      </w:r>
      <w:r w:rsidR="00B64BF0" w:rsidRPr="007660A4">
        <w:rPr>
          <w:i/>
        </w:rPr>
        <w:t>exclusively</w:t>
      </w:r>
      <w:r w:rsidR="00B64BF0">
        <w:t xml:space="preserve"> rely on local television.  The FCC’s 2016 </w:t>
      </w:r>
      <w:proofErr w:type="spellStart"/>
      <w:r w:rsidR="00B64BF0">
        <w:t>Brodband</w:t>
      </w:r>
      <w:proofErr w:type="spellEnd"/>
      <w:r w:rsidR="00B64BF0">
        <w:t xml:space="preserve"> Progress Report found 34 million Americans do not have access </w:t>
      </w:r>
      <w:r w:rsidR="007660A4">
        <w:t>to broadband and 23 million rural res</w:t>
      </w:r>
      <w:r w:rsidR="00874FB2">
        <w:t>i</w:t>
      </w:r>
      <w:r w:rsidR="007660A4">
        <w:t xml:space="preserve">dents do not. </w:t>
      </w:r>
      <w:proofErr w:type="spellStart"/>
      <w:r w:rsidR="00874FB2">
        <w:t>Amricans</w:t>
      </w:r>
      <w:proofErr w:type="spellEnd"/>
      <w:r w:rsidR="00874FB2">
        <w:t xml:space="preserve"> over the age of 50 rely heavily on local news and few turn to online services.</w:t>
      </w:r>
      <w:r w:rsidR="007660A4">
        <w:t xml:space="preserve"> </w:t>
      </w:r>
      <w:r w:rsidR="00563AE3">
        <w:rPr>
          <w:rStyle w:val="FootnoteReference"/>
        </w:rPr>
        <w:footnoteReference w:id="3"/>
      </w:r>
      <w:r w:rsidR="002007EA">
        <w:t>American viewers do not have access to the Int</w:t>
      </w:r>
      <w:r w:rsidR="008157F8">
        <w:t>e</w:t>
      </w:r>
      <w:r w:rsidR="002007EA">
        <w:t>rnet or cable because of the remoteness of their</w:t>
      </w:r>
      <w:r w:rsidR="008157F8">
        <w:t xml:space="preserve"> </w:t>
      </w:r>
      <w:proofErr w:type="gramStart"/>
      <w:r w:rsidR="008157F8">
        <w:t xml:space="preserve">rural </w:t>
      </w:r>
      <w:r w:rsidR="002007EA">
        <w:t xml:space="preserve"> homes</w:t>
      </w:r>
      <w:proofErr w:type="gramEnd"/>
      <w:r w:rsidR="002007EA">
        <w:t xml:space="preserve"> from </w:t>
      </w:r>
      <w:r w:rsidR="008157F8">
        <w:t>populated areas or their inability or unwillingness to pay for increasingly expensive</w:t>
      </w:r>
      <w:r w:rsidR="00344BE9">
        <w:t>,</w:t>
      </w:r>
      <w:r w:rsidR="008157F8">
        <w:t xml:space="preserve"> non-broadcast service</w:t>
      </w:r>
      <w:r w:rsidR="00810162">
        <w:t xml:space="preserve"> in lieu of</w:t>
      </w:r>
      <w:r w:rsidR="00810162" w:rsidRPr="00344BE9">
        <w:rPr>
          <w:i/>
        </w:rPr>
        <w:t xml:space="preserve"> free</w:t>
      </w:r>
      <w:r w:rsidR="00810162">
        <w:t>,  over-the</w:t>
      </w:r>
      <w:r w:rsidR="00A60DB7">
        <w:t>-</w:t>
      </w:r>
      <w:r w:rsidR="00810162">
        <w:t>air</w:t>
      </w:r>
      <w:r w:rsidR="00A60DB7">
        <w:t xml:space="preserve"> TV.  These viewers, many elderly, rural, minority, and/or economically disadvantaged, </w:t>
      </w:r>
      <w:r w:rsidR="00386D7B">
        <w:t>need access to</w:t>
      </w:r>
      <w:r w:rsidR="00404C96">
        <w:t xml:space="preserve"> multiple, competitive, divers</w:t>
      </w:r>
      <w:r w:rsidR="00CD55A1">
        <w:t>e</w:t>
      </w:r>
      <w:r w:rsidR="00404C96">
        <w:t xml:space="preserve"> sources of local </w:t>
      </w:r>
      <w:r w:rsidR="00386D7B">
        <w:t xml:space="preserve"> broadcast </w:t>
      </w:r>
      <w:r w:rsidR="00404C96">
        <w:t>news and information</w:t>
      </w:r>
      <w:r w:rsidR="000A6527">
        <w:t xml:space="preserve"> just as much as Americans who get their </w:t>
      </w:r>
      <w:r w:rsidR="009A47E7">
        <w:t>“</w:t>
      </w:r>
      <w:r w:rsidR="000A6527">
        <w:t>news</w:t>
      </w:r>
      <w:r w:rsidR="009A47E7">
        <w:t>”</w:t>
      </w:r>
      <w:r w:rsidR="000A6527">
        <w:t xml:space="preserve"> from Twitter or Facebook</w:t>
      </w:r>
      <w:r w:rsidR="00386D7B">
        <w:t xml:space="preserve"> or Google</w:t>
      </w:r>
      <w:r w:rsidR="000A6527">
        <w:t>.</w:t>
      </w:r>
    </w:p>
    <w:p w:rsidR="00077C98" w:rsidRDefault="000A6527" w:rsidP="00077C98">
      <w:pPr>
        <w:ind w:left="360"/>
      </w:pPr>
      <w:r>
        <w:t xml:space="preserve">It is also the case </w:t>
      </w:r>
      <w:proofErr w:type="gramStart"/>
      <w:r>
        <w:t>that,</w:t>
      </w:r>
      <w:proofErr w:type="gramEnd"/>
      <w:r>
        <w:t xml:space="preserve"> based on studies by the Pew Foundation and other respected analysts, a majority of Americans</w:t>
      </w:r>
      <w:r w:rsidR="00520633">
        <w:t xml:space="preserve"> rely on and trust local television outlets more than any other source of local news.  This includes cable </w:t>
      </w:r>
      <w:r w:rsidR="00386D7B">
        <w:t>news, network news,</w:t>
      </w:r>
      <w:r w:rsidR="00077C98">
        <w:t xml:space="preserve"> newspapers and</w:t>
      </w:r>
      <w:r w:rsidR="00C328FC">
        <w:t xml:space="preserve"> government.  It also includes </w:t>
      </w:r>
      <w:r w:rsidR="00520633">
        <w:t>of cours</w:t>
      </w:r>
      <w:r w:rsidR="009B665F">
        <w:t>e</w:t>
      </w:r>
      <w:r w:rsidR="00520633">
        <w:t xml:space="preserve"> In</w:t>
      </w:r>
      <w:r w:rsidR="00C328FC">
        <w:t>ternet sources like Facebook,</w:t>
      </w:r>
      <w:r w:rsidR="00520633">
        <w:t xml:space="preserve"> Google</w:t>
      </w:r>
      <w:r w:rsidR="00C328FC">
        <w:t xml:space="preserve"> and Twitter,</w:t>
      </w:r>
      <w:r w:rsidR="00520633">
        <w:t xml:space="preserve"> which do not </w:t>
      </w:r>
      <w:r w:rsidR="009B665F">
        <w:t>originate local programming fo</w:t>
      </w:r>
      <w:r w:rsidR="00C328FC">
        <w:t>r</w:t>
      </w:r>
      <w:r w:rsidR="009A47E7">
        <w:t xml:space="preserve"> the most part.  R</w:t>
      </w:r>
      <w:r w:rsidR="009B665F">
        <w:t>ather</w:t>
      </w:r>
      <w:r w:rsidR="009A47E7">
        <w:t xml:space="preserve">, these companies cannibalize and regurgitate programming </w:t>
      </w:r>
      <w:r w:rsidR="009B665F">
        <w:t xml:space="preserve">from traditional sources or parrot social media or Russian bots. To </w:t>
      </w:r>
      <w:r w:rsidR="00C35E22">
        <w:t>remove the owner</w:t>
      </w:r>
      <w:r w:rsidR="00C328FC">
        <w:t>ship</w:t>
      </w:r>
      <w:r w:rsidR="00C35E22">
        <w:t xml:space="preserve"> cap</w:t>
      </w:r>
      <w:r w:rsidR="00077C98">
        <w:t xml:space="preserve"> based on the existence of these “alternatives”</w:t>
      </w:r>
      <w:r w:rsidR="00C328FC">
        <w:t xml:space="preserve"> would constitute regulatory </w:t>
      </w:r>
      <w:r w:rsidR="00BB40F1">
        <w:t>arb</w:t>
      </w:r>
      <w:r w:rsidR="00077C98">
        <w:t>itrariness of the highest order</w:t>
      </w:r>
      <w:r w:rsidR="00485C27">
        <w:t>.</w:t>
      </w:r>
      <w:r w:rsidR="00077C98">
        <w:t xml:space="preserve">  </w:t>
      </w:r>
    </w:p>
    <w:p w:rsidR="00DF5DC6" w:rsidRDefault="00485C27" w:rsidP="002D57B9">
      <w:pPr>
        <w:ind w:left="360"/>
      </w:pPr>
      <w:r>
        <w:lastRenderedPageBreak/>
        <w:t xml:space="preserve"> </w:t>
      </w:r>
      <w:bookmarkStart w:id="0" w:name="_GoBack"/>
      <w:bookmarkEnd w:id="0"/>
      <w:r w:rsidR="00302A3D">
        <w:t xml:space="preserve">The UHF Discount Should Be Once Again </w:t>
      </w:r>
      <w:r w:rsidR="005002B1">
        <w:t>Eliminated Because It Is Obsolete</w:t>
      </w:r>
      <w:r w:rsidR="00831E84">
        <w:t xml:space="preserve"> And It Is A Regulatory Too</w:t>
      </w:r>
      <w:r w:rsidR="007D7DAA">
        <w:t>l</w:t>
      </w:r>
      <w:r w:rsidR="005002B1">
        <w:t xml:space="preserve"> Whose Rationale Is No Longer Valid</w:t>
      </w:r>
      <w:r w:rsidR="00B62B2A">
        <w:t>.</w:t>
      </w:r>
    </w:p>
    <w:p w:rsidR="005002B1" w:rsidRPr="00DC0DF2" w:rsidRDefault="005002B1" w:rsidP="005002B1"/>
    <w:p w:rsidR="00A778EE" w:rsidRDefault="00A930B8" w:rsidP="00B62B2A">
      <w:r>
        <w:t xml:space="preserve">The Commission answers </w:t>
      </w:r>
      <w:r w:rsidR="007D7DAA">
        <w:t>its own question regarding the UHF Preference</w:t>
      </w:r>
      <w:r w:rsidR="00B84C48">
        <w:t xml:space="preserve"> in</w:t>
      </w:r>
      <w:r>
        <w:t xml:space="preserve"> the </w:t>
      </w:r>
      <w:r w:rsidRPr="00B84C48">
        <w:rPr>
          <w:i/>
        </w:rPr>
        <w:t>NPRM</w:t>
      </w:r>
      <w:r>
        <w:t xml:space="preserve">.  It states: </w:t>
      </w:r>
    </w:p>
    <w:p w:rsidR="0099060C" w:rsidRDefault="00A930B8" w:rsidP="00A930B8">
      <w:pPr>
        <w:ind w:left="1080"/>
      </w:pPr>
      <w:r>
        <w:t xml:space="preserve">“Notably, no commenter in </w:t>
      </w:r>
      <w:r w:rsidR="00D2707F">
        <w:t xml:space="preserve">prior proceeding presented evidence that the original technical justification for the discount is still valid, and the Commission in the </w:t>
      </w:r>
      <w:r w:rsidR="00D2707F" w:rsidRPr="00A778EE">
        <w:rPr>
          <w:i/>
        </w:rPr>
        <w:t>UHF Order on Reconsideration</w:t>
      </w:r>
      <w:r w:rsidR="00A778EE" w:rsidRPr="00A778EE">
        <w:rPr>
          <w:i/>
        </w:rPr>
        <w:t xml:space="preserve"> </w:t>
      </w:r>
      <w:r w:rsidR="00D2707F">
        <w:t>did not disturb its earlier</w:t>
      </w:r>
      <w:r w:rsidR="00C8525E">
        <w:t xml:space="preserve"> </w:t>
      </w:r>
      <w:r w:rsidR="00D2707F">
        <w:t xml:space="preserve">conclusion that </w:t>
      </w:r>
      <w:r w:rsidR="00C8525E">
        <w:t xml:space="preserve">‘the UHF Discount no longer has a sound technical basis following the digital television transition’”.  </w:t>
      </w:r>
      <w:r w:rsidR="00C8525E" w:rsidRPr="00A778EE">
        <w:rPr>
          <w:i/>
        </w:rPr>
        <w:t xml:space="preserve">UHF Discount Order </w:t>
      </w:r>
      <w:proofErr w:type="gramStart"/>
      <w:r w:rsidR="00C8525E" w:rsidRPr="00A778EE">
        <w:rPr>
          <w:i/>
        </w:rPr>
        <w:t>On</w:t>
      </w:r>
      <w:proofErr w:type="gramEnd"/>
      <w:r w:rsidR="00C8525E" w:rsidRPr="00A778EE">
        <w:rPr>
          <w:i/>
        </w:rPr>
        <w:t xml:space="preserve"> Reconsideration</w:t>
      </w:r>
      <w:r w:rsidR="00A778EE" w:rsidRPr="00A778EE">
        <w:rPr>
          <w:i/>
        </w:rPr>
        <w:t>,</w:t>
      </w:r>
      <w:r w:rsidR="00A778EE">
        <w:t xml:space="preserve"> 32 FCC </w:t>
      </w:r>
      <w:proofErr w:type="spellStart"/>
      <w:r w:rsidR="00A778EE">
        <w:t>Rcd</w:t>
      </w:r>
      <w:proofErr w:type="spellEnd"/>
      <w:r w:rsidR="00A778EE">
        <w:t xml:space="preserve"> at 3395, </w:t>
      </w:r>
      <w:proofErr w:type="spellStart"/>
      <w:r w:rsidR="00A778EE">
        <w:t>para</w:t>
      </w:r>
      <w:proofErr w:type="spellEnd"/>
      <w:r w:rsidR="00A778EE">
        <w:t>. 14.</w:t>
      </w:r>
      <w:r w:rsidR="00B84C48">
        <w:t xml:space="preserve"> </w:t>
      </w:r>
      <w:r w:rsidR="00B84C48" w:rsidRPr="00B84C48">
        <w:rPr>
          <w:i/>
        </w:rPr>
        <w:t>NPRM</w:t>
      </w:r>
      <w:r w:rsidR="00B84C48">
        <w:t xml:space="preserve"> at 10.</w:t>
      </w:r>
    </w:p>
    <w:p w:rsidR="00A778EE" w:rsidRDefault="00A778EE" w:rsidP="00152E05">
      <w:r>
        <w:t xml:space="preserve">This simple conclusion should end the discussion about whether </w:t>
      </w:r>
      <w:r w:rsidR="00942104">
        <w:t xml:space="preserve">a technical policy put into place </w:t>
      </w:r>
      <w:r w:rsidR="00B84C48">
        <w:t xml:space="preserve">decades ago </w:t>
      </w:r>
      <w:r w:rsidR="00B84C48">
        <w:t xml:space="preserve">to </w:t>
      </w:r>
      <w:r w:rsidR="00942104">
        <w:t xml:space="preserve">reflect the impact of television coverage </w:t>
      </w:r>
      <w:r w:rsidR="00D7352C">
        <w:t>on ownership regulation</w:t>
      </w:r>
      <w:r w:rsidR="00942104">
        <w:t xml:space="preserve"> should now remain on the books solely because of “non-technical justifications</w:t>
      </w:r>
      <w:r w:rsidR="00D7352C">
        <w:t xml:space="preserve"> that remain relevant.” </w:t>
      </w:r>
      <w:r w:rsidR="00B84C48" w:rsidRPr="00FF3040">
        <w:rPr>
          <w:i/>
        </w:rPr>
        <w:t xml:space="preserve"> Id</w:t>
      </w:r>
      <w:r w:rsidR="00B84C48">
        <w:t>.</w:t>
      </w:r>
      <w:r w:rsidR="00D7352C">
        <w:t xml:space="preserve">  UHF stations counted less because they operated at a signif</w:t>
      </w:r>
      <w:r w:rsidR="009D1D9A">
        <w:t>icant technical disadvantage.</w:t>
      </w:r>
      <w:r w:rsidR="00152E05">
        <w:t xml:space="preserve"> </w:t>
      </w:r>
      <w:r w:rsidR="009D1D9A">
        <w:t xml:space="preserve"> Once that disadvantage was removed by</w:t>
      </w:r>
      <w:r w:rsidR="00152E05">
        <w:t xml:space="preserve"> digitalization, the</w:t>
      </w:r>
      <w:r w:rsidR="009D1D9A">
        <w:t xml:space="preserve"> universal consensus</w:t>
      </w:r>
      <w:r w:rsidR="00152E05">
        <w:t xml:space="preserve"> is that the</w:t>
      </w:r>
      <w:r w:rsidR="009D1D9A">
        <w:t xml:space="preserve"> UHF discount</w:t>
      </w:r>
      <w:r w:rsidR="00152E05">
        <w:t xml:space="preserve"> makes no sense technically to</w:t>
      </w:r>
      <w:r w:rsidR="009D1D9A">
        <w:t xml:space="preserve"> any ra</w:t>
      </w:r>
      <w:r w:rsidR="0015515C">
        <w:t>tional policy maker.</w:t>
      </w:r>
      <w:r w:rsidR="00FF3040">
        <w:t xml:space="preserve">  </w:t>
      </w:r>
      <w:r w:rsidR="00152E05">
        <w:t xml:space="preserve">Continuation of the </w:t>
      </w:r>
      <w:proofErr w:type="gramStart"/>
      <w:r w:rsidR="00152E05">
        <w:t>preference</w:t>
      </w:r>
      <w:r w:rsidR="0015515C">
        <w:t xml:space="preserve"> </w:t>
      </w:r>
      <w:r w:rsidR="009D1D9A">
        <w:t xml:space="preserve"> would</w:t>
      </w:r>
      <w:proofErr w:type="gramEnd"/>
      <w:r w:rsidR="009D1D9A">
        <w:t xml:space="preserve"> be arbitrary  and capricious.</w:t>
      </w:r>
    </w:p>
    <w:p w:rsidR="00BA339B" w:rsidRDefault="00BA339B" w:rsidP="003D2EBC">
      <w:r>
        <w:t xml:space="preserve">VHF facilities are now universally understood to </w:t>
      </w:r>
      <w:r w:rsidR="00002181">
        <w:t xml:space="preserve">have problematic coverage and </w:t>
      </w:r>
      <w:r>
        <w:t>be inferior</w:t>
      </w:r>
      <w:r w:rsidR="001115CC">
        <w:t xml:space="preserve">.  </w:t>
      </w:r>
      <w:r w:rsidR="00F22783">
        <w:t xml:space="preserve">See </w:t>
      </w:r>
      <w:r w:rsidR="00F22783" w:rsidRPr="00FF3040">
        <w:rPr>
          <w:i/>
        </w:rPr>
        <w:t>NPRM</w:t>
      </w:r>
      <w:r w:rsidR="00F22783">
        <w:t xml:space="preserve"> at p.10. </w:t>
      </w:r>
      <w:r w:rsidR="001115CC">
        <w:t>In the recent FCC I</w:t>
      </w:r>
      <w:r>
        <w:t xml:space="preserve">ncentive Auction, many VHF stations were not invited to join or were offered so </w:t>
      </w:r>
      <w:r w:rsidR="003D2EBC">
        <w:t>little to give up their spectrum</w:t>
      </w:r>
      <w:r>
        <w:t xml:space="preserve"> that they elected not to be sold.</w:t>
      </w:r>
      <w:r w:rsidR="001115CC">
        <w:t xml:space="preserve">  Many are now available at bargain-basement prices months after the auction. </w:t>
      </w:r>
      <w:r>
        <w:t xml:space="preserve"> </w:t>
      </w:r>
      <w:r w:rsidR="001115CC">
        <w:t>Meanwhile, UHF stations, even in less</w:t>
      </w:r>
      <w:r w:rsidR="00D33549">
        <w:t>er markets</w:t>
      </w:r>
      <w:r w:rsidR="00002181">
        <w:t>,</w:t>
      </w:r>
      <w:r w:rsidR="00D33549">
        <w:t xml:space="preserve"> </w:t>
      </w:r>
      <w:r w:rsidR="001115CC">
        <w:t>fetch</w:t>
      </w:r>
      <w:r w:rsidR="00D33549">
        <w:t>ed</w:t>
      </w:r>
      <w:r w:rsidR="001115CC">
        <w:t xml:space="preserve"> hundreds of millions of dollars</w:t>
      </w:r>
      <w:r w:rsidR="00D33549">
        <w:t>.  Indeed, Sinclair recently amended its merger applications to propose a spin-off divestiture of WPIX-TV</w:t>
      </w:r>
      <w:r w:rsidR="00FF3040">
        <w:t xml:space="preserve"> (VHF)</w:t>
      </w:r>
      <w:r w:rsidR="00D33549">
        <w:t xml:space="preserve"> i</w:t>
      </w:r>
      <w:r w:rsidR="00FF3040">
        <w:t>n the nation’s largest market for</w:t>
      </w:r>
      <w:r w:rsidR="00D33549">
        <w:t xml:space="preserve"> </w:t>
      </w:r>
      <w:r w:rsidR="00C81127">
        <w:t xml:space="preserve">15 </w:t>
      </w:r>
      <w:r w:rsidR="00D33549">
        <w:t>million dollars!!</w:t>
      </w:r>
    </w:p>
    <w:p w:rsidR="00002181" w:rsidRDefault="00002181" w:rsidP="003D2EBC">
      <w:r>
        <w:t>The Commission’s</w:t>
      </w:r>
      <w:r w:rsidR="00234DFA">
        <w:t xml:space="preserve"> </w:t>
      </w:r>
      <w:r w:rsidR="00F22783">
        <w:t xml:space="preserve">curious </w:t>
      </w:r>
      <w:r>
        <w:t>reluctance to accept this incontrovertible reality</w:t>
      </w:r>
      <w:r w:rsidR="00FF3040">
        <w:t xml:space="preserve"> is inexplicable. T</w:t>
      </w:r>
      <w:r w:rsidR="003D2EBC">
        <w:t>he p</w:t>
      </w:r>
      <w:r w:rsidR="00F22783">
        <w:t>reference</w:t>
      </w:r>
      <w:r>
        <w:t>, now being challenged in the D. C. Circuit</w:t>
      </w:r>
      <w:r w:rsidR="00F22783">
        <w:t>,</w:t>
      </w:r>
      <w:r w:rsidR="00983252">
        <w:t xml:space="preserve"> must end.  Its persistence adds fuel to the fire that the only purpose of the UHF Preference is to allow Sinclair, burdened</w:t>
      </w:r>
      <w:r w:rsidR="005521E4">
        <w:t xml:space="preserve"> with a surfeit of UHF’s, to exploit the UHF Preference to stay within the national cap.</w:t>
      </w:r>
      <w:r w:rsidR="00F22783">
        <w:t xml:space="preserve">  </w:t>
      </w:r>
      <w:r w:rsidR="00234DFA">
        <w:t>An age</w:t>
      </w:r>
      <w:r w:rsidR="00ED6FD1">
        <w:t>n</w:t>
      </w:r>
      <w:r w:rsidR="00234DFA">
        <w:t xml:space="preserve">cy </w:t>
      </w:r>
      <w:r w:rsidR="00ED6FD1">
        <w:t>may not continue to apply a tech</w:t>
      </w:r>
      <w:r w:rsidR="00F03325">
        <w:t>nical preference whose</w:t>
      </w:r>
      <w:r w:rsidR="00ED6FD1">
        <w:t xml:space="preserve"> legitimacy is </w:t>
      </w:r>
      <w:r w:rsidR="0033681E">
        <w:t>gone</w:t>
      </w:r>
      <w:r w:rsidR="006E75EE">
        <w:t>, to achieve non-technical objectives</w:t>
      </w:r>
      <w:r w:rsidR="00F03325">
        <w:t xml:space="preserve"> strikingly aligned with</w:t>
      </w:r>
      <w:r w:rsidR="0033681E">
        <w:t xml:space="preserve"> the</w:t>
      </w:r>
      <w:r w:rsidR="00F03325">
        <w:t xml:space="preserve"> business objectives of a broadcaster</w:t>
      </w:r>
      <w:r w:rsidR="006E75EE">
        <w:t>.</w:t>
      </w:r>
    </w:p>
    <w:p w:rsidR="0015515C" w:rsidRDefault="0015515C" w:rsidP="00F03325">
      <w:r>
        <w:t xml:space="preserve">It is no doubt true that termination of the irrational UHF preference will </w:t>
      </w:r>
      <w:r w:rsidR="00016EC1">
        <w:t xml:space="preserve">affect the national cap and the ability of large group owners to comply with it.  However, any inequity visited on these stakeholders is far outweighed </w:t>
      </w:r>
      <w:r w:rsidR="007A3628">
        <w:t>by the need for an accurate measure of audience reach to protect localism, diversity, and competition</w:t>
      </w:r>
      <w:r w:rsidR="007876EF">
        <w:t>.  As the Attorneys General point out at page 13, only a very few large group owners would be affected by elimination of the Preference</w:t>
      </w:r>
      <w:r w:rsidR="00683ABF">
        <w:t>.  Even they have been aware of the non-</w:t>
      </w:r>
      <w:r w:rsidR="005F5711">
        <w:t>existent basis for the Preferen</w:t>
      </w:r>
      <w:r w:rsidR="00683ABF">
        <w:t>ce for years and the FCC’s</w:t>
      </w:r>
      <w:r w:rsidR="0033681E">
        <w:t xml:space="preserve"> </w:t>
      </w:r>
      <w:proofErr w:type="gramStart"/>
      <w:r w:rsidR="0033681E">
        <w:t xml:space="preserve">consequent </w:t>
      </w:r>
      <w:r w:rsidR="00683ABF">
        <w:t xml:space="preserve"> concerns</w:t>
      </w:r>
      <w:proofErr w:type="gramEnd"/>
      <w:r w:rsidR="00683ABF">
        <w:t xml:space="preserve"> about  it</w:t>
      </w:r>
      <w:r w:rsidR="00F03325">
        <w:t>.  Thus, they</w:t>
      </w:r>
      <w:r w:rsidR="00683ABF">
        <w:t xml:space="preserve"> cannot claim surprise.</w:t>
      </w:r>
      <w:r w:rsidR="003E4580">
        <w:t xml:space="preserve">  Most importantly, American television consumers would benefit from ending the Preference because it would protect them</w:t>
      </w:r>
      <w:r w:rsidR="005F5711">
        <w:t xml:space="preserve"> from</w:t>
      </w:r>
      <w:r w:rsidR="003E4580">
        <w:t xml:space="preserve"> further consolidation of the TV industry, a prospect no one could wish for except the media barons </w:t>
      </w:r>
      <w:r w:rsidR="00055A9C">
        <w:t>who own the largest broadcasters.</w:t>
      </w:r>
    </w:p>
    <w:p w:rsidR="00055A9C" w:rsidRDefault="00055A9C" w:rsidP="0033681E">
      <w:pPr>
        <w:pStyle w:val="ListParagraph"/>
        <w:numPr>
          <w:ilvl w:val="0"/>
          <w:numId w:val="2"/>
        </w:numPr>
      </w:pPr>
      <w:r>
        <w:t xml:space="preserve">Any Grandfathering of </w:t>
      </w:r>
      <w:r w:rsidR="00B33916">
        <w:t>Rule Changes In This Docket Should Be Limited And Require Arms</w:t>
      </w:r>
      <w:r w:rsidR="00D25397">
        <w:t>-</w:t>
      </w:r>
      <w:r w:rsidR="00B33916">
        <w:t xml:space="preserve"> Length Divestitures During The Grandfathering Period</w:t>
      </w:r>
    </w:p>
    <w:p w:rsidR="00234DFA" w:rsidRDefault="00B33916" w:rsidP="00D25397">
      <w:r>
        <w:lastRenderedPageBreak/>
        <w:t xml:space="preserve">The Commission solicits </w:t>
      </w:r>
      <w:r w:rsidR="00C63050">
        <w:t xml:space="preserve">comments regarding possible grandfathering of enforcement should a party find itself above the ownership cap due to elimination of the UHF Preference.  </w:t>
      </w:r>
      <w:r w:rsidR="006C46E4" w:rsidRPr="00D25397">
        <w:rPr>
          <w:i/>
        </w:rPr>
        <w:t xml:space="preserve">NPRM </w:t>
      </w:r>
      <w:r w:rsidR="006C46E4">
        <w:t xml:space="preserve">at 12-13. </w:t>
      </w:r>
      <w:r w:rsidR="00C63050">
        <w:t>Commenters submit that limited grandfathering may be appropriate in the interests of f</w:t>
      </w:r>
      <w:r w:rsidR="00D25397">
        <w:t>a</w:t>
      </w:r>
      <w:r w:rsidR="00C63050">
        <w:t xml:space="preserve">irness and to avoid disruption.  But, given the critical </w:t>
      </w:r>
      <w:r w:rsidR="006C46E4">
        <w:t xml:space="preserve">public interest concerns at risk here, grandfathering should be limited to one year from the date of release of the Report </w:t>
      </w:r>
      <w:proofErr w:type="gramStart"/>
      <w:r w:rsidR="006C46E4">
        <w:t>And</w:t>
      </w:r>
      <w:proofErr w:type="gramEnd"/>
      <w:r w:rsidR="006C46E4">
        <w:t xml:space="preserve"> Order herein and tightly enforced.  No extensions should be permitted</w:t>
      </w:r>
      <w:r w:rsidR="00A8096C">
        <w:t xml:space="preserve"> in the absence of a compelling showing, such as an arms</w:t>
      </w:r>
      <w:r w:rsidR="00D25397">
        <w:t>-</w:t>
      </w:r>
      <w:r w:rsidR="00A8096C">
        <w:t>length sale to a</w:t>
      </w:r>
      <w:r w:rsidR="006C46E4">
        <w:t xml:space="preserve"> </w:t>
      </w:r>
      <w:r w:rsidR="00A8096C">
        <w:t>minority or female.</w:t>
      </w:r>
      <w:r w:rsidR="007807A0">
        <w:t xml:space="preserve">  It is critical that </w:t>
      </w:r>
      <w:r w:rsidR="007B51CC">
        <w:t>the</w:t>
      </w:r>
      <w:r w:rsidR="00AC6357">
        <w:t xml:space="preserve"> divestiture and</w:t>
      </w:r>
      <w:r w:rsidR="007B51CC">
        <w:t xml:space="preserve"> arms</w:t>
      </w:r>
      <w:r w:rsidR="00D25397">
        <w:t>-</w:t>
      </w:r>
      <w:r w:rsidR="007B51CC">
        <w:t xml:space="preserve"> length requirement</w:t>
      </w:r>
      <w:r w:rsidR="00AC6357">
        <w:t>s be enforced rigorously in order to avoid scams like those being advanced in the Sinclair merger docket, wherein Sinclair proposes to convey Tribune’s NYC and Chicago stations to a Sinclair family trust</w:t>
      </w:r>
      <w:r w:rsidR="002A502F">
        <w:t xml:space="preserve"> and a close business associate</w:t>
      </w:r>
      <w:r w:rsidR="00D25397">
        <w:t xml:space="preserve"> of Sinclair’s principal</w:t>
      </w:r>
      <w:r w:rsidR="002A502F">
        <w:t>.</w:t>
      </w:r>
    </w:p>
    <w:p w:rsidR="002A502F" w:rsidRDefault="002A502F" w:rsidP="0033681E">
      <w:pPr>
        <w:pStyle w:val="ListParagraph"/>
        <w:numPr>
          <w:ilvl w:val="0"/>
          <w:numId w:val="2"/>
        </w:numPr>
      </w:pPr>
      <w:r>
        <w:t>Conclusion</w:t>
      </w:r>
    </w:p>
    <w:p w:rsidR="002A502F" w:rsidRDefault="002A502F" w:rsidP="00D25397">
      <w:pPr>
        <w:ind w:left="360"/>
      </w:pPr>
      <w:r>
        <w:t xml:space="preserve">As recently as 1984, the Commission limited </w:t>
      </w:r>
      <w:r w:rsidR="006E34AC">
        <w:t>broadcasters to 12 stations nationally.  This rulemaking signals a potentially dangerously radical</w:t>
      </w:r>
      <w:r w:rsidR="002B11CB">
        <w:t>, step by step</w:t>
      </w:r>
      <w:r w:rsidR="006E34AC">
        <w:t xml:space="preserve"> progression from that 12-station ca</w:t>
      </w:r>
      <w:r w:rsidR="00EA49D9">
        <w:t>p to unlimited group ownership.  C</w:t>
      </w:r>
      <w:r w:rsidR="006E34AC">
        <w:t>onglomerates like Sinclair</w:t>
      </w:r>
      <w:r w:rsidR="00EA49D9">
        <w:t xml:space="preserve"> could</w:t>
      </w:r>
      <w:r w:rsidR="006E34AC">
        <w:t xml:space="preserve"> own </w:t>
      </w:r>
      <w:r w:rsidR="000F2109">
        <w:t>3</w:t>
      </w:r>
      <w:r w:rsidR="00EA49D9">
        <w:t>00 to 400 stations and operate</w:t>
      </w:r>
      <w:r w:rsidR="000F2109">
        <w:t xml:space="preserve"> hundreds more within markets through sidecar deals.</w:t>
      </w:r>
      <w:r w:rsidR="006E34AC">
        <w:t xml:space="preserve">  Such an unprecedented </w:t>
      </w:r>
      <w:r w:rsidR="000F2109">
        <w:t xml:space="preserve">alteration of the television landscape contravenes the Commission’s bedrock tenets.  Indeed, it reflects a </w:t>
      </w:r>
      <w:r w:rsidR="009D41ED">
        <w:t xml:space="preserve">belief that the government should not be regulating structural ownership in media </w:t>
      </w:r>
      <w:r w:rsidR="009D41ED" w:rsidRPr="009D41ED">
        <w:rPr>
          <w:i/>
        </w:rPr>
        <w:t>at all</w:t>
      </w:r>
      <w:r w:rsidR="009D41ED">
        <w:t>.  The Commission shou</w:t>
      </w:r>
      <w:r w:rsidR="002B11CB">
        <w:t xml:space="preserve">ld firmly reject this </w:t>
      </w:r>
      <w:r w:rsidR="009D41ED">
        <w:t xml:space="preserve">approach, retain the </w:t>
      </w:r>
      <w:proofErr w:type="gramStart"/>
      <w:r w:rsidR="009D41ED">
        <w:t>Congressionally</w:t>
      </w:r>
      <w:proofErr w:type="gramEnd"/>
      <w:r w:rsidR="009D41ED">
        <w:t xml:space="preserve"> mandated 39% cap, and </w:t>
      </w:r>
      <w:r w:rsidR="002B11CB">
        <w:t>facilitate</w:t>
      </w:r>
      <w:r w:rsidR="005D65FC">
        <w:t xml:space="preserve"> a well-deserved burial for the long-discredited UHF discount.</w:t>
      </w:r>
    </w:p>
    <w:p w:rsidR="00BA339B" w:rsidRDefault="00BA339B" w:rsidP="00A930B8">
      <w:pPr>
        <w:ind w:left="1080"/>
      </w:pPr>
    </w:p>
    <w:p w:rsidR="00A778EE" w:rsidRDefault="005D65FC" w:rsidP="00D7352C">
      <w:r>
        <w:t xml:space="preserve">                   Respectfully submitted,</w:t>
      </w:r>
    </w:p>
    <w:p w:rsidR="00345214" w:rsidRDefault="002B11CB" w:rsidP="0075679D">
      <w:pPr>
        <w:ind w:left="360"/>
      </w:pPr>
      <w:r>
        <w:t xml:space="preserve">           HERNDON RESTON INDIVISIBLE</w:t>
      </w:r>
    </w:p>
    <w:p w:rsidR="002B11CB" w:rsidRDefault="002B11CB" w:rsidP="00755AA5">
      <w:pPr>
        <w:ind w:left="360"/>
      </w:pPr>
      <w:r>
        <w:t xml:space="preserve">          By:  _________________</w:t>
      </w:r>
      <w:r w:rsidR="000E42C8">
        <w:t xml:space="preserve">                                    Date:  March 19, 2018</w:t>
      </w:r>
    </w:p>
    <w:p w:rsidR="002B11CB" w:rsidRDefault="002B11CB" w:rsidP="0075679D">
      <w:pPr>
        <w:ind w:left="360"/>
      </w:pPr>
      <w:r>
        <w:t xml:space="preserve">                 </w:t>
      </w:r>
      <w:r w:rsidR="000E42C8">
        <w:t>Howard M. Weiss</w:t>
      </w:r>
    </w:p>
    <w:sectPr w:rsidR="002B11CB" w:rsidSect="00441CDA">
      <w:footerReference w:type="default" r:id="rId9"/>
      <w:pgSz w:w="12240" w:h="15840"/>
      <w:pgMar w:top="1440" w:right="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4573" w:rsidRDefault="00444573" w:rsidP="002725D3">
      <w:pPr>
        <w:spacing w:after="0" w:line="240" w:lineRule="auto"/>
      </w:pPr>
      <w:r>
        <w:separator/>
      </w:r>
    </w:p>
  </w:endnote>
  <w:endnote w:type="continuationSeparator" w:id="0">
    <w:p w:rsidR="00444573" w:rsidRDefault="00444573" w:rsidP="002725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66A4" w:rsidRDefault="002466A4">
    <w:pPr>
      <w:pStyle w:val="Footer"/>
      <w:jc w:val="center"/>
    </w:pPr>
  </w:p>
  <w:p w:rsidR="00173CAC" w:rsidRDefault="00173CAC" w:rsidP="00173CAC">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4573" w:rsidRDefault="00444573" w:rsidP="002725D3">
      <w:pPr>
        <w:spacing w:after="0" w:line="240" w:lineRule="auto"/>
      </w:pPr>
      <w:r>
        <w:separator/>
      </w:r>
    </w:p>
  </w:footnote>
  <w:footnote w:type="continuationSeparator" w:id="0">
    <w:p w:rsidR="00444573" w:rsidRDefault="00444573" w:rsidP="002725D3">
      <w:pPr>
        <w:spacing w:after="0" w:line="240" w:lineRule="auto"/>
      </w:pPr>
      <w:r>
        <w:continuationSeparator/>
      </w:r>
    </w:p>
  </w:footnote>
  <w:footnote w:id="1">
    <w:p w:rsidR="00AE7444" w:rsidRDefault="00AE7444">
      <w:pPr>
        <w:pStyle w:val="FootnoteText"/>
      </w:pPr>
      <w:r>
        <w:rPr>
          <w:rStyle w:val="FootnoteReference"/>
        </w:rPr>
        <w:footnoteRef/>
      </w:r>
      <w:r>
        <w:t xml:space="preserve"> See </w:t>
      </w:r>
      <w:r w:rsidRPr="00345214">
        <w:rPr>
          <w:i/>
        </w:rPr>
        <w:t xml:space="preserve">Consolidated Appropriations </w:t>
      </w:r>
      <w:proofErr w:type="gramStart"/>
      <w:r w:rsidRPr="00345214">
        <w:rPr>
          <w:i/>
        </w:rPr>
        <w:t>Act</w:t>
      </w:r>
      <w:r>
        <w:t xml:space="preserve">  (</w:t>
      </w:r>
      <w:proofErr w:type="spellStart"/>
      <w:proofErr w:type="gramEnd"/>
      <w:r>
        <w:t>the”</w:t>
      </w:r>
      <w:r w:rsidRPr="00DF0265">
        <w:rPr>
          <w:i/>
        </w:rPr>
        <w:t>CAA</w:t>
      </w:r>
      <w:proofErr w:type="spellEnd"/>
      <w:r>
        <w:t xml:space="preserve">”), Pub. L. 108-199, Section 629, </w:t>
      </w:r>
      <w:proofErr w:type="gramStart"/>
      <w:r>
        <w:t>118 Stat.3, 99-199 (2004)</w:t>
      </w:r>
      <w:proofErr w:type="gramEnd"/>
      <w:r>
        <w:t>.</w:t>
      </w:r>
    </w:p>
    <w:p w:rsidR="0051109D" w:rsidRDefault="0051109D">
      <w:pPr>
        <w:pStyle w:val="FootnoteText"/>
      </w:pPr>
    </w:p>
  </w:footnote>
  <w:footnote w:id="2">
    <w:p w:rsidR="0051109D" w:rsidRDefault="0051109D">
      <w:pPr>
        <w:pStyle w:val="FootnoteText"/>
      </w:pPr>
      <w:r>
        <w:rPr>
          <w:rStyle w:val="FootnoteReference"/>
        </w:rPr>
        <w:footnoteRef/>
      </w:r>
      <w:r>
        <w:t xml:space="preserve"> 18 FCC </w:t>
      </w:r>
      <w:proofErr w:type="spellStart"/>
      <w:r>
        <w:t>Rcd</w:t>
      </w:r>
      <w:proofErr w:type="spellEnd"/>
      <w:r>
        <w:t xml:space="preserve"> 13620, 13815, 13842 (2002</w:t>
      </w:r>
      <w:proofErr w:type="gramStart"/>
      <w:r>
        <w:t>)(</w:t>
      </w:r>
      <w:proofErr w:type="gramEnd"/>
      <w:r>
        <w:t>“</w:t>
      </w:r>
      <w:r w:rsidRPr="002A41C4">
        <w:rPr>
          <w:i/>
        </w:rPr>
        <w:t>2002 Biennial Review Order</w:t>
      </w:r>
      <w:r>
        <w:t>”).</w:t>
      </w:r>
    </w:p>
    <w:p w:rsidR="000917B6" w:rsidRDefault="000917B6">
      <w:pPr>
        <w:pStyle w:val="FootnoteText"/>
      </w:pPr>
    </w:p>
  </w:footnote>
  <w:footnote w:id="3">
    <w:p w:rsidR="00563AE3" w:rsidRDefault="00563AE3">
      <w:pPr>
        <w:pStyle w:val="FootnoteText"/>
      </w:pPr>
      <w:r>
        <w:rPr>
          <w:rStyle w:val="FootnoteReference"/>
        </w:rPr>
        <w:footnoteRef/>
      </w:r>
      <w:r>
        <w:t xml:space="preserve"> These data are based on the last Census and the Pew Foun</w:t>
      </w:r>
      <w:r w:rsidR="00977514">
        <w:t>d</w:t>
      </w:r>
      <w:r>
        <w:t>ation Study in 2016.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9399F"/>
    <w:multiLevelType w:val="hybridMultilevel"/>
    <w:tmpl w:val="B3E4AED6"/>
    <w:lvl w:ilvl="0" w:tplc="DD2EBEAE">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1651D44"/>
    <w:multiLevelType w:val="hybridMultilevel"/>
    <w:tmpl w:val="7C94BAC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2566E41"/>
    <w:multiLevelType w:val="hybridMultilevel"/>
    <w:tmpl w:val="0952E1AC"/>
    <w:lvl w:ilvl="0" w:tplc="05EEE27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5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26AE"/>
    <w:rsid w:val="00002181"/>
    <w:rsid w:val="00016EC1"/>
    <w:rsid w:val="00020CFC"/>
    <w:rsid w:val="00055A9C"/>
    <w:rsid w:val="00055C75"/>
    <w:rsid w:val="00076CBF"/>
    <w:rsid w:val="00077C98"/>
    <w:rsid w:val="0008206E"/>
    <w:rsid w:val="00084DE4"/>
    <w:rsid w:val="000917B6"/>
    <w:rsid w:val="000A005C"/>
    <w:rsid w:val="000A6527"/>
    <w:rsid w:val="000B1ED4"/>
    <w:rsid w:val="000B48EA"/>
    <w:rsid w:val="000C26AE"/>
    <w:rsid w:val="000D3FC7"/>
    <w:rsid w:val="000D50BE"/>
    <w:rsid w:val="000E42C8"/>
    <w:rsid w:val="000F2109"/>
    <w:rsid w:val="001115CC"/>
    <w:rsid w:val="00152E05"/>
    <w:rsid w:val="001540FB"/>
    <w:rsid w:val="0015515C"/>
    <w:rsid w:val="001671B9"/>
    <w:rsid w:val="001679EF"/>
    <w:rsid w:val="00173CAC"/>
    <w:rsid w:val="00177E77"/>
    <w:rsid w:val="001919CA"/>
    <w:rsid w:val="001960FC"/>
    <w:rsid w:val="0019778D"/>
    <w:rsid w:val="001C307C"/>
    <w:rsid w:val="001D118D"/>
    <w:rsid w:val="001D15F7"/>
    <w:rsid w:val="002007EA"/>
    <w:rsid w:val="00207497"/>
    <w:rsid w:val="002258B9"/>
    <w:rsid w:val="00234DFA"/>
    <w:rsid w:val="0023556B"/>
    <w:rsid w:val="00243255"/>
    <w:rsid w:val="002466A4"/>
    <w:rsid w:val="00257FFE"/>
    <w:rsid w:val="00271E2A"/>
    <w:rsid w:val="002725D3"/>
    <w:rsid w:val="002A1237"/>
    <w:rsid w:val="002A41C4"/>
    <w:rsid w:val="002A502F"/>
    <w:rsid w:val="002A623D"/>
    <w:rsid w:val="002B11CB"/>
    <w:rsid w:val="002B2AB4"/>
    <w:rsid w:val="002C00D8"/>
    <w:rsid w:val="002D57B9"/>
    <w:rsid w:val="002E6FA1"/>
    <w:rsid w:val="002F1A9B"/>
    <w:rsid w:val="002F6E5A"/>
    <w:rsid w:val="00302A3D"/>
    <w:rsid w:val="0033681E"/>
    <w:rsid w:val="003379C9"/>
    <w:rsid w:val="00344BE9"/>
    <w:rsid w:val="00345214"/>
    <w:rsid w:val="00357E75"/>
    <w:rsid w:val="003632B8"/>
    <w:rsid w:val="00386D7B"/>
    <w:rsid w:val="00392CB2"/>
    <w:rsid w:val="003B6CC5"/>
    <w:rsid w:val="003D2EBC"/>
    <w:rsid w:val="003E4580"/>
    <w:rsid w:val="00404C96"/>
    <w:rsid w:val="0041175F"/>
    <w:rsid w:val="00422B2E"/>
    <w:rsid w:val="00440496"/>
    <w:rsid w:val="00441CDA"/>
    <w:rsid w:val="00444573"/>
    <w:rsid w:val="00471F8F"/>
    <w:rsid w:val="00472B71"/>
    <w:rsid w:val="004800D9"/>
    <w:rsid w:val="00481BDC"/>
    <w:rsid w:val="00485C27"/>
    <w:rsid w:val="00493B5C"/>
    <w:rsid w:val="004A03C0"/>
    <w:rsid w:val="004B1A8E"/>
    <w:rsid w:val="004B4E3A"/>
    <w:rsid w:val="004D452C"/>
    <w:rsid w:val="005002B1"/>
    <w:rsid w:val="00504F92"/>
    <w:rsid w:val="0051109D"/>
    <w:rsid w:val="00520633"/>
    <w:rsid w:val="0052655C"/>
    <w:rsid w:val="0053293A"/>
    <w:rsid w:val="005521E4"/>
    <w:rsid w:val="00561369"/>
    <w:rsid w:val="00562CF9"/>
    <w:rsid w:val="00563AE3"/>
    <w:rsid w:val="005A4FE6"/>
    <w:rsid w:val="005B5B8E"/>
    <w:rsid w:val="005C617F"/>
    <w:rsid w:val="005D65FC"/>
    <w:rsid w:val="005E0318"/>
    <w:rsid w:val="005F125B"/>
    <w:rsid w:val="005F5711"/>
    <w:rsid w:val="00624843"/>
    <w:rsid w:val="00625AF6"/>
    <w:rsid w:val="00627898"/>
    <w:rsid w:val="00657C12"/>
    <w:rsid w:val="0066635F"/>
    <w:rsid w:val="00674685"/>
    <w:rsid w:val="00683ABF"/>
    <w:rsid w:val="006909B8"/>
    <w:rsid w:val="00691E93"/>
    <w:rsid w:val="006B481C"/>
    <w:rsid w:val="006C46E4"/>
    <w:rsid w:val="006C5EC8"/>
    <w:rsid w:val="006E1126"/>
    <w:rsid w:val="006E34AC"/>
    <w:rsid w:val="006E75EE"/>
    <w:rsid w:val="006F1EE0"/>
    <w:rsid w:val="006F46E7"/>
    <w:rsid w:val="00703193"/>
    <w:rsid w:val="007265D5"/>
    <w:rsid w:val="00742A46"/>
    <w:rsid w:val="00755AA5"/>
    <w:rsid w:val="0075679D"/>
    <w:rsid w:val="00761464"/>
    <w:rsid w:val="007660A4"/>
    <w:rsid w:val="0076722F"/>
    <w:rsid w:val="007807A0"/>
    <w:rsid w:val="007876EF"/>
    <w:rsid w:val="00793F78"/>
    <w:rsid w:val="00794FB8"/>
    <w:rsid w:val="007A1A62"/>
    <w:rsid w:val="007A3628"/>
    <w:rsid w:val="007B51CC"/>
    <w:rsid w:val="007C78F3"/>
    <w:rsid w:val="007D7DAA"/>
    <w:rsid w:val="007F2ADA"/>
    <w:rsid w:val="00810162"/>
    <w:rsid w:val="00812B78"/>
    <w:rsid w:val="0081401B"/>
    <w:rsid w:val="008157F8"/>
    <w:rsid w:val="00831E84"/>
    <w:rsid w:val="00835452"/>
    <w:rsid w:val="00867757"/>
    <w:rsid w:val="00874FB2"/>
    <w:rsid w:val="00880768"/>
    <w:rsid w:val="008879E4"/>
    <w:rsid w:val="008968DD"/>
    <w:rsid w:val="008A572F"/>
    <w:rsid w:val="008A6A94"/>
    <w:rsid w:val="008E6335"/>
    <w:rsid w:val="00902E67"/>
    <w:rsid w:val="00931EE7"/>
    <w:rsid w:val="00933925"/>
    <w:rsid w:val="00942104"/>
    <w:rsid w:val="0094732B"/>
    <w:rsid w:val="009628DB"/>
    <w:rsid w:val="00977514"/>
    <w:rsid w:val="00983252"/>
    <w:rsid w:val="0099060C"/>
    <w:rsid w:val="009A47E7"/>
    <w:rsid w:val="009B665F"/>
    <w:rsid w:val="009D19B9"/>
    <w:rsid w:val="009D1D9A"/>
    <w:rsid w:val="009D41ED"/>
    <w:rsid w:val="009F3391"/>
    <w:rsid w:val="00A516BF"/>
    <w:rsid w:val="00A60DB7"/>
    <w:rsid w:val="00A61E4A"/>
    <w:rsid w:val="00A778EE"/>
    <w:rsid w:val="00A8096C"/>
    <w:rsid w:val="00A85A14"/>
    <w:rsid w:val="00A930B8"/>
    <w:rsid w:val="00AA4694"/>
    <w:rsid w:val="00AA6C60"/>
    <w:rsid w:val="00AB0671"/>
    <w:rsid w:val="00AB2220"/>
    <w:rsid w:val="00AB7EEF"/>
    <w:rsid w:val="00AC6357"/>
    <w:rsid w:val="00AE6D3A"/>
    <w:rsid w:val="00AE7444"/>
    <w:rsid w:val="00B07C62"/>
    <w:rsid w:val="00B33916"/>
    <w:rsid w:val="00B34564"/>
    <w:rsid w:val="00B60181"/>
    <w:rsid w:val="00B60A1A"/>
    <w:rsid w:val="00B62B2A"/>
    <w:rsid w:val="00B64BF0"/>
    <w:rsid w:val="00B84C48"/>
    <w:rsid w:val="00B93577"/>
    <w:rsid w:val="00BA339B"/>
    <w:rsid w:val="00BB40F1"/>
    <w:rsid w:val="00BB7D8D"/>
    <w:rsid w:val="00BD1A49"/>
    <w:rsid w:val="00C04900"/>
    <w:rsid w:val="00C06862"/>
    <w:rsid w:val="00C174E0"/>
    <w:rsid w:val="00C328FC"/>
    <w:rsid w:val="00C35E22"/>
    <w:rsid w:val="00C54C77"/>
    <w:rsid w:val="00C63050"/>
    <w:rsid w:val="00C81127"/>
    <w:rsid w:val="00C8525E"/>
    <w:rsid w:val="00C85561"/>
    <w:rsid w:val="00C95EA4"/>
    <w:rsid w:val="00C9639F"/>
    <w:rsid w:val="00CB7D82"/>
    <w:rsid w:val="00CC5478"/>
    <w:rsid w:val="00CC75D7"/>
    <w:rsid w:val="00CD0674"/>
    <w:rsid w:val="00CD55A1"/>
    <w:rsid w:val="00CF4A85"/>
    <w:rsid w:val="00D1732A"/>
    <w:rsid w:val="00D25397"/>
    <w:rsid w:val="00D2707F"/>
    <w:rsid w:val="00D27500"/>
    <w:rsid w:val="00D31994"/>
    <w:rsid w:val="00D33549"/>
    <w:rsid w:val="00D56B3C"/>
    <w:rsid w:val="00D7352C"/>
    <w:rsid w:val="00DA139E"/>
    <w:rsid w:val="00DB52F5"/>
    <w:rsid w:val="00DC0DF2"/>
    <w:rsid w:val="00DC4096"/>
    <w:rsid w:val="00DF0265"/>
    <w:rsid w:val="00DF5DC6"/>
    <w:rsid w:val="00E17A22"/>
    <w:rsid w:val="00E22F4F"/>
    <w:rsid w:val="00E4427C"/>
    <w:rsid w:val="00E801D4"/>
    <w:rsid w:val="00EA49D9"/>
    <w:rsid w:val="00EA6D3B"/>
    <w:rsid w:val="00EB2B74"/>
    <w:rsid w:val="00EB728E"/>
    <w:rsid w:val="00ED0C73"/>
    <w:rsid w:val="00ED6FD1"/>
    <w:rsid w:val="00F03325"/>
    <w:rsid w:val="00F22783"/>
    <w:rsid w:val="00F66E4C"/>
    <w:rsid w:val="00F84B45"/>
    <w:rsid w:val="00F8659E"/>
    <w:rsid w:val="00F93A1C"/>
    <w:rsid w:val="00F95042"/>
    <w:rsid w:val="00FA4E72"/>
    <w:rsid w:val="00FB037F"/>
    <w:rsid w:val="00FB197D"/>
    <w:rsid w:val="00FB6F3A"/>
    <w:rsid w:val="00FF3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D3A"/>
    <w:pPr>
      <w:ind w:left="720"/>
      <w:contextualSpacing/>
    </w:pPr>
  </w:style>
  <w:style w:type="paragraph" w:styleId="FootnoteText">
    <w:name w:val="footnote text"/>
    <w:basedOn w:val="Normal"/>
    <w:link w:val="FootnoteTextChar"/>
    <w:uiPriority w:val="99"/>
    <w:semiHidden/>
    <w:unhideWhenUsed/>
    <w:rsid w:val="002725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25D3"/>
    <w:rPr>
      <w:sz w:val="20"/>
      <w:szCs w:val="20"/>
    </w:rPr>
  </w:style>
  <w:style w:type="character" w:styleId="FootnoteReference">
    <w:name w:val="footnote reference"/>
    <w:basedOn w:val="DefaultParagraphFont"/>
    <w:uiPriority w:val="99"/>
    <w:semiHidden/>
    <w:unhideWhenUsed/>
    <w:rsid w:val="002725D3"/>
    <w:rPr>
      <w:vertAlign w:val="superscript"/>
    </w:rPr>
  </w:style>
  <w:style w:type="paragraph" w:styleId="Header">
    <w:name w:val="header"/>
    <w:basedOn w:val="Normal"/>
    <w:link w:val="HeaderChar"/>
    <w:uiPriority w:val="99"/>
    <w:unhideWhenUsed/>
    <w:rsid w:val="00173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CAC"/>
  </w:style>
  <w:style w:type="paragraph" w:styleId="Footer">
    <w:name w:val="footer"/>
    <w:basedOn w:val="Normal"/>
    <w:link w:val="FooterChar"/>
    <w:uiPriority w:val="99"/>
    <w:unhideWhenUsed/>
    <w:rsid w:val="00173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C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E6D3A"/>
    <w:pPr>
      <w:ind w:left="720"/>
      <w:contextualSpacing/>
    </w:pPr>
  </w:style>
  <w:style w:type="paragraph" w:styleId="FootnoteText">
    <w:name w:val="footnote text"/>
    <w:basedOn w:val="Normal"/>
    <w:link w:val="FootnoteTextChar"/>
    <w:uiPriority w:val="99"/>
    <w:semiHidden/>
    <w:unhideWhenUsed/>
    <w:rsid w:val="002725D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725D3"/>
    <w:rPr>
      <w:sz w:val="20"/>
      <w:szCs w:val="20"/>
    </w:rPr>
  </w:style>
  <w:style w:type="character" w:styleId="FootnoteReference">
    <w:name w:val="footnote reference"/>
    <w:basedOn w:val="DefaultParagraphFont"/>
    <w:uiPriority w:val="99"/>
    <w:semiHidden/>
    <w:unhideWhenUsed/>
    <w:rsid w:val="002725D3"/>
    <w:rPr>
      <w:vertAlign w:val="superscript"/>
    </w:rPr>
  </w:style>
  <w:style w:type="paragraph" w:styleId="Header">
    <w:name w:val="header"/>
    <w:basedOn w:val="Normal"/>
    <w:link w:val="HeaderChar"/>
    <w:uiPriority w:val="99"/>
    <w:unhideWhenUsed/>
    <w:rsid w:val="00173C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CAC"/>
  </w:style>
  <w:style w:type="paragraph" w:styleId="Footer">
    <w:name w:val="footer"/>
    <w:basedOn w:val="Normal"/>
    <w:link w:val="FooterChar"/>
    <w:uiPriority w:val="99"/>
    <w:unhideWhenUsed/>
    <w:rsid w:val="00173CA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C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463D80-A22F-4810-AC65-C10009D2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1392</TotalTime>
  <Pages>6</Pages>
  <Words>2844</Words>
  <Characters>16212</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EOP</Company>
  <LinksUpToDate>false</LinksUpToDate>
  <CharactersWithSpaces>19018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16</cp:revision>
  <dcterms:created xsi:type="dcterms:W3CDTF">2018-03-16T21:46:00Z</dcterms:created>
  <dcterms:modified xsi:type="dcterms:W3CDTF">2018-03-19T21:50:00Z</dcterms:modified>
</cp:coreProperties>
</file>