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AB917" w14:textId="77777777"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14:paraId="4FCB768E" w14:textId="77777777" w:rsidR="0018543F" w:rsidRPr="0018543F" w:rsidRDefault="0018543F" w:rsidP="0018543F">
      <w:pPr>
        <w:widowControl w:val="0"/>
        <w:autoSpaceDE w:val="0"/>
        <w:autoSpaceDN w:val="0"/>
        <w:adjustRightInd w:val="0"/>
        <w:spacing w:line="384" w:lineRule="exact"/>
        <w:rPr>
          <w:rFonts w:ascii="Times New Roman" w:eastAsia="Times New Roman" w:hAnsi="Times New Roman" w:cs="Times New Roman"/>
          <w:sz w:val="24"/>
          <w:szCs w:val="24"/>
        </w:rPr>
      </w:pPr>
    </w:p>
    <w:p w14:paraId="4B8FFF33" w14:textId="77777777" w:rsidR="0018543F" w:rsidRPr="0018543F" w:rsidRDefault="0018543F" w:rsidP="0018543F">
      <w:pPr>
        <w:widowControl w:val="0"/>
        <w:autoSpaceDE w:val="0"/>
        <w:autoSpaceDN w:val="0"/>
        <w:adjustRightInd w:val="0"/>
        <w:ind w:left="292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UNITED STATES OF AMERICA</w:t>
      </w:r>
    </w:p>
    <w:p w14:paraId="6E3E2AA8" w14:textId="77777777" w:rsidR="0018543F" w:rsidRPr="0018543F" w:rsidRDefault="0018543F" w:rsidP="0018543F">
      <w:pPr>
        <w:widowControl w:val="0"/>
        <w:autoSpaceDE w:val="0"/>
        <w:autoSpaceDN w:val="0"/>
        <w:adjustRightInd w:val="0"/>
        <w:spacing w:line="120" w:lineRule="exact"/>
        <w:rPr>
          <w:rFonts w:ascii="Times New Roman" w:eastAsia="Times New Roman" w:hAnsi="Times New Roman" w:cs="Times New Roman"/>
          <w:sz w:val="24"/>
          <w:szCs w:val="24"/>
        </w:rPr>
      </w:pPr>
    </w:p>
    <w:p w14:paraId="61F754C8" w14:textId="77777777" w:rsidR="0018543F" w:rsidRPr="0018543F" w:rsidRDefault="0018543F" w:rsidP="0018543F">
      <w:pPr>
        <w:widowControl w:val="0"/>
        <w:autoSpaceDE w:val="0"/>
        <w:autoSpaceDN w:val="0"/>
        <w:adjustRightInd w:val="0"/>
        <w:ind w:left="100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DRAFT PROPOSALS FOR THE WORK OF THE CONFERENCE</w:t>
      </w:r>
    </w:p>
    <w:p w14:paraId="687C7045" w14:textId="77777777" w:rsidR="0018543F" w:rsidRPr="0018543F" w:rsidRDefault="0018543F" w:rsidP="0018543F">
      <w:pPr>
        <w:spacing w:line="314" w:lineRule="auto"/>
        <w:jc w:val="center"/>
        <w:rPr>
          <w:rFonts w:ascii="Times New Roman" w:eastAsia="Times New Roman" w:hAnsi="Times New Roman" w:cs="Times New Roman"/>
          <w:b/>
          <w:sz w:val="24"/>
          <w:szCs w:val="24"/>
        </w:rPr>
      </w:pPr>
    </w:p>
    <w:p w14:paraId="08EBEB53" w14:textId="77777777"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14:paraId="5DAF83FA" w14:textId="77777777" w:rsidR="0018543F" w:rsidRPr="0018543F" w:rsidRDefault="0018543F" w:rsidP="0018543F">
      <w:pPr>
        <w:widowControl w:val="0"/>
        <w:autoSpaceDE w:val="0"/>
        <w:autoSpaceDN w:val="0"/>
        <w:adjustRightInd w:val="0"/>
        <w:spacing w:line="314" w:lineRule="exact"/>
        <w:rPr>
          <w:rFonts w:ascii="Times New Roman" w:eastAsia="Times New Roman" w:hAnsi="Times New Roman" w:cs="Times New Roman"/>
          <w:sz w:val="24"/>
          <w:szCs w:val="24"/>
        </w:rPr>
      </w:pPr>
    </w:p>
    <w:p w14:paraId="3166E9D5" w14:textId="77777777" w:rsidR="0018543F" w:rsidRPr="0018543F" w:rsidRDefault="0018543F" w:rsidP="0018543F">
      <w:pPr>
        <w:rPr>
          <w:rFonts w:ascii="Times New Roman" w:hAnsi="Times New Roman" w:cs="Times New Roman"/>
          <w:sz w:val="24"/>
          <w:szCs w:val="24"/>
        </w:rPr>
      </w:pPr>
      <w:r w:rsidRPr="0018543F">
        <w:rPr>
          <w:rFonts w:ascii="Times New Roman" w:hAnsi="Times New Roman" w:cs="Times New Roman"/>
          <w:b/>
          <w:sz w:val="24"/>
          <w:szCs w:val="24"/>
        </w:rPr>
        <w:t>Agenda Item 1.1:</w:t>
      </w:r>
      <w:r w:rsidRPr="0018543F">
        <w:rPr>
          <w:rFonts w:ascii="Times New Roman" w:hAnsi="Times New Roman" w:cs="Times New Roman"/>
          <w:sz w:val="24"/>
          <w:szCs w:val="24"/>
        </w:rPr>
        <w:t xml:space="preserve"> </w:t>
      </w:r>
      <w:r w:rsidRPr="0018543F">
        <w:rPr>
          <w:rFonts w:ascii="Times New Roman" w:hAnsi="Times New Roman" w:cs="Times New Roman"/>
          <w:i/>
          <w:sz w:val="24"/>
          <w:szCs w:val="24"/>
        </w:rPr>
        <w:t xml:space="preserve">to consider an allocation of the frequency band 50-54 MHz to the amateur service in Region 1, in accordance with </w:t>
      </w:r>
      <w:r w:rsidRPr="0018543F">
        <w:rPr>
          <w:rFonts w:ascii="Times New Roman" w:hAnsi="Times New Roman" w:cs="Times New Roman"/>
          <w:b/>
          <w:i/>
          <w:sz w:val="24"/>
          <w:szCs w:val="24"/>
        </w:rPr>
        <w:t>Resolution 658 (WRC-15)</w:t>
      </w:r>
    </w:p>
    <w:p w14:paraId="54256C51" w14:textId="77777777" w:rsidR="0018543F" w:rsidRPr="0018543F" w:rsidRDefault="0018543F" w:rsidP="0018543F">
      <w:pPr>
        <w:widowControl w:val="0"/>
        <w:autoSpaceDE w:val="0"/>
        <w:autoSpaceDN w:val="0"/>
        <w:adjustRightInd w:val="0"/>
        <w:rPr>
          <w:rFonts w:ascii="Times New Roman" w:eastAsia="Times New Roman" w:hAnsi="Times New Roman" w:cs="Times New Roman"/>
          <w:b/>
          <w:sz w:val="24"/>
          <w:szCs w:val="24"/>
        </w:rPr>
      </w:pPr>
    </w:p>
    <w:p w14:paraId="3AB93465" w14:textId="77777777"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b/>
          <w:sz w:val="24"/>
          <w:szCs w:val="24"/>
        </w:rPr>
      </w:pPr>
      <w:r w:rsidRPr="0018543F">
        <w:rPr>
          <w:rFonts w:ascii="Times New Roman" w:hAnsi="Times New Roman" w:cs="Times New Roman"/>
          <w:b/>
          <w:sz w:val="24"/>
          <w:szCs w:val="24"/>
        </w:rPr>
        <w:t>Background</w:t>
      </w:r>
    </w:p>
    <w:p w14:paraId="6E1BDFC7" w14:textId="77777777"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b/>
          <w:sz w:val="24"/>
          <w:szCs w:val="24"/>
        </w:rPr>
      </w:pPr>
    </w:p>
    <w:p w14:paraId="3E64D45F" w14:textId="77777777"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sz w:val="24"/>
          <w:szCs w:val="24"/>
        </w:rPr>
      </w:pPr>
      <w:r w:rsidRPr="0018543F">
        <w:rPr>
          <w:rFonts w:ascii="Times New Roman" w:eastAsia="SimSun" w:hAnsi="Times New Roman" w:cs="Times New Roman"/>
          <w:bCs/>
          <w:sz w:val="24"/>
          <w:szCs w:val="24"/>
          <w:lang w:eastAsia="zh-CN"/>
        </w:rPr>
        <w:t>The</w:t>
      </w:r>
      <w:r w:rsidRPr="0018543F">
        <w:rPr>
          <w:rFonts w:ascii="Times New Roman" w:eastAsia="SimSun" w:hAnsi="Times New Roman" w:cs="Times New Roman"/>
          <w:b/>
          <w:bCs/>
          <w:sz w:val="24"/>
          <w:szCs w:val="24"/>
          <w:lang w:eastAsia="zh-CN"/>
        </w:rPr>
        <w:t xml:space="preserve"> </w:t>
      </w:r>
      <w:r w:rsidRPr="0018543F">
        <w:rPr>
          <w:rFonts w:ascii="Times New Roman" w:eastAsia="SimSun" w:hAnsi="Times New Roman" w:cs="Times New Roman"/>
          <w:sz w:val="24"/>
          <w:szCs w:val="24"/>
          <w:lang w:eastAsia="zh-CN"/>
        </w:rPr>
        <w:t xml:space="preserve">WRC-19 agenda item 1.1, if adopted, </w:t>
      </w:r>
      <w:r w:rsidRPr="0018543F">
        <w:rPr>
          <w:rFonts w:ascii="Times New Roman" w:hAnsi="Times New Roman" w:cs="Times New Roman"/>
          <w:sz w:val="24"/>
          <w:szCs w:val="24"/>
        </w:rPr>
        <w:t xml:space="preserve">would facilitate global harmonization of the 50-54 MHz frequency band for the Amateur Service. </w:t>
      </w:r>
    </w:p>
    <w:p w14:paraId="3D341CC0" w14:textId="77777777"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sz w:val="24"/>
          <w:szCs w:val="24"/>
        </w:rPr>
      </w:pPr>
    </w:p>
    <w:p w14:paraId="133FBC3B" w14:textId="77777777"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Fonts w:ascii="Times New Roman" w:hAnsi="Times New Roman" w:cs="Times New Roman"/>
          <w:sz w:val="24"/>
          <w:szCs w:val="24"/>
        </w:rPr>
        <w:t xml:space="preserve">The 50 – 54 MHz frequency band is currently allocated to the amateur service on a primary basis </w:t>
      </w:r>
      <w:r w:rsidRPr="0018543F">
        <w:rPr>
          <w:rStyle w:val="ECCParagraph"/>
          <w:rFonts w:ascii="Times New Roman" w:hAnsi="Times New Roman" w:cs="Times New Roman"/>
          <w:sz w:val="24"/>
          <w:szCs w:val="24"/>
        </w:rPr>
        <w:t xml:space="preserve">in Regions 2 and 3.  In Region 1, the band is currently allocated to only the Broadcasting Service on a primary basis. However, No. 5.169 of the Radio Regulations provides for an alternate allocation to the amateur service on a primary basis to a number of countries in Region 1, and No. 5.165 provides an alternate fixed and mobile, except aeronautical mobile, allocation on a primary basis to a number of countries in Region 1. </w:t>
      </w:r>
    </w:p>
    <w:p w14:paraId="0F24EC0B" w14:textId="77777777"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p>
    <w:p w14:paraId="168015D9" w14:textId="77777777"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WRC-15 decided to study the sharing between the amateur service and incumbent services in Region 1 towards a primary allocation that would facilitate further worldwide harmonisation and international operability.  The opportunity provided by Agenda Item 1.1 to achieve global harmonisation would provide the means to introduce new and innovative systems, as well as harmonizing existing amateur service usage in the range 50 - 54 MHz.</w:t>
      </w:r>
    </w:p>
    <w:p w14:paraId="4AD2F3FB" w14:textId="77777777" w:rsidR="0018543F" w:rsidRPr="0018543F" w:rsidRDefault="0018543F" w:rsidP="0018543F">
      <w:pPr>
        <w:jc w:val="both"/>
        <w:rPr>
          <w:rStyle w:val="ECCParagraph"/>
          <w:rFonts w:ascii="Times New Roman" w:hAnsi="Times New Roman" w:cs="Times New Roman"/>
          <w:sz w:val="24"/>
          <w:szCs w:val="24"/>
        </w:rPr>
      </w:pPr>
    </w:p>
    <w:p w14:paraId="19E6CF55" w14:textId="77777777"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frequency range 30 - 80 MHz marks the </w:t>
      </w:r>
      <w:r>
        <w:rPr>
          <w:rStyle w:val="ECCParagraph"/>
          <w:rFonts w:ascii="Times New Roman" w:hAnsi="Times New Roman" w:cs="Times New Roman"/>
          <w:sz w:val="24"/>
          <w:szCs w:val="24"/>
        </w:rPr>
        <w:t>transition</w:t>
      </w:r>
      <w:r w:rsidRPr="0018543F">
        <w:rPr>
          <w:rStyle w:val="ECCParagraph"/>
          <w:rFonts w:ascii="Times New Roman" w:hAnsi="Times New Roman" w:cs="Times New Roman"/>
          <w:sz w:val="24"/>
          <w:szCs w:val="24"/>
        </w:rPr>
        <w:t xml:space="preserve"> area between ionospheric and non-ionospheric propagation modes, which makes it particularly interesting for experimentation and study within the amateur service.  </w:t>
      </w:r>
    </w:p>
    <w:p w14:paraId="46ACBFFA" w14:textId="77777777" w:rsidR="0018543F" w:rsidRPr="0018543F" w:rsidRDefault="0018543F" w:rsidP="0018543F">
      <w:pPr>
        <w:pStyle w:val="ECCBulletsLv2"/>
        <w:numPr>
          <w:ilvl w:val="0"/>
          <w:numId w:val="0"/>
        </w:numPr>
        <w:ind w:left="680"/>
        <w:rPr>
          <w:rFonts w:ascii="Times New Roman" w:hAnsi="Times New Roman"/>
          <w:sz w:val="24"/>
          <w:szCs w:val="24"/>
        </w:rPr>
      </w:pPr>
    </w:p>
    <w:p w14:paraId="6C4DBA53" w14:textId="77777777"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technical and operational characteristics of systems used in the amateur service for the purpose of performing sharing studies can be found in </w:t>
      </w:r>
      <w:r w:rsidRPr="0018543F">
        <w:rPr>
          <w:rStyle w:val="ECCParagraph"/>
          <w:rFonts w:ascii="Times New Roman" w:hAnsi="Times New Roman" w:cs="Times New Roman"/>
          <w:sz w:val="24"/>
          <w:szCs w:val="24"/>
          <w:lang w:val="en-US"/>
        </w:rPr>
        <w:t>ITU-R Recommendation M.1732</w:t>
      </w:r>
      <w:r w:rsidRPr="0018543F">
        <w:rPr>
          <w:rStyle w:val="ECCParagraph"/>
          <w:rFonts w:ascii="Times New Roman" w:hAnsi="Times New Roman" w:cs="Times New Roman"/>
          <w:sz w:val="24"/>
          <w:szCs w:val="24"/>
        </w:rPr>
        <w:t>.</w:t>
      </w:r>
    </w:p>
    <w:p w14:paraId="7CF2008E" w14:textId="77777777" w:rsidR="0018543F" w:rsidRPr="0018543F" w:rsidRDefault="0018543F" w:rsidP="0018543F">
      <w:pPr>
        <w:jc w:val="both"/>
        <w:rPr>
          <w:rStyle w:val="ECCParagraph"/>
          <w:rFonts w:ascii="Times New Roman" w:hAnsi="Times New Roman" w:cs="Times New Roman"/>
          <w:sz w:val="24"/>
          <w:szCs w:val="24"/>
        </w:rPr>
      </w:pPr>
    </w:p>
    <w:p w14:paraId="6B0C31E8" w14:textId="77777777"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Radio amateurs utilise allocations to the amateur service to engage in scientific and technical investigation and experimentation, provide communication in the wake of natural disasters, provide non-commercial public service communications, and conduct other activities to advance technical education, develop radio operating technique, and enhance international goodwill.</w:t>
      </w:r>
    </w:p>
    <w:p w14:paraId="4DE387E4" w14:textId="77777777" w:rsidR="0018543F" w:rsidRPr="0018543F" w:rsidRDefault="0018543F" w:rsidP="0018543F">
      <w:pPr>
        <w:jc w:val="both"/>
        <w:rPr>
          <w:rStyle w:val="ECCParagraph"/>
          <w:rFonts w:ascii="Times New Roman" w:hAnsi="Times New Roman" w:cs="Times New Roman"/>
          <w:sz w:val="24"/>
          <w:szCs w:val="24"/>
        </w:rPr>
      </w:pPr>
    </w:p>
    <w:p w14:paraId="2CE12459"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The radiocommunication systems that operate amateur and amateur satellite services have open communication systems, through which messages are transmitted to different geographical regions for experimentation.</w:t>
      </w:r>
    </w:p>
    <w:p w14:paraId="543C4119"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14:paraId="269A42F6"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lastRenderedPageBreak/>
        <w:t xml:space="preserve">Radio amateurs foster a source of experience in the exploration of propagation phenomena and the development of technologies for the efficient use of the radio spectrum and provide an opportunity for learning for all regardless of their location and/or social status. </w:t>
      </w:r>
    </w:p>
    <w:p w14:paraId="070799E8"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14:paraId="49A81825"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In addition to this, it is vital to consider and recognize the technical contributions made to telecommunications and the valuable support provided in cases of natural disasters, which also fulfill a social mission by being used to establish emergency communications.</w:t>
      </w:r>
    </w:p>
    <w:p w14:paraId="50B32C7D"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14:paraId="04BEAA94"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On this regard, the users of the different frequency bands that have allocation to the Amateur and Amateur Satellite Services, particularly in the frequency band 50-54 MHz, must comply with the provisions of the Radio Regulations in force, as well as international or regional agreements and the national regulations that apply to them.</w:t>
      </w:r>
    </w:p>
    <w:p w14:paraId="21A2AA36" w14:textId="77777777"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highlight w:val="yellow"/>
          <w:lang w:val="en" w:eastAsia="es-MX"/>
        </w:rPr>
      </w:pPr>
    </w:p>
    <w:p w14:paraId="7868A72A"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The band is also considered to provide the transition between propagation conditions existing in higher HF frequency bands and VHF spectrum. This situation provides valuable experience in F2, Sporadic E, Meteor Scatter and Transequatorial propagation. Beacons are installed in the first portion of the band to serve as propagation indicators. </w:t>
      </w:r>
    </w:p>
    <w:p w14:paraId="61E1F662"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14:paraId="34B5FED2"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Furthermore, in recent years additional propagation studies have been made possible through the granting of all or parts of the frequency band 50-54 MHz to the amateur service in a number of Region 1 countries. As a result, amateur licensees in Region 2 have been able to communicate with Region 1 licensees when propagation conditions permit. </w:t>
      </w:r>
    </w:p>
    <w:p w14:paraId="44FD835F"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14:paraId="4CA5BF7C" w14:textId="77777777" w:rsidR="0018543F" w:rsidRPr="0018543F" w:rsidRDefault="0018543F" w:rsidP="0018543F">
      <w:pPr>
        <w:widowControl w:val="0"/>
        <w:autoSpaceDE w:val="0"/>
        <w:autoSpaceDN w:val="0"/>
        <w:adjustRightInd w:val="0"/>
        <w:jc w:val="both"/>
        <w:rPr>
          <w:rFonts w:ascii="Times New Roman" w:hAnsi="Times New Roman" w:cs="Times New Roman"/>
          <w:sz w:val="24"/>
          <w:szCs w:val="24"/>
          <w:lang w:val="en-GB"/>
        </w:rPr>
      </w:pPr>
      <w:r w:rsidRPr="0018543F">
        <w:rPr>
          <w:rFonts w:ascii="Times New Roman" w:hAnsi="Times New Roman" w:cs="Times New Roman"/>
          <w:sz w:val="24"/>
          <w:szCs w:val="24"/>
        </w:rPr>
        <w:t xml:space="preserve">These characteristics and the use of the band fulfill the objective of the service as defined in article 1.56 of the Radio Regulations and </w:t>
      </w:r>
      <w:r w:rsidRPr="0018543F">
        <w:rPr>
          <w:rStyle w:val="ECCParagraph"/>
          <w:rFonts w:ascii="Times New Roman" w:hAnsi="Times New Roman" w:cs="Times New Roman"/>
          <w:sz w:val="24"/>
          <w:szCs w:val="24"/>
        </w:rPr>
        <w:t>engage the practitioners in scientific and technical investigations, as well as helping to develop radio operating techniques also useful for emergency communications.</w:t>
      </w:r>
    </w:p>
    <w:p w14:paraId="0DAFC813" w14:textId="77777777" w:rsidR="0018543F" w:rsidRDefault="0018543F" w:rsidP="0018543F">
      <w:pPr>
        <w:widowControl w:val="0"/>
        <w:autoSpaceDE w:val="0"/>
        <w:autoSpaceDN w:val="0"/>
        <w:adjustRightInd w:val="0"/>
        <w:spacing w:line="264" w:lineRule="exact"/>
        <w:rPr>
          <w:rFonts w:ascii="Times New Roman" w:eastAsia="Times New Roman" w:hAnsi="Times New Roman" w:cs="Times New Roman"/>
          <w:sz w:val="24"/>
          <w:szCs w:val="24"/>
          <w:lang w:val="en-GB"/>
        </w:rPr>
      </w:pPr>
    </w:p>
    <w:p w14:paraId="2B9B3414" w14:textId="77777777" w:rsidR="0018543F" w:rsidRPr="0018543F" w:rsidRDefault="0018543F" w:rsidP="0018543F">
      <w:pPr>
        <w:widowControl w:val="0"/>
        <w:autoSpaceDE w:val="0"/>
        <w:autoSpaceDN w:val="0"/>
        <w:adjustRightInd w:val="0"/>
        <w:spacing w:line="264" w:lineRule="exact"/>
        <w:rPr>
          <w:rFonts w:ascii="Times New Roman" w:eastAsia="Times New Roman" w:hAnsi="Times New Roman" w:cs="Times New Roman"/>
          <w:sz w:val="24"/>
          <w:szCs w:val="24"/>
          <w:lang w:val="en-GB"/>
        </w:rPr>
      </w:pPr>
    </w:p>
    <w:p w14:paraId="7C29BF6D" w14:textId="77777777" w:rsidR="0018543F" w:rsidRPr="0018543F" w:rsidRDefault="0018543F" w:rsidP="0018543F">
      <w:pPr>
        <w:widowControl w:val="0"/>
        <w:autoSpaceDE w:val="0"/>
        <w:autoSpaceDN w:val="0"/>
        <w:adjustRightInd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Proposal</w:t>
      </w:r>
      <w:r w:rsidRPr="0018543F">
        <w:rPr>
          <w:rFonts w:ascii="Times New Roman" w:eastAsia="Times New Roman" w:hAnsi="Times New Roman" w:cs="Times New Roman"/>
          <w:sz w:val="24"/>
          <w:szCs w:val="24"/>
        </w:rPr>
        <w:t>:</w:t>
      </w:r>
    </w:p>
    <w:p w14:paraId="68A1A278" w14:textId="77777777"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14:paraId="1BE2C8C3" w14:textId="77777777" w:rsidR="0018543F" w:rsidRDefault="0018543F" w:rsidP="0018543F">
      <w:pPr>
        <w:widowControl w:val="0"/>
        <w:tabs>
          <w:tab w:val="num" w:pos="2600"/>
        </w:tabs>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u w:val="single"/>
        </w:rPr>
        <w:t>NOC</w:t>
      </w:r>
      <w:r w:rsidRPr="0018543F">
        <w:rPr>
          <w:rFonts w:ascii="Times New Roman" w:eastAsia="Times New Roman" w:hAnsi="Times New Roman" w:cs="Times New Roman"/>
          <w:sz w:val="24"/>
          <w:szCs w:val="24"/>
        </w:rPr>
        <w:tab/>
      </w:r>
      <w:r>
        <w:rPr>
          <w:rFonts w:ascii="Times New Roman" w:eastAsia="Times New Roman" w:hAnsi="Times New Roman" w:cs="Times New Roman"/>
          <w:b/>
          <w:bCs/>
          <w:sz w:val="24"/>
          <w:szCs w:val="24"/>
        </w:rPr>
        <w:t>USA/1.1</w:t>
      </w:r>
      <w:r w:rsidRPr="0018543F">
        <w:rPr>
          <w:rFonts w:ascii="Times New Roman" w:eastAsia="Times New Roman" w:hAnsi="Times New Roman" w:cs="Times New Roman"/>
          <w:b/>
          <w:bCs/>
          <w:sz w:val="24"/>
          <w:szCs w:val="24"/>
        </w:rPr>
        <w:t>/1</w:t>
      </w:r>
    </w:p>
    <w:p w14:paraId="663C9B48" w14:textId="77777777" w:rsidR="0018543F" w:rsidRPr="00E13DE8" w:rsidRDefault="0018543F" w:rsidP="0018543F">
      <w:pPr>
        <w:widowControl w:val="0"/>
        <w:tabs>
          <w:tab w:val="num" w:pos="2600"/>
        </w:tabs>
        <w:autoSpaceDE w:val="0"/>
        <w:autoSpaceDN w:val="0"/>
        <w:adjustRightInd w:val="0"/>
        <w:rPr>
          <w:ins w:id="0" w:author="Author"/>
          <w:rFonts w:ascii="Times New Roman" w:eastAsia="Times New Roman" w:hAnsi="Times New Roman" w:cs="Times New Roman"/>
          <w:strike/>
          <w:sz w:val="24"/>
          <w:szCs w:val="24"/>
        </w:rPr>
      </w:pPr>
    </w:p>
    <w:p w14:paraId="3E1E0D12" w14:textId="77777777" w:rsidR="00C96921" w:rsidRPr="00E13DE8" w:rsidRDefault="00C96921" w:rsidP="00C96921">
      <w:pPr>
        <w:pStyle w:val="Tabletitle"/>
        <w:rPr>
          <w:strike/>
        </w:rPr>
      </w:pPr>
      <w:ins w:id="1" w:author="Author">
        <w:r w:rsidRPr="00E13DE8">
          <w:rPr>
            <w:strike/>
            <w:lang w:val="en-AU"/>
          </w:rPr>
          <w:t>47-75.2 MHz</w:t>
        </w:r>
      </w:ins>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C96921" w:rsidRPr="00E13DE8" w14:paraId="66B78C0A" w14:textId="77777777" w:rsidTr="00973161">
        <w:trPr>
          <w:cantSplit/>
          <w:jc w:val="center"/>
          <w:ins w:id="2" w:author="Author"/>
        </w:trPr>
        <w:tc>
          <w:tcPr>
            <w:tcW w:w="9299" w:type="dxa"/>
            <w:gridSpan w:val="3"/>
            <w:tcBorders>
              <w:top w:val="single" w:sz="4" w:space="0" w:color="auto"/>
              <w:left w:val="single" w:sz="4" w:space="0" w:color="auto"/>
              <w:bottom w:val="single" w:sz="4" w:space="0" w:color="auto"/>
              <w:right w:val="single" w:sz="4" w:space="0" w:color="auto"/>
            </w:tcBorders>
            <w:hideMark/>
          </w:tcPr>
          <w:p w14:paraId="21E8454E" w14:textId="77777777" w:rsidR="00C96921" w:rsidRPr="00E13DE8" w:rsidRDefault="00C96921" w:rsidP="00973161">
            <w:pPr>
              <w:pStyle w:val="Tablehead"/>
              <w:rPr>
                <w:ins w:id="3" w:author="Author"/>
                <w:strike/>
              </w:rPr>
            </w:pPr>
            <w:ins w:id="4" w:author="Author">
              <w:r w:rsidRPr="00E13DE8">
                <w:rPr>
                  <w:strike/>
                </w:rPr>
                <w:t>Allocation to services</w:t>
              </w:r>
            </w:ins>
          </w:p>
        </w:tc>
      </w:tr>
      <w:tr w:rsidR="00C96921" w:rsidRPr="00E13DE8" w14:paraId="54DF28E6" w14:textId="77777777" w:rsidTr="00973161">
        <w:trPr>
          <w:cantSplit/>
          <w:jc w:val="center"/>
          <w:ins w:id="5" w:author="Author"/>
        </w:trPr>
        <w:tc>
          <w:tcPr>
            <w:tcW w:w="3100" w:type="dxa"/>
            <w:tcBorders>
              <w:top w:val="single" w:sz="4" w:space="0" w:color="auto"/>
              <w:left w:val="single" w:sz="4" w:space="0" w:color="auto"/>
              <w:bottom w:val="single" w:sz="4" w:space="0" w:color="auto"/>
              <w:right w:val="single" w:sz="4" w:space="0" w:color="auto"/>
            </w:tcBorders>
            <w:hideMark/>
          </w:tcPr>
          <w:p w14:paraId="2A843925" w14:textId="77777777" w:rsidR="00C96921" w:rsidRPr="00E13DE8" w:rsidRDefault="00C96921" w:rsidP="00973161">
            <w:pPr>
              <w:pStyle w:val="Tablehead"/>
              <w:rPr>
                <w:ins w:id="6" w:author="Author"/>
                <w:strike/>
              </w:rPr>
            </w:pPr>
            <w:ins w:id="7" w:author="Author">
              <w:r w:rsidRPr="00E13DE8">
                <w:rPr>
                  <w:strike/>
                </w:rPr>
                <w:t>Region 1</w:t>
              </w:r>
            </w:ins>
          </w:p>
        </w:tc>
        <w:tc>
          <w:tcPr>
            <w:tcW w:w="3099" w:type="dxa"/>
            <w:tcBorders>
              <w:top w:val="single" w:sz="4" w:space="0" w:color="auto"/>
              <w:left w:val="single" w:sz="4" w:space="0" w:color="auto"/>
              <w:bottom w:val="single" w:sz="4" w:space="0" w:color="auto"/>
              <w:right w:val="single" w:sz="4" w:space="0" w:color="auto"/>
            </w:tcBorders>
            <w:hideMark/>
          </w:tcPr>
          <w:p w14:paraId="2D910E4B" w14:textId="77777777" w:rsidR="00C96921" w:rsidRPr="00E13DE8" w:rsidRDefault="00C96921" w:rsidP="00973161">
            <w:pPr>
              <w:pStyle w:val="Tablehead"/>
              <w:rPr>
                <w:ins w:id="8" w:author="Author"/>
                <w:strike/>
              </w:rPr>
            </w:pPr>
            <w:ins w:id="9" w:author="Author">
              <w:r w:rsidRPr="00E13DE8">
                <w:rPr>
                  <w:strike/>
                </w:rPr>
                <w:t>Region 2</w:t>
              </w:r>
            </w:ins>
          </w:p>
        </w:tc>
        <w:tc>
          <w:tcPr>
            <w:tcW w:w="3100" w:type="dxa"/>
            <w:tcBorders>
              <w:top w:val="single" w:sz="4" w:space="0" w:color="auto"/>
              <w:left w:val="single" w:sz="4" w:space="0" w:color="auto"/>
              <w:bottom w:val="single" w:sz="4" w:space="0" w:color="auto"/>
              <w:right w:val="single" w:sz="4" w:space="0" w:color="auto"/>
            </w:tcBorders>
            <w:hideMark/>
          </w:tcPr>
          <w:p w14:paraId="30DE2285" w14:textId="77777777" w:rsidR="00C96921" w:rsidRPr="00E13DE8" w:rsidRDefault="00C96921" w:rsidP="00973161">
            <w:pPr>
              <w:pStyle w:val="Tablehead"/>
              <w:rPr>
                <w:ins w:id="10" w:author="Author"/>
                <w:strike/>
              </w:rPr>
            </w:pPr>
            <w:ins w:id="11" w:author="Author">
              <w:r w:rsidRPr="00E13DE8">
                <w:rPr>
                  <w:strike/>
                </w:rPr>
                <w:t>Region 3</w:t>
              </w:r>
            </w:ins>
          </w:p>
        </w:tc>
      </w:tr>
      <w:tr w:rsidR="00C96921" w:rsidRPr="00E13DE8" w14:paraId="010458A2" w14:textId="77777777" w:rsidTr="00973161">
        <w:trPr>
          <w:cantSplit/>
          <w:jc w:val="center"/>
          <w:ins w:id="12" w:author="Author"/>
        </w:trPr>
        <w:tc>
          <w:tcPr>
            <w:tcW w:w="3100" w:type="dxa"/>
            <w:tcBorders>
              <w:top w:val="single" w:sz="4" w:space="0" w:color="auto"/>
              <w:left w:val="single" w:sz="6" w:space="0" w:color="auto"/>
              <w:bottom w:val="nil"/>
              <w:right w:val="single" w:sz="6" w:space="0" w:color="auto"/>
            </w:tcBorders>
            <w:hideMark/>
          </w:tcPr>
          <w:p w14:paraId="1030DE91" w14:textId="77777777" w:rsidR="00C96921" w:rsidRPr="00E13DE8" w:rsidRDefault="00C96921" w:rsidP="00973161">
            <w:pPr>
              <w:pStyle w:val="TableTextS5"/>
              <w:rPr>
                <w:ins w:id="13" w:author="Author"/>
                <w:strike/>
                <w:color w:val="000000"/>
                <w:lang w:val="en-AU"/>
              </w:rPr>
            </w:pPr>
          </w:p>
        </w:tc>
        <w:tc>
          <w:tcPr>
            <w:tcW w:w="6199" w:type="dxa"/>
            <w:gridSpan w:val="2"/>
            <w:tcBorders>
              <w:top w:val="single" w:sz="4" w:space="0" w:color="auto"/>
              <w:left w:val="single" w:sz="6" w:space="0" w:color="auto"/>
              <w:bottom w:val="single" w:sz="6" w:space="0" w:color="auto"/>
              <w:right w:val="single" w:sz="6" w:space="0" w:color="auto"/>
            </w:tcBorders>
          </w:tcPr>
          <w:p w14:paraId="3DD72071" w14:textId="77777777" w:rsidR="00C96921" w:rsidRPr="00E13DE8" w:rsidRDefault="00C96921" w:rsidP="00973161">
            <w:pPr>
              <w:pStyle w:val="TableTextS5"/>
              <w:rPr>
                <w:ins w:id="14" w:author="Author"/>
                <w:rStyle w:val="Artref"/>
                <w:strike/>
                <w:color w:val="000000"/>
                <w:lang w:val="fr-FR"/>
              </w:rPr>
            </w:pPr>
          </w:p>
        </w:tc>
      </w:tr>
      <w:tr w:rsidR="00C96921" w:rsidRPr="00E13DE8" w14:paraId="7AFA4799" w14:textId="77777777" w:rsidTr="00973161">
        <w:trPr>
          <w:cantSplit/>
          <w:jc w:val="center"/>
          <w:ins w:id="15" w:author="Author"/>
        </w:trPr>
        <w:tc>
          <w:tcPr>
            <w:tcW w:w="3100" w:type="dxa"/>
            <w:tcBorders>
              <w:top w:val="nil"/>
              <w:left w:val="single" w:sz="6" w:space="0" w:color="auto"/>
              <w:bottom w:val="nil"/>
              <w:right w:val="single" w:sz="6" w:space="0" w:color="auto"/>
            </w:tcBorders>
          </w:tcPr>
          <w:p w14:paraId="1EC90091" w14:textId="77777777" w:rsidR="00C96921" w:rsidRPr="00E13DE8" w:rsidRDefault="00C96921" w:rsidP="00973161">
            <w:pPr>
              <w:pStyle w:val="TableTextS5"/>
              <w:rPr>
                <w:ins w:id="16" w:author="Author"/>
                <w:strike/>
                <w:color w:val="000000"/>
                <w:lang w:val="en-AU"/>
              </w:rPr>
            </w:pPr>
          </w:p>
        </w:tc>
        <w:tc>
          <w:tcPr>
            <w:tcW w:w="6199" w:type="dxa"/>
            <w:gridSpan w:val="2"/>
            <w:tcBorders>
              <w:top w:val="single" w:sz="6" w:space="0" w:color="auto"/>
              <w:left w:val="single" w:sz="6" w:space="0" w:color="auto"/>
              <w:bottom w:val="single" w:sz="6" w:space="0" w:color="auto"/>
              <w:right w:val="single" w:sz="6" w:space="0" w:color="auto"/>
            </w:tcBorders>
            <w:hideMark/>
          </w:tcPr>
          <w:p w14:paraId="2027799E" w14:textId="77777777" w:rsidR="00C96921" w:rsidRPr="00E13DE8" w:rsidRDefault="00C96921" w:rsidP="00973161">
            <w:pPr>
              <w:pStyle w:val="TableTextS5"/>
              <w:tabs>
                <w:tab w:val="clear" w:pos="170"/>
              </w:tabs>
              <w:rPr>
                <w:ins w:id="17" w:author="Author"/>
                <w:rStyle w:val="Tablefreq"/>
                <w:strike/>
              </w:rPr>
            </w:pPr>
            <w:ins w:id="18" w:author="Author">
              <w:r w:rsidRPr="00E13DE8">
                <w:rPr>
                  <w:rStyle w:val="Tablefreq"/>
                  <w:strike/>
                </w:rPr>
                <w:t>50-54</w:t>
              </w:r>
            </w:ins>
          </w:p>
          <w:p w14:paraId="2571778E" w14:textId="77777777" w:rsidR="00C96921" w:rsidRPr="00E13DE8" w:rsidRDefault="00C96921" w:rsidP="00973161">
            <w:pPr>
              <w:pStyle w:val="TableTextS5"/>
              <w:rPr>
                <w:ins w:id="19" w:author="Author"/>
                <w:strike/>
                <w:color w:val="000000"/>
                <w:lang w:val="en-AU"/>
              </w:rPr>
            </w:pPr>
            <w:ins w:id="20" w:author="Author">
              <w:r w:rsidRPr="00E13DE8">
                <w:rPr>
                  <w:strike/>
                  <w:color w:val="000000"/>
                  <w:lang w:val="en-AU"/>
                </w:rPr>
                <w:tab/>
              </w:r>
              <w:r w:rsidRPr="00E13DE8">
                <w:rPr>
                  <w:strike/>
                  <w:color w:val="000000"/>
                  <w:lang w:val="en-AU"/>
                </w:rPr>
                <w:tab/>
                <w:t>AMATEUR</w:t>
              </w:r>
            </w:ins>
          </w:p>
          <w:p w14:paraId="0D0459EB" w14:textId="77777777" w:rsidR="00C96921" w:rsidRPr="00E13DE8" w:rsidRDefault="00C96921" w:rsidP="00973161">
            <w:pPr>
              <w:pStyle w:val="TableTextS5"/>
              <w:rPr>
                <w:ins w:id="21" w:author="Author"/>
                <w:strike/>
                <w:color w:val="000000"/>
                <w:lang w:val="en-AU"/>
              </w:rPr>
            </w:pPr>
            <w:ins w:id="22" w:author="Author">
              <w:r w:rsidRPr="00E13DE8">
                <w:rPr>
                  <w:rStyle w:val="Artref"/>
                  <w:strike/>
                  <w:color w:val="000000"/>
                </w:rPr>
                <w:tab/>
              </w:r>
              <w:r w:rsidRPr="00E13DE8">
                <w:rPr>
                  <w:rStyle w:val="Artref"/>
                  <w:strike/>
                  <w:color w:val="000000"/>
                </w:rPr>
                <w:tab/>
                <w:t>5.162A</w:t>
              </w:r>
              <w:r w:rsidRPr="00E13DE8">
                <w:rPr>
                  <w:strike/>
                  <w:color w:val="000000"/>
                </w:rPr>
                <w:t xml:space="preserve">  </w:t>
              </w:r>
              <w:r w:rsidRPr="00E13DE8">
                <w:rPr>
                  <w:rStyle w:val="Artref"/>
                  <w:strike/>
                  <w:color w:val="000000"/>
                  <w:lang w:val="en-US"/>
                </w:rPr>
                <w:t>5.167</w:t>
              </w:r>
              <w:r w:rsidRPr="00E13DE8">
                <w:rPr>
                  <w:strike/>
                  <w:color w:val="000000"/>
                  <w:lang w:val="en-US"/>
                </w:rPr>
                <w:t xml:space="preserve">  </w:t>
              </w:r>
              <w:r w:rsidRPr="00E13DE8">
                <w:rPr>
                  <w:rStyle w:val="Artref"/>
                  <w:strike/>
                </w:rPr>
                <w:t>5.167A</w:t>
              </w:r>
              <w:r w:rsidRPr="00E13DE8">
                <w:rPr>
                  <w:strike/>
                  <w:color w:val="000000"/>
                  <w:lang w:val="en-US"/>
                </w:rPr>
                <w:t xml:space="preserve">  </w:t>
              </w:r>
              <w:r w:rsidRPr="00E13DE8">
                <w:rPr>
                  <w:rStyle w:val="Artref"/>
                  <w:strike/>
                  <w:color w:val="000000"/>
                  <w:lang w:val="en-US"/>
                </w:rPr>
                <w:t>5.168</w:t>
              </w:r>
              <w:r w:rsidRPr="00E13DE8">
                <w:rPr>
                  <w:strike/>
                  <w:color w:val="000000"/>
                  <w:lang w:val="en-US"/>
                </w:rPr>
                <w:t xml:space="preserve">  </w:t>
              </w:r>
              <w:r w:rsidRPr="00E13DE8">
                <w:rPr>
                  <w:rStyle w:val="Artref"/>
                  <w:strike/>
                  <w:color w:val="000000"/>
                  <w:lang w:val="en-US"/>
                </w:rPr>
                <w:t>5.170</w:t>
              </w:r>
            </w:ins>
          </w:p>
        </w:tc>
      </w:tr>
      <w:tr w:rsidR="00C96921" w:rsidRPr="00E13DE8" w14:paraId="5B1FE55D" w14:textId="77777777" w:rsidTr="00973161">
        <w:trPr>
          <w:cantSplit/>
          <w:jc w:val="center"/>
          <w:ins w:id="23" w:author="Author"/>
        </w:trPr>
        <w:tc>
          <w:tcPr>
            <w:tcW w:w="3100" w:type="dxa"/>
            <w:tcBorders>
              <w:top w:val="nil"/>
              <w:left w:val="single" w:sz="6" w:space="0" w:color="auto"/>
              <w:bottom w:val="nil"/>
              <w:right w:val="single" w:sz="6" w:space="0" w:color="auto"/>
            </w:tcBorders>
          </w:tcPr>
          <w:p w14:paraId="6E99BC1E" w14:textId="77777777" w:rsidR="00C96921" w:rsidRPr="00E13DE8" w:rsidRDefault="00C96921" w:rsidP="00973161">
            <w:pPr>
              <w:pStyle w:val="TableTextS5"/>
              <w:rPr>
                <w:ins w:id="24" w:author="Author"/>
                <w:strike/>
                <w:color w:val="000000"/>
                <w:lang w:val="en-AU"/>
              </w:rPr>
            </w:pPr>
          </w:p>
        </w:tc>
        <w:tc>
          <w:tcPr>
            <w:tcW w:w="3099" w:type="dxa"/>
            <w:tcBorders>
              <w:top w:val="single" w:sz="6" w:space="0" w:color="auto"/>
              <w:left w:val="single" w:sz="6" w:space="0" w:color="auto"/>
              <w:bottom w:val="nil"/>
              <w:right w:val="single" w:sz="6" w:space="0" w:color="auto"/>
            </w:tcBorders>
          </w:tcPr>
          <w:p w14:paraId="1AD2B2FA" w14:textId="77777777" w:rsidR="00C96921" w:rsidRPr="00E13DE8" w:rsidRDefault="00C96921" w:rsidP="00973161">
            <w:pPr>
              <w:pStyle w:val="TableTextS5"/>
              <w:rPr>
                <w:ins w:id="25" w:author="Author"/>
                <w:strike/>
                <w:color w:val="000000"/>
                <w:lang w:val="en-AU"/>
              </w:rPr>
            </w:pPr>
          </w:p>
        </w:tc>
        <w:tc>
          <w:tcPr>
            <w:tcW w:w="3100" w:type="dxa"/>
            <w:tcBorders>
              <w:top w:val="single" w:sz="6" w:space="0" w:color="auto"/>
              <w:left w:val="single" w:sz="6" w:space="0" w:color="auto"/>
              <w:bottom w:val="nil"/>
              <w:right w:val="single" w:sz="6" w:space="0" w:color="auto"/>
            </w:tcBorders>
          </w:tcPr>
          <w:p w14:paraId="2028DFD6" w14:textId="77777777" w:rsidR="00C96921" w:rsidRPr="00E13DE8" w:rsidRDefault="00C96921" w:rsidP="00973161">
            <w:pPr>
              <w:pStyle w:val="TableTextS5"/>
              <w:rPr>
                <w:ins w:id="26" w:author="Author"/>
                <w:strike/>
                <w:color w:val="000000"/>
                <w:lang w:val="en-AU"/>
              </w:rPr>
            </w:pPr>
          </w:p>
        </w:tc>
      </w:tr>
      <w:tr w:rsidR="00C96921" w:rsidRPr="00E13DE8" w14:paraId="44424EB3" w14:textId="77777777" w:rsidTr="00973161">
        <w:trPr>
          <w:cantSplit/>
          <w:jc w:val="center"/>
          <w:ins w:id="27" w:author="Author"/>
        </w:trPr>
        <w:tc>
          <w:tcPr>
            <w:tcW w:w="3100" w:type="dxa"/>
            <w:tcBorders>
              <w:top w:val="nil"/>
              <w:left w:val="single" w:sz="6" w:space="0" w:color="auto"/>
              <w:bottom w:val="single" w:sz="4" w:space="0" w:color="auto"/>
              <w:right w:val="single" w:sz="6" w:space="0" w:color="auto"/>
            </w:tcBorders>
            <w:hideMark/>
          </w:tcPr>
          <w:p w14:paraId="71AF0BB5" w14:textId="77777777" w:rsidR="00C96921" w:rsidRPr="00E13DE8" w:rsidRDefault="00C96921" w:rsidP="00973161">
            <w:pPr>
              <w:pStyle w:val="TableTextS5"/>
              <w:rPr>
                <w:ins w:id="28" w:author="Author"/>
                <w:strike/>
                <w:color w:val="000000"/>
                <w:lang w:val="en-AU"/>
              </w:rPr>
            </w:pPr>
          </w:p>
        </w:tc>
        <w:tc>
          <w:tcPr>
            <w:tcW w:w="3099" w:type="dxa"/>
            <w:tcBorders>
              <w:top w:val="nil"/>
              <w:left w:val="single" w:sz="6" w:space="0" w:color="auto"/>
              <w:bottom w:val="single" w:sz="4" w:space="0" w:color="auto"/>
              <w:right w:val="single" w:sz="6" w:space="0" w:color="auto"/>
            </w:tcBorders>
          </w:tcPr>
          <w:p w14:paraId="6361004F" w14:textId="77777777" w:rsidR="00C96921" w:rsidRPr="00E13DE8" w:rsidRDefault="00C96921" w:rsidP="00973161">
            <w:pPr>
              <w:pStyle w:val="TableTextS5"/>
              <w:rPr>
                <w:ins w:id="29" w:author="Author"/>
                <w:b/>
                <w:strike/>
                <w:color w:val="000000"/>
                <w:lang w:val="en-AU"/>
              </w:rPr>
            </w:pPr>
          </w:p>
        </w:tc>
        <w:tc>
          <w:tcPr>
            <w:tcW w:w="3100" w:type="dxa"/>
            <w:tcBorders>
              <w:top w:val="nil"/>
              <w:left w:val="single" w:sz="6" w:space="0" w:color="auto"/>
              <w:bottom w:val="single" w:sz="4" w:space="0" w:color="auto"/>
              <w:right w:val="single" w:sz="6" w:space="0" w:color="auto"/>
            </w:tcBorders>
          </w:tcPr>
          <w:p w14:paraId="1B55C3B9" w14:textId="77777777" w:rsidR="00C96921" w:rsidRPr="00E13DE8" w:rsidRDefault="00C96921" w:rsidP="00973161">
            <w:pPr>
              <w:pStyle w:val="TableTextS5"/>
              <w:rPr>
                <w:ins w:id="30" w:author="Author"/>
                <w:b/>
                <w:strike/>
                <w:color w:val="000000"/>
                <w:lang w:val="en-AU"/>
              </w:rPr>
            </w:pPr>
          </w:p>
        </w:tc>
      </w:tr>
    </w:tbl>
    <w:p w14:paraId="3ED1EF3C" w14:textId="77777777" w:rsidR="00C96921" w:rsidRPr="00E13DE8" w:rsidRDefault="00C96921" w:rsidP="0018543F">
      <w:pPr>
        <w:jc w:val="both"/>
        <w:rPr>
          <w:ins w:id="31" w:author="Author"/>
          <w:rFonts w:ascii="Times New Roman" w:eastAsia="SimSun" w:hAnsi="Times New Roman" w:cs="Times New Roman"/>
          <w:b/>
          <w:bCs/>
          <w:strike/>
          <w:sz w:val="24"/>
          <w:szCs w:val="24"/>
          <w:lang w:eastAsia="zh-CN"/>
        </w:rPr>
      </w:pPr>
    </w:p>
    <w:p w14:paraId="16D3B235" w14:textId="77777777" w:rsidR="00C27C41" w:rsidRPr="00E13DE8" w:rsidRDefault="00C27C41" w:rsidP="0018543F">
      <w:pPr>
        <w:jc w:val="both"/>
        <w:rPr>
          <w:ins w:id="32" w:author="Author"/>
          <w:rFonts w:ascii="Times New Roman" w:eastAsia="SimSun" w:hAnsi="Times New Roman" w:cs="Times New Roman"/>
          <w:b/>
          <w:bCs/>
          <w:strike/>
          <w:sz w:val="24"/>
          <w:szCs w:val="24"/>
          <w:lang w:eastAsia="zh-CN"/>
        </w:rPr>
      </w:pPr>
    </w:p>
    <w:p w14:paraId="526853D3" w14:textId="77777777" w:rsidR="00C27C41" w:rsidRPr="00C96921" w:rsidRDefault="00C27C41" w:rsidP="00C27C41">
      <w:pPr>
        <w:pStyle w:val="Tabletitle"/>
      </w:pPr>
      <w:r>
        <w:rPr>
          <w:lang w:val="en-AU"/>
        </w:rPr>
        <w:t>47-75.2 MHz</w:t>
      </w:r>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C27C41" w14:paraId="3B138D44" w14:textId="77777777" w:rsidTr="00991976">
        <w:trPr>
          <w:cantSplit/>
          <w:jc w:val="center"/>
        </w:trPr>
        <w:tc>
          <w:tcPr>
            <w:tcW w:w="9299" w:type="dxa"/>
            <w:gridSpan w:val="3"/>
            <w:tcBorders>
              <w:top w:val="single" w:sz="4" w:space="0" w:color="auto"/>
              <w:left w:val="single" w:sz="4" w:space="0" w:color="auto"/>
              <w:bottom w:val="single" w:sz="4" w:space="0" w:color="auto"/>
              <w:right w:val="single" w:sz="4" w:space="0" w:color="auto"/>
            </w:tcBorders>
            <w:hideMark/>
          </w:tcPr>
          <w:p w14:paraId="0764A4D1" w14:textId="77777777" w:rsidR="00C27C41" w:rsidRPr="002B657C" w:rsidRDefault="00C27C41" w:rsidP="00991976">
            <w:pPr>
              <w:pStyle w:val="Tablehead"/>
            </w:pPr>
            <w:r w:rsidRPr="002B657C">
              <w:t>Allocation to services</w:t>
            </w:r>
          </w:p>
        </w:tc>
      </w:tr>
      <w:tr w:rsidR="00C27C41" w14:paraId="14A792E2" w14:textId="77777777" w:rsidTr="00991976">
        <w:trPr>
          <w:cantSplit/>
          <w:jc w:val="center"/>
        </w:trPr>
        <w:tc>
          <w:tcPr>
            <w:tcW w:w="3100" w:type="dxa"/>
            <w:tcBorders>
              <w:top w:val="single" w:sz="4" w:space="0" w:color="auto"/>
              <w:left w:val="single" w:sz="4" w:space="0" w:color="auto"/>
              <w:bottom w:val="single" w:sz="4" w:space="0" w:color="auto"/>
              <w:right w:val="single" w:sz="4" w:space="0" w:color="auto"/>
            </w:tcBorders>
            <w:hideMark/>
          </w:tcPr>
          <w:p w14:paraId="781F2B0A" w14:textId="77777777" w:rsidR="00C27C41" w:rsidRPr="002B657C" w:rsidRDefault="00C27C41" w:rsidP="00991976">
            <w:pPr>
              <w:pStyle w:val="Tablehead"/>
            </w:pPr>
            <w:r w:rsidRPr="002B657C">
              <w:t>Region 1</w:t>
            </w:r>
          </w:p>
        </w:tc>
        <w:tc>
          <w:tcPr>
            <w:tcW w:w="3099" w:type="dxa"/>
            <w:tcBorders>
              <w:top w:val="single" w:sz="4" w:space="0" w:color="auto"/>
              <w:left w:val="single" w:sz="4" w:space="0" w:color="auto"/>
              <w:bottom w:val="single" w:sz="4" w:space="0" w:color="auto"/>
              <w:right w:val="single" w:sz="4" w:space="0" w:color="auto"/>
            </w:tcBorders>
            <w:hideMark/>
          </w:tcPr>
          <w:p w14:paraId="5EC30775" w14:textId="77777777" w:rsidR="00C27C41" w:rsidRPr="002B657C" w:rsidRDefault="00C27C41" w:rsidP="00991976">
            <w:pPr>
              <w:pStyle w:val="Tablehead"/>
            </w:pPr>
            <w:r w:rsidRPr="002B657C">
              <w:t>Region 2</w:t>
            </w:r>
          </w:p>
        </w:tc>
        <w:tc>
          <w:tcPr>
            <w:tcW w:w="3100" w:type="dxa"/>
            <w:tcBorders>
              <w:top w:val="single" w:sz="4" w:space="0" w:color="auto"/>
              <w:left w:val="single" w:sz="4" w:space="0" w:color="auto"/>
              <w:bottom w:val="single" w:sz="4" w:space="0" w:color="auto"/>
              <w:right w:val="single" w:sz="4" w:space="0" w:color="auto"/>
            </w:tcBorders>
            <w:hideMark/>
          </w:tcPr>
          <w:p w14:paraId="7B01F1D6" w14:textId="77777777" w:rsidR="00C27C41" w:rsidRPr="002B657C" w:rsidRDefault="00C27C41" w:rsidP="00991976">
            <w:pPr>
              <w:pStyle w:val="Tablehead"/>
            </w:pPr>
            <w:r w:rsidRPr="002B657C">
              <w:t>Region 3</w:t>
            </w:r>
          </w:p>
        </w:tc>
      </w:tr>
      <w:tr w:rsidR="00C27C41" w14:paraId="54A4C99D" w14:textId="77777777" w:rsidTr="00991976">
        <w:trPr>
          <w:cantSplit/>
          <w:jc w:val="center"/>
        </w:trPr>
        <w:tc>
          <w:tcPr>
            <w:tcW w:w="3100" w:type="dxa"/>
            <w:tcBorders>
              <w:top w:val="single" w:sz="4" w:space="0" w:color="auto"/>
              <w:left w:val="single" w:sz="6" w:space="0" w:color="auto"/>
              <w:bottom w:val="nil"/>
              <w:right w:val="single" w:sz="6" w:space="0" w:color="auto"/>
            </w:tcBorders>
            <w:hideMark/>
          </w:tcPr>
          <w:p w14:paraId="7BBAB08E" w14:textId="77777777" w:rsidR="00C27C41" w:rsidRDefault="00C27C41" w:rsidP="00991976">
            <w:pPr>
              <w:pStyle w:val="TableTextS5"/>
              <w:rPr>
                <w:color w:val="000000"/>
                <w:lang w:val="en-AU"/>
              </w:rPr>
            </w:pPr>
          </w:p>
        </w:tc>
        <w:tc>
          <w:tcPr>
            <w:tcW w:w="6199" w:type="dxa"/>
            <w:gridSpan w:val="2"/>
            <w:tcBorders>
              <w:top w:val="single" w:sz="4" w:space="0" w:color="auto"/>
              <w:left w:val="single" w:sz="6" w:space="0" w:color="auto"/>
              <w:bottom w:val="single" w:sz="6" w:space="0" w:color="auto"/>
              <w:right w:val="single" w:sz="6" w:space="0" w:color="auto"/>
            </w:tcBorders>
          </w:tcPr>
          <w:p w14:paraId="44142A3A" w14:textId="77777777" w:rsidR="00C27C41" w:rsidRDefault="00C27C41" w:rsidP="00991976">
            <w:pPr>
              <w:pStyle w:val="TableTextS5"/>
              <w:rPr>
                <w:rStyle w:val="Artref"/>
                <w:color w:val="000000"/>
                <w:lang w:val="fr-FR"/>
              </w:rPr>
            </w:pPr>
          </w:p>
        </w:tc>
      </w:tr>
      <w:tr w:rsidR="00C27C41" w14:paraId="3E3344E7" w14:textId="77777777" w:rsidTr="0002119F">
        <w:trPr>
          <w:cantSplit/>
          <w:jc w:val="center"/>
        </w:trPr>
        <w:tc>
          <w:tcPr>
            <w:tcW w:w="3100" w:type="dxa"/>
            <w:tcBorders>
              <w:top w:val="nil"/>
              <w:left w:val="single" w:sz="6" w:space="0" w:color="auto"/>
              <w:bottom w:val="nil"/>
              <w:right w:val="single" w:sz="6" w:space="0" w:color="auto"/>
            </w:tcBorders>
          </w:tcPr>
          <w:p w14:paraId="50D75E02" w14:textId="77777777" w:rsidR="00C27C41" w:rsidRDefault="00C27C41" w:rsidP="00991976">
            <w:pPr>
              <w:pStyle w:val="TableTextS5"/>
              <w:rPr>
                <w:color w:val="000000"/>
                <w:lang w:val="en-AU"/>
              </w:rPr>
            </w:pPr>
          </w:p>
        </w:tc>
        <w:tc>
          <w:tcPr>
            <w:tcW w:w="3099" w:type="dxa"/>
            <w:vMerge w:val="restart"/>
            <w:tcBorders>
              <w:top w:val="single" w:sz="6" w:space="0" w:color="auto"/>
              <w:left w:val="single" w:sz="6" w:space="0" w:color="auto"/>
              <w:right w:val="single" w:sz="6" w:space="0" w:color="auto"/>
            </w:tcBorders>
            <w:hideMark/>
          </w:tcPr>
          <w:p w14:paraId="713E41A0" w14:textId="77777777" w:rsidR="00C27C41" w:rsidRPr="00FD05BD" w:rsidRDefault="00C27C41" w:rsidP="00991976">
            <w:pPr>
              <w:pStyle w:val="TableTextS5"/>
              <w:tabs>
                <w:tab w:val="clear" w:pos="170"/>
              </w:tabs>
              <w:rPr>
                <w:rStyle w:val="Tablefreq"/>
              </w:rPr>
            </w:pPr>
            <w:r w:rsidRPr="00FD05BD">
              <w:rPr>
                <w:rStyle w:val="Tablefreq"/>
              </w:rPr>
              <w:t>50-54</w:t>
            </w:r>
          </w:p>
          <w:p w14:paraId="7C687B3A" w14:textId="77777777" w:rsidR="00C27C41" w:rsidRDefault="00C27C41" w:rsidP="00991976">
            <w:pPr>
              <w:pStyle w:val="TableTextS5"/>
              <w:rPr>
                <w:color w:val="000000"/>
                <w:lang w:val="en-AU"/>
              </w:rPr>
            </w:pPr>
            <w:r>
              <w:rPr>
                <w:color w:val="000000"/>
                <w:lang w:val="en-AU"/>
              </w:rPr>
              <w:tab/>
            </w:r>
            <w:r>
              <w:rPr>
                <w:color w:val="000000"/>
                <w:lang w:val="en-AU"/>
              </w:rPr>
              <w:tab/>
              <w:t>AMATEUR</w:t>
            </w:r>
          </w:p>
        </w:tc>
        <w:tc>
          <w:tcPr>
            <w:tcW w:w="3100" w:type="dxa"/>
            <w:vMerge w:val="restart"/>
            <w:tcBorders>
              <w:top w:val="single" w:sz="6" w:space="0" w:color="auto"/>
              <w:left w:val="single" w:sz="6" w:space="0" w:color="auto"/>
              <w:right w:val="single" w:sz="6" w:space="0" w:color="auto"/>
            </w:tcBorders>
          </w:tcPr>
          <w:p w14:paraId="4F4C53AF" w14:textId="77777777" w:rsidR="00C27C41" w:rsidRDefault="00C27C41" w:rsidP="00991976">
            <w:pPr>
              <w:pStyle w:val="TableTextS5"/>
              <w:rPr>
                <w:color w:val="000000"/>
                <w:lang w:val="en-AU"/>
              </w:rPr>
            </w:pPr>
          </w:p>
        </w:tc>
      </w:tr>
      <w:tr w:rsidR="00C27C41" w14:paraId="16DD6CE6" w14:textId="77777777" w:rsidTr="0002119F">
        <w:trPr>
          <w:cantSplit/>
          <w:jc w:val="center"/>
        </w:trPr>
        <w:tc>
          <w:tcPr>
            <w:tcW w:w="3100" w:type="dxa"/>
            <w:tcBorders>
              <w:top w:val="nil"/>
              <w:left w:val="single" w:sz="6" w:space="0" w:color="auto"/>
              <w:bottom w:val="nil"/>
              <w:right w:val="single" w:sz="6" w:space="0" w:color="auto"/>
            </w:tcBorders>
          </w:tcPr>
          <w:p w14:paraId="4FE73413" w14:textId="77777777" w:rsidR="00C27C41" w:rsidRDefault="00C27C41" w:rsidP="00991976">
            <w:pPr>
              <w:pStyle w:val="TableTextS5"/>
              <w:rPr>
                <w:color w:val="000000"/>
                <w:lang w:val="en-AU"/>
              </w:rPr>
            </w:pPr>
          </w:p>
        </w:tc>
        <w:tc>
          <w:tcPr>
            <w:tcW w:w="3099" w:type="dxa"/>
            <w:vMerge/>
            <w:tcBorders>
              <w:left w:val="single" w:sz="6" w:space="0" w:color="auto"/>
              <w:right w:val="single" w:sz="6" w:space="0" w:color="auto"/>
            </w:tcBorders>
          </w:tcPr>
          <w:p w14:paraId="73C594CA" w14:textId="77777777" w:rsidR="00C27C41" w:rsidRDefault="00C27C41" w:rsidP="00991976">
            <w:pPr>
              <w:pStyle w:val="TableTextS5"/>
              <w:rPr>
                <w:color w:val="000000"/>
                <w:lang w:val="en-AU"/>
              </w:rPr>
            </w:pPr>
          </w:p>
        </w:tc>
        <w:tc>
          <w:tcPr>
            <w:tcW w:w="3100" w:type="dxa"/>
            <w:vMerge/>
            <w:tcBorders>
              <w:left w:val="single" w:sz="6" w:space="0" w:color="auto"/>
              <w:bottom w:val="nil"/>
              <w:right w:val="single" w:sz="6" w:space="0" w:color="auto"/>
            </w:tcBorders>
          </w:tcPr>
          <w:p w14:paraId="7DEA0C0E" w14:textId="77777777" w:rsidR="00C27C41" w:rsidRDefault="00C27C41" w:rsidP="00991976">
            <w:pPr>
              <w:pStyle w:val="TableTextS5"/>
              <w:rPr>
                <w:color w:val="000000"/>
                <w:lang w:val="en-AU"/>
              </w:rPr>
            </w:pPr>
          </w:p>
        </w:tc>
      </w:tr>
      <w:tr w:rsidR="00C27C41" w14:paraId="407FED10" w14:textId="77777777" w:rsidTr="0002119F">
        <w:trPr>
          <w:cantSplit/>
          <w:jc w:val="center"/>
        </w:trPr>
        <w:tc>
          <w:tcPr>
            <w:tcW w:w="3100" w:type="dxa"/>
            <w:tcBorders>
              <w:top w:val="nil"/>
              <w:left w:val="single" w:sz="6" w:space="0" w:color="auto"/>
              <w:bottom w:val="single" w:sz="4" w:space="0" w:color="auto"/>
              <w:right w:val="single" w:sz="6" w:space="0" w:color="auto"/>
            </w:tcBorders>
            <w:hideMark/>
          </w:tcPr>
          <w:p w14:paraId="47A7781D" w14:textId="77777777" w:rsidR="00C27C41" w:rsidRDefault="00C27C41" w:rsidP="00991976">
            <w:pPr>
              <w:pStyle w:val="TableTextS5"/>
              <w:rPr>
                <w:color w:val="000000"/>
                <w:lang w:val="en-AU"/>
              </w:rPr>
            </w:pPr>
          </w:p>
        </w:tc>
        <w:tc>
          <w:tcPr>
            <w:tcW w:w="3099" w:type="dxa"/>
            <w:vMerge/>
            <w:tcBorders>
              <w:left w:val="single" w:sz="6" w:space="0" w:color="auto"/>
              <w:bottom w:val="single" w:sz="4" w:space="0" w:color="auto"/>
              <w:right w:val="single" w:sz="6" w:space="0" w:color="auto"/>
            </w:tcBorders>
          </w:tcPr>
          <w:p w14:paraId="7EB7D217" w14:textId="77777777" w:rsidR="00C27C41" w:rsidRDefault="00C27C41" w:rsidP="00991976">
            <w:pPr>
              <w:pStyle w:val="TableTextS5"/>
              <w:rPr>
                <w:b/>
                <w:color w:val="000000"/>
                <w:lang w:val="en-AU"/>
              </w:rPr>
            </w:pPr>
          </w:p>
        </w:tc>
        <w:tc>
          <w:tcPr>
            <w:tcW w:w="3100" w:type="dxa"/>
            <w:tcBorders>
              <w:top w:val="nil"/>
              <w:left w:val="single" w:sz="6" w:space="0" w:color="auto"/>
              <w:bottom w:val="single" w:sz="4" w:space="0" w:color="auto"/>
              <w:right w:val="single" w:sz="6" w:space="0" w:color="auto"/>
            </w:tcBorders>
          </w:tcPr>
          <w:p w14:paraId="6D03A939" w14:textId="77777777" w:rsidR="00C27C41" w:rsidRDefault="00C27C41" w:rsidP="00991976">
            <w:pPr>
              <w:pStyle w:val="TableTextS5"/>
              <w:rPr>
                <w:b/>
                <w:color w:val="000000"/>
                <w:lang w:val="en-AU"/>
              </w:rPr>
            </w:pPr>
          </w:p>
        </w:tc>
      </w:tr>
    </w:tbl>
    <w:p w14:paraId="06B6544F" w14:textId="77777777" w:rsidR="00C27C41" w:rsidRDefault="00C27C41" w:rsidP="00C27C41">
      <w:pPr>
        <w:jc w:val="both"/>
        <w:rPr>
          <w:ins w:id="33" w:author="Author"/>
          <w:rFonts w:ascii="Times New Roman" w:eastAsia="SimSun" w:hAnsi="Times New Roman" w:cs="Times New Roman"/>
          <w:b/>
          <w:bCs/>
          <w:sz w:val="24"/>
          <w:szCs w:val="24"/>
          <w:lang w:eastAsia="zh-CN"/>
        </w:rPr>
      </w:pPr>
    </w:p>
    <w:p w14:paraId="1BCD17D8" w14:textId="77777777" w:rsidR="00C27C41" w:rsidRDefault="00C27C41" w:rsidP="0018543F">
      <w:pPr>
        <w:jc w:val="both"/>
        <w:rPr>
          <w:ins w:id="34" w:author="Author"/>
          <w:rFonts w:ascii="Times New Roman" w:eastAsia="SimSun" w:hAnsi="Times New Roman" w:cs="Times New Roman"/>
          <w:b/>
          <w:bCs/>
          <w:sz w:val="24"/>
          <w:szCs w:val="24"/>
          <w:lang w:eastAsia="zh-CN"/>
        </w:rPr>
      </w:pPr>
    </w:p>
    <w:p w14:paraId="26187557" w14:textId="77777777" w:rsidR="00C27C41" w:rsidRDefault="00C27C41" w:rsidP="0018543F">
      <w:pPr>
        <w:jc w:val="both"/>
        <w:rPr>
          <w:ins w:id="35" w:author="Author"/>
          <w:rFonts w:ascii="Times New Roman" w:eastAsia="SimSun" w:hAnsi="Times New Roman" w:cs="Times New Roman"/>
          <w:b/>
          <w:bCs/>
          <w:sz w:val="24"/>
          <w:szCs w:val="24"/>
          <w:lang w:eastAsia="zh-CN"/>
        </w:rPr>
      </w:pPr>
    </w:p>
    <w:p w14:paraId="135A431B" w14:textId="77777777" w:rsidR="0018543F" w:rsidRPr="0018543F" w:rsidRDefault="0018543F" w:rsidP="0018543F">
      <w:pPr>
        <w:jc w:val="both"/>
        <w:rPr>
          <w:rFonts w:ascii="Times New Roman" w:hAnsi="Times New Roman" w:cs="Times New Roman"/>
          <w:sz w:val="24"/>
          <w:szCs w:val="24"/>
        </w:rPr>
      </w:pPr>
      <w:r w:rsidRPr="0018543F">
        <w:rPr>
          <w:rFonts w:ascii="Times New Roman" w:eastAsia="SimSun" w:hAnsi="Times New Roman" w:cs="Times New Roman"/>
          <w:b/>
          <w:bCs/>
          <w:sz w:val="24"/>
          <w:szCs w:val="24"/>
          <w:lang w:eastAsia="zh-CN"/>
        </w:rPr>
        <w:t>Reasons</w:t>
      </w:r>
      <w:r w:rsidRPr="0018543F">
        <w:rPr>
          <w:rFonts w:ascii="Times New Roman" w:eastAsia="SimSun" w:hAnsi="Times New Roman" w:cs="Times New Roman"/>
          <w:bCs/>
          <w:sz w:val="24"/>
          <w:szCs w:val="24"/>
          <w:lang w:eastAsia="zh-CN"/>
        </w:rPr>
        <w:t xml:space="preserve">: </w:t>
      </w:r>
      <w:ins w:id="36" w:author="Author">
        <w:r w:rsidR="00C96921">
          <w:rPr>
            <w:rFonts w:ascii="Times New Roman" w:eastAsia="SimSun" w:hAnsi="Times New Roman" w:cs="Times New Roman"/>
            <w:bCs/>
            <w:sz w:val="24"/>
            <w:szCs w:val="24"/>
            <w:lang w:eastAsia="zh-CN"/>
          </w:rPr>
          <w:t xml:space="preserve">No change is proposed for Region 2. </w:t>
        </w:r>
      </w:ins>
      <w:r w:rsidRPr="0018543F">
        <w:rPr>
          <w:rFonts w:ascii="Times New Roman" w:hAnsi="Times New Roman" w:cs="Times New Roman"/>
          <w:sz w:val="24"/>
          <w:szCs w:val="24"/>
        </w:rPr>
        <w:t xml:space="preserve">WRC-19 agenda item 1.1 </w:t>
      </w:r>
      <w:r w:rsidRPr="0018543F">
        <w:rPr>
          <w:rFonts w:ascii="Times New Roman" w:eastAsia="SimSun" w:hAnsi="Times New Roman" w:cs="Times New Roman"/>
          <w:sz w:val="24"/>
          <w:szCs w:val="24"/>
          <w:lang w:eastAsia="zh-CN"/>
        </w:rPr>
        <w:t>is a Region 1 issue.</w:t>
      </w:r>
      <w:r w:rsidRPr="0018543F">
        <w:rPr>
          <w:rFonts w:ascii="Times New Roman" w:hAnsi="Times New Roman" w:cs="Times New Roman"/>
          <w:sz w:val="24"/>
          <w:szCs w:val="24"/>
        </w:rPr>
        <w:t xml:space="preserve"> Any changes made to the Radio Regulations under WRC-19 agenda item 1.1 must not impact the existing allocation to the Amateur Service in 50-54 MHz in Region 2, nor subject Region 2 to any changed procedural or regulatory provisions.</w:t>
      </w:r>
    </w:p>
    <w:p w14:paraId="08CD14A4" w14:textId="77777777" w:rsidR="0018543F" w:rsidRPr="0018543F" w:rsidRDefault="0018543F" w:rsidP="0018543F">
      <w:pPr>
        <w:widowControl w:val="0"/>
        <w:autoSpaceDE w:val="0"/>
        <w:autoSpaceDN w:val="0"/>
        <w:adjustRightInd w:val="0"/>
        <w:spacing w:line="120" w:lineRule="exact"/>
        <w:rPr>
          <w:rFonts w:ascii="Times New Roman" w:eastAsia="Times New Roman" w:hAnsi="Times New Roman" w:cs="Times New Roman"/>
          <w:sz w:val="24"/>
          <w:szCs w:val="24"/>
        </w:rPr>
      </w:pPr>
    </w:p>
    <w:sectPr w:rsidR="0018543F" w:rsidRPr="001854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F0122D" w16cid:durableId="1E4CA5C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7F1408" w14:textId="77777777" w:rsidR="00BF3BBC" w:rsidRDefault="00BF3BBC" w:rsidP="0018543F">
      <w:r>
        <w:separator/>
      </w:r>
    </w:p>
  </w:endnote>
  <w:endnote w:type="continuationSeparator" w:id="0">
    <w:p w14:paraId="1D72FD8E" w14:textId="77777777" w:rsidR="00BF3BBC" w:rsidRDefault="00BF3BBC" w:rsidP="0018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CDFE4" w14:textId="77777777" w:rsidR="00344809" w:rsidRDefault="003448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7DC1A6" w14:textId="77777777" w:rsidR="00344809" w:rsidRDefault="003448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9BFF1" w14:textId="77777777" w:rsidR="00344809" w:rsidRDefault="003448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84BEE2" w14:textId="77777777" w:rsidR="00BF3BBC" w:rsidRDefault="00BF3BBC" w:rsidP="0018543F">
      <w:r>
        <w:separator/>
      </w:r>
    </w:p>
  </w:footnote>
  <w:footnote w:type="continuationSeparator" w:id="0">
    <w:p w14:paraId="5187DB96" w14:textId="77777777" w:rsidR="00BF3BBC" w:rsidRDefault="00BF3BBC" w:rsidP="00185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2116D8" w14:textId="77777777" w:rsidR="00344809" w:rsidRDefault="003448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7B0DE" w14:textId="0D563F2C" w:rsidR="0018543F" w:rsidRPr="0018543F" w:rsidRDefault="00EB0CA6" w:rsidP="0018543F">
    <w:pPr>
      <w:tabs>
        <w:tab w:val="center" w:pos="4680"/>
        <w:tab w:val="right" w:pos="9360"/>
      </w:tabs>
      <w:rPr>
        <w:rFonts w:eastAsiaTheme="minorEastAsia"/>
        <w:sz w:val="24"/>
        <w:szCs w:val="24"/>
      </w:rPr>
    </w:pPr>
    <w:r>
      <w:rPr>
        <w:rFonts w:eastAsiaTheme="minorEastAsia"/>
        <w:sz w:val="24"/>
        <w:szCs w:val="24"/>
      </w:rPr>
      <w:tab/>
    </w:r>
    <w:r>
      <w:rPr>
        <w:rFonts w:eastAsiaTheme="minorEastAsia"/>
        <w:sz w:val="24"/>
        <w:szCs w:val="24"/>
      </w:rPr>
      <w:tab/>
      <w:t>IWG-2/060</w:t>
    </w:r>
    <w:ins w:id="37" w:author="Author">
      <w:r w:rsidR="00C96921">
        <w:rPr>
          <w:rFonts w:eastAsiaTheme="minorEastAsia"/>
          <w:sz w:val="24"/>
          <w:szCs w:val="24"/>
        </w:rPr>
        <w:t>r</w:t>
      </w:r>
      <w:r w:rsidR="00344809">
        <w:rPr>
          <w:rFonts w:eastAsiaTheme="minorEastAsia"/>
          <w:sz w:val="24"/>
          <w:szCs w:val="24"/>
        </w:rPr>
        <w:t>2</w:t>
      </w:r>
      <w:del w:id="38" w:author="Author">
        <w:r w:rsidR="00C96921" w:rsidDel="00344809">
          <w:rPr>
            <w:rFonts w:eastAsiaTheme="minorEastAsia"/>
            <w:sz w:val="24"/>
            <w:szCs w:val="24"/>
          </w:rPr>
          <w:delText>1</w:delText>
        </w:r>
      </w:del>
    </w:ins>
    <w:r>
      <w:rPr>
        <w:rFonts w:eastAsiaTheme="minorEastAsia"/>
        <w:sz w:val="24"/>
        <w:szCs w:val="24"/>
      </w:rPr>
      <w:t xml:space="preserve"> (</w:t>
    </w:r>
    <w:ins w:id="39" w:author="Author">
      <w:r w:rsidR="00C96921">
        <w:rPr>
          <w:rFonts w:eastAsiaTheme="minorEastAsia"/>
          <w:sz w:val="24"/>
          <w:szCs w:val="24"/>
        </w:rPr>
        <w:t>09</w:t>
      </w:r>
    </w:ins>
    <w:bookmarkStart w:id="40" w:name="_GoBack"/>
    <w:bookmarkEnd w:id="40"/>
    <w:del w:id="41" w:author="Author">
      <w:r w:rsidDel="00C96921">
        <w:rPr>
          <w:rFonts w:eastAsiaTheme="minorEastAsia"/>
          <w:sz w:val="24"/>
          <w:szCs w:val="24"/>
        </w:rPr>
        <w:delText>21</w:delText>
      </w:r>
    </w:del>
    <w:r>
      <w:rPr>
        <w:rFonts w:eastAsiaTheme="minorEastAsia"/>
        <w:sz w:val="24"/>
        <w:szCs w:val="24"/>
      </w:rPr>
      <w:t>.0</w:t>
    </w:r>
    <w:ins w:id="42" w:author="Author">
      <w:r w:rsidR="00C96921">
        <w:rPr>
          <w:rFonts w:eastAsiaTheme="minorEastAsia"/>
          <w:sz w:val="24"/>
          <w:szCs w:val="24"/>
        </w:rPr>
        <w:t>3</w:t>
      </w:r>
    </w:ins>
    <w:del w:id="43" w:author="Author">
      <w:r w:rsidDel="00C96921">
        <w:rPr>
          <w:rFonts w:eastAsiaTheme="minorEastAsia"/>
          <w:sz w:val="24"/>
          <w:szCs w:val="24"/>
        </w:rPr>
        <w:delText>2</w:delText>
      </w:r>
    </w:del>
    <w:r w:rsidR="0018543F">
      <w:rPr>
        <w:rFonts w:eastAsiaTheme="minorEastAsia"/>
        <w:sz w:val="24"/>
        <w:szCs w:val="24"/>
      </w:rPr>
      <w:t>.18</w:t>
    </w:r>
    <w:r w:rsidR="0018543F" w:rsidRPr="0018543F">
      <w:rPr>
        <w:rFonts w:eastAsiaTheme="minorEastAsia"/>
        <w:sz w:val="24"/>
        <w:szCs w:val="24"/>
      </w:rPr>
      <w:t>)</w:t>
    </w:r>
  </w:p>
  <w:p w14:paraId="4499257E" w14:textId="77777777" w:rsidR="0018543F" w:rsidRPr="0018543F" w:rsidRDefault="0018543F" w:rsidP="0018543F">
    <w:pPr>
      <w:tabs>
        <w:tab w:val="center" w:pos="4680"/>
        <w:tab w:val="right" w:pos="9360"/>
      </w:tabs>
      <w:jc w:val="right"/>
      <w:rPr>
        <w:rFonts w:eastAsiaTheme="minorEastAsia"/>
        <w:sz w:val="24"/>
        <w:szCs w:val="24"/>
      </w:rPr>
    </w:pPr>
    <w:r>
      <w:rPr>
        <w:rFonts w:eastAsiaTheme="minorEastAsia"/>
        <w:sz w:val="24"/>
        <w:szCs w:val="24"/>
      </w:rPr>
      <w:t xml:space="preserve">Jonathan Siverling </w:t>
    </w:r>
    <w:r w:rsidRPr="0018543F">
      <w:rPr>
        <w:rFonts w:eastAsiaTheme="minorEastAsia"/>
        <w:sz w:val="24"/>
        <w:szCs w:val="24"/>
      </w:rPr>
      <w:t xml:space="preserve">- </w:t>
    </w:r>
    <w:r>
      <w:rPr>
        <w:rFonts w:eastAsiaTheme="minorEastAsia"/>
        <w:sz w:val="24"/>
        <w:szCs w:val="24"/>
      </w:rPr>
      <w:t>ARRL</w:t>
    </w:r>
  </w:p>
  <w:p w14:paraId="42401B61" w14:textId="77777777" w:rsidR="0018543F" w:rsidRDefault="0018543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179019" w14:textId="77777777" w:rsidR="00344809" w:rsidRDefault="003448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removePersonalInformation/>
  <w:removeDateAndTime/>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3F"/>
    <w:rsid w:val="00014357"/>
    <w:rsid w:val="0018543F"/>
    <w:rsid w:val="002143F7"/>
    <w:rsid w:val="00241FA6"/>
    <w:rsid w:val="00344809"/>
    <w:rsid w:val="009110E8"/>
    <w:rsid w:val="00A436EE"/>
    <w:rsid w:val="00B16169"/>
    <w:rsid w:val="00BF3BBC"/>
    <w:rsid w:val="00C27C41"/>
    <w:rsid w:val="00C96921"/>
    <w:rsid w:val="00DD4FC8"/>
    <w:rsid w:val="00E13DE8"/>
    <w:rsid w:val="00E7363B"/>
    <w:rsid w:val="00EB0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E88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43F"/>
    <w:pPr>
      <w:tabs>
        <w:tab w:val="center" w:pos="4680"/>
        <w:tab w:val="right" w:pos="9360"/>
      </w:tabs>
    </w:pPr>
  </w:style>
  <w:style w:type="character" w:customStyle="1" w:styleId="HeaderChar">
    <w:name w:val="Header Char"/>
    <w:basedOn w:val="DefaultParagraphFont"/>
    <w:link w:val="Header"/>
    <w:uiPriority w:val="99"/>
    <w:rsid w:val="0018543F"/>
  </w:style>
  <w:style w:type="paragraph" w:styleId="Footer">
    <w:name w:val="footer"/>
    <w:basedOn w:val="Normal"/>
    <w:link w:val="FooterChar"/>
    <w:uiPriority w:val="99"/>
    <w:unhideWhenUsed/>
    <w:rsid w:val="0018543F"/>
    <w:pPr>
      <w:tabs>
        <w:tab w:val="center" w:pos="4680"/>
        <w:tab w:val="right" w:pos="9360"/>
      </w:tabs>
    </w:pPr>
  </w:style>
  <w:style w:type="character" w:customStyle="1" w:styleId="FooterChar">
    <w:name w:val="Footer Char"/>
    <w:basedOn w:val="DefaultParagraphFont"/>
    <w:link w:val="Footer"/>
    <w:uiPriority w:val="99"/>
    <w:rsid w:val="0018543F"/>
  </w:style>
  <w:style w:type="paragraph" w:styleId="FootnoteText">
    <w:name w:val="footnote text"/>
    <w:basedOn w:val="Normal"/>
    <w:link w:val="FootnoteTextChar"/>
    <w:uiPriority w:val="99"/>
    <w:semiHidden/>
    <w:unhideWhenUsed/>
    <w:rsid w:val="0018543F"/>
    <w:rPr>
      <w:rFonts w:eastAsiaTheme="minorEastAsia"/>
      <w:sz w:val="20"/>
      <w:szCs w:val="20"/>
    </w:rPr>
  </w:style>
  <w:style w:type="character" w:customStyle="1" w:styleId="FootnoteTextChar">
    <w:name w:val="Footnote Text Char"/>
    <w:basedOn w:val="DefaultParagraphFont"/>
    <w:link w:val="FootnoteText"/>
    <w:uiPriority w:val="99"/>
    <w:semiHidden/>
    <w:rsid w:val="0018543F"/>
    <w:rPr>
      <w:rFonts w:eastAsiaTheme="minorEastAsia"/>
      <w:sz w:val="20"/>
      <w:szCs w:val="20"/>
    </w:rPr>
  </w:style>
  <w:style w:type="character" w:styleId="FootnoteReference">
    <w:name w:val="footnote reference"/>
    <w:basedOn w:val="DefaultParagraphFont"/>
    <w:uiPriority w:val="99"/>
    <w:semiHidden/>
    <w:unhideWhenUsed/>
    <w:rsid w:val="0018543F"/>
    <w:rPr>
      <w:vertAlign w:val="superscript"/>
    </w:rPr>
  </w:style>
  <w:style w:type="character" w:styleId="Hyperlink">
    <w:name w:val="Hyperlink"/>
    <w:semiHidden/>
    <w:unhideWhenUsed/>
    <w:rsid w:val="0018543F"/>
    <w:rPr>
      <w:color w:val="0000FF"/>
      <w:u w:val="single"/>
    </w:rPr>
  </w:style>
  <w:style w:type="paragraph" w:customStyle="1" w:styleId="ECCBulletsLv1">
    <w:name w:val="ECC Bullets Lv1"/>
    <w:basedOn w:val="Normal"/>
    <w:qFormat/>
    <w:rsid w:val="0018543F"/>
    <w:pPr>
      <w:numPr>
        <w:numId w:val="1"/>
      </w:numPr>
      <w:tabs>
        <w:tab w:val="left" w:pos="340"/>
      </w:tabs>
      <w:spacing w:before="60"/>
      <w:jc w:val="both"/>
    </w:pPr>
    <w:rPr>
      <w:rFonts w:ascii="Arial" w:eastAsia="Calibri" w:hAnsi="Arial" w:cs="Times New Roman"/>
      <w:sz w:val="20"/>
      <w:lang w:val="en-GB"/>
    </w:rPr>
  </w:style>
  <w:style w:type="paragraph" w:customStyle="1" w:styleId="ECCBulletsLv2">
    <w:name w:val="ECC Bullets Lv2"/>
    <w:basedOn w:val="ECCBulletsLv1"/>
    <w:rsid w:val="0018543F"/>
    <w:pPr>
      <w:ind w:left="680" w:hanging="340"/>
    </w:pPr>
  </w:style>
  <w:style w:type="character" w:customStyle="1" w:styleId="ECCParagraph">
    <w:name w:val="ECC Paragraph"/>
    <w:uiPriority w:val="1"/>
    <w:qFormat/>
    <w:rsid w:val="0018543F"/>
    <w:rPr>
      <w:rFonts w:ascii="Arial" w:hAnsi="Arial" w:cs="Arial" w:hint="default"/>
      <w:noProof w:val="0"/>
      <w:sz w:val="20"/>
      <w:bdr w:val="none" w:sz="0" w:space="0" w:color="auto" w:frame="1"/>
      <w:lang w:val="en-GB"/>
    </w:rPr>
  </w:style>
  <w:style w:type="character" w:customStyle="1" w:styleId="Artref">
    <w:name w:val="Art_ref"/>
    <w:basedOn w:val="DefaultParagraphFont"/>
    <w:rsid w:val="00C96921"/>
  </w:style>
  <w:style w:type="character" w:customStyle="1" w:styleId="Tablefreq">
    <w:name w:val="Table_freq"/>
    <w:basedOn w:val="DefaultParagraphFont"/>
    <w:rsid w:val="00C96921"/>
    <w:rPr>
      <w:b/>
      <w:color w:val="auto"/>
      <w:sz w:val="20"/>
    </w:rPr>
  </w:style>
  <w:style w:type="paragraph" w:customStyle="1" w:styleId="Tablehead">
    <w:name w:val="Table_head"/>
    <w:basedOn w:val="Normal"/>
    <w:rsid w:val="00C96921"/>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C96921"/>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ascii="Times New Roman" w:eastAsia="Times New Roman" w:hAnsi="Times New Roman" w:cs="Times New Roman"/>
      <w:sz w:val="20"/>
      <w:szCs w:val="20"/>
      <w:lang w:val="en-GB"/>
    </w:rPr>
  </w:style>
  <w:style w:type="paragraph" w:customStyle="1" w:styleId="Tabletitle">
    <w:name w:val="Table_title"/>
    <w:basedOn w:val="Normal"/>
    <w:next w:val="Normal"/>
    <w:rsid w:val="00C9692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val="en-GB"/>
    </w:rPr>
  </w:style>
  <w:style w:type="paragraph" w:styleId="BalloonText">
    <w:name w:val="Balloon Text"/>
    <w:basedOn w:val="Normal"/>
    <w:link w:val="BalloonTextChar"/>
    <w:uiPriority w:val="99"/>
    <w:semiHidden/>
    <w:unhideWhenUsed/>
    <w:rsid w:val="00C969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921"/>
    <w:rPr>
      <w:rFonts w:ascii="Segoe UI" w:hAnsi="Segoe UI" w:cs="Segoe UI"/>
      <w:sz w:val="18"/>
      <w:szCs w:val="18"/>
    </w:rPr>
  </w:style>
  <w:style w:type="character" w:styleId="CommentReference">
    <w:name w:val="annotation reference"/>
    <w:basedOn w:val="DefaultParagraphFont"/>
    <w:uiPriority w:val="99"/>
    <w:semiHidden/>
    <w:unhideWhenUsed/>
    <w:rsid w:val="00E13DE8"/>
    <w:rPr>
      <w:sz w:val="16"/>
      <w:szCs w:val="16"/>
    </w:rPr>
  </w:style>
  <w:style w:type="paragraph" w:styleId="CommentText">
    <w:name w:val="annotation text"/>
    <w:basedOn w:val="Normal"/>
    <w:link w:val="CommentTextChar"/>
    <w:uiPriority w:val="99"/>
    <w:semiHidden/>
    <w:unhideWhenUsed/>
    <w:rsid w:val="00E13DE8"/>
    <w:rPr>
      <w:sz w:val="20"/>
      <w:szCs w:val="20"/>
    </w:rPr>
  </w:style>
  <w:style w:type="character" w:customStyle="1" w:styleId="CommentTextChar">
    <w:name w:val="Comment Text Char"/>
    <w:basedOn w:val="DefaultParagraphFont"/>
    <w:link w:val="CommentText"/>
    <w:uiPriority w:val="99"/>
    <w:semiHidden/>
    <w:rsid w:val="00E13DE8"/>
    <w:rPr>
      <w:sz w:val="20"/>
      <w:szCs w:val="20"/>
    </w:rPr>
  </w:style>
  <w:style w:type="paragraph" w:styleId="CommentSubject">
    <w:name w:val="annotation subject"/>
    <w:basedOn w:val="CommentText"/>
    <w:next w:val="CommentText"/>
    <w:link w:val="CommentSubjectChar"/>
    <w:uiPriority w:val="99"/>
    <w:semiHidden/>
    <w:unhideWhenUsed/>
    <w:rsid w:val="00E13DE8"/>
    <w:rPr>
      <w:b/>
      <w:bCs/>
    </w:rPr>
  </w:style>
  <w:style w:type="character" w:customStyle="1" w:styleId="CommentSubjectChar">
    <w:name w:val="Comment Subject Char"/>
    <w:basedOn w:val="CommentTextChar"/>
    <w:link w:val="CommentSubject"/>
    <w:uiPriority w:val="99"/>
    <w:semiHidden/>
    <w:rsid w:val="00E13D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0256">
      <w:bodyDiv w:val="1"/>
      <w:marLeft w:val="0"/>
      <w:marRight w:val="0"/>
      <w:marTop w:val="0"/>
      <w:marBottom w:val="0"/>
      <w:divBdr>
        <w:top w:val="none" w:sz="0" w:space="0" w:color="auto"/>
        <w:left w:val="none" w:sz="0" w:space="0" w:color="auto"/>
        <w:bottom w:val="none" w:sz="0" w:space="0" w:color="auto"/>
        <w:right w:val="none" w:sz="0" w:space="0" w:color="auto"/>
      </w:divBdr>
    </w:div>
    <w:div w:id="139284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84CD8-4BC9-4278-A778-DAB008821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2018-03-20T18:22:00Z</dcterms:created>
  <dcterms:modified xsi:type="dcterms:W3CDTF">2018-03-20T18:22:00Z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18dff191-ea0e-4f69-98bb-c33a9e075a1f</vt:lpwstr>
  </property>
  <property fmtid="{D5CDD505-2E9C-101B-9397-08002B2CF9AE}" pid="3" name="CTPClassification">
    <vt:lpwstr>CTP_NT</vt:lpwstr>
  </property>
</Properties>
</file>