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40" w:rsidRDefault="00A40E40">
      <w:r w:rsidRPr="00A40E40">
        <w:t>RM-11828</w:t>
      </w:r>
      <w:r>
        <w:t xml:space="preserve"> would eventually lead to only two classes of license.</w:t>
      </w:r>
      <w:r w:rsidR="00EB03C8">
        <w:t xml:space="preserve"> There should be a narrow bandwidth adventure in licensing that is basic.</w:t>
      </w:r>
      <w:bookmarkStart w:id="0" w:name="_GoBack"/>
      <w:bookmarkEnd w:id="0"/>
      <w:r w:rsidR="00EB03C8">
        <w:t xml:space="preserve"> </w:t>
      </w:r>
      <w:r>
        <w:t xml:space="preserve"> </w:t>
      </w:r>
    </w:p>
    <w:sectPr w:rsidR="00A40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40"/>
    <w:rsid w:val="00A40E40"/>
    <w:rsid w:val="00EB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CLAYBCC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mbpublic</dc:creator>
  <cp:lastModifiedBy>mbpublic</cp:lastModifiedBy>
  <cp:revision>1</cp:revision>
  <dcterms:created xsi:type="dcterms:W3CDTF">2019-04-02T18:09:00Z</dcterms:created>
  <dcterms:modified xsi:type="dcterms:W3CDTF">2019-04-02T18:24:00Z</dcterms:modified>
</cp:coreProperties>
</file>