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DD918" w14:textId="77777777" w:rsidR="00731AFD" w:rsidRDefault="00731AFD" w:rsidP="00731AFD">
      <w:pPr>
        <w:keepNext/>
        <w:keepLines/>
        <w:jc w:val="center"/>
        <w:rPr>
          <w:rFonts w:eastAsia="SimSun"/>
          <w:szCs w:val="20"/>
        </w:rPr>
      </w:pPr>
      <w:bookmarkStart w:id="0" w:name="_GoBack"/>
      <w:bookmarkEnd w:id="0"/>
      <w:r>
        <w:rPr>
          <w:rFonts w:eastAsia="SimSun"/>
          <w:szCs w:val="20"/>
        </w:rPr>
        <w:t>Before the</w:t>
      </w:r>
    </w:p>
    <w:p w14:paraId="2ABE4F0D" w14:textId="77777777" w:rsidR="00731AFD" w:rsidRDefault="00731AFD" w:rsidP="00731AFD">
      <w:pPr>
        <w:keepNext/>
        <w:keepLines/>
        <w:jc w:val="center"/>
        <w:rPr>
          <w:rFonts w:eastAsia="SimSun"/>
          <w:b/>
          <w:szCs w:val="20"/>
        </w:rPr>
      </w:pPr>
      <w:r>
        <w:rPr>
          <w:rFonts w:eastAsia="SimSun"/>
          <w:b/>
          <w:szCs w:val="20"/>
        </w:rPr>
        <w:t>FEDERAL COMMUNICATIONS COMMISSION</w:t>
      </w:r>
    </w:p>
    <w:p w14:paraId="61EB7DB0" w14:textId="77777777" w:rsidR="00731AFD" w:rsidRDefault="00731AFD" w:rsidP="00731AFD">
      <w:pPr>
        <w:keepNext/>
        <w:keepLines/>
        <w:spacing w:after="240"/>
        <w:jc w:val="center"/>
        <w:rPr>
          <w:rFonts w:eastAsia="SimSun"/>
          <w:szCs w:val="20"/>
        </w:rPr>
      </w:pPr>
      <w:r>
        <w:rPr>
          <w:rFonts w:eastAsia="SimSun"/>
          <w:szCs w:val="20"/>
        </w:rPr>
        <w:t>Washington, DC 20554</w:t>
      </w:r>
    </w:p>
    <w:tbl>
      <w:tblPr>
        <w:tblW w:w="10529" w:type="dxa"/>
        <w:jc w:val="center"/>
        <w:tblLook w:val="04A0" w:firstRow="1" w:lastRow="0" w:firstColumn="1" w:lastColumn="0" w:noHBand="0" w:noVBand="1"/>
      </w:tblPr>
      <w:tblGrid>
        <w:gridCol w:w="6159"/>
        <w:gridCol w:w="4370"/>
      </w:tblGrid>
      <w:tr w:rsidR="00731AFD" w14:paraId="1EC50D0B" w14:textId="77777777" w:rsidTr="00731AFD">
        <w:trPr>
          <w:trHeight w:val="1543"/>
          <w:jc w:val="center"/>
        </w:trPr>
        <w:tc>
          <w:tcPr>
            <w:tcW w:w="6159" w:type="dxa"/>
            <w:hideMark/>
          </w:tcPr>
          <w:p w14:paraId="2241AC38" w14:textId="77777777" w:rsidR="00731AFD" w:rsidRDefault="00731AFD">
            <w:pPr>
              <w:spacing w:line="256" w:lineRule="auto"/>
              <w:jc w:val="both"/>
              <w:rPr>
                <w:rFonts w:eastAsia="SimSun"/>
                <w:szCs w:val="20"/>
              </w:rPr>
            </w:pPr>
            <w:r>
              <w:rPr>
                <w:rFonts w:eastAsia="SimSun"/>
                <w:szCs w:val="20"/>
              </w:rPr>
              <w:t>In the Matter of</w:t>
            </w:r>
            <w:r>
              <w:rPr>
                <w:rFonts w:eastAsia="SimSun"/>
                <w:szCs w:val="20"/>
              </w:rPr>
              <w:tab/>
            </w:r>
            <w:r>
              <w:rPr>
                <w:rFonts w:eastAsia="SimSun"/>
                <w:szCs w:val="20"/>
              </w:rPr>
              <w:tab/>
            </w:r>
            <w:r>
              <w:rPr>
                <w:rFonts w:eastAsia="SimSun"/>
                <w:szCs w:val="20"/>
              </w:rPr>
              <w:tab/>
            </w:r>
            <w:r>
              <w:rPr>
                <w:rFonts w:eastAsia="SimSun"/>
                <w:szCs w:val="20"/>
              </w:rPr>
              <w:tab/>
            </w:r>
            <w:r>
              <w:rPr>
                <w:rFonts w:eastAsia="SimSun"/>
                <w:szCs w:val="20"/>
              </w:rPr>
              <w:tab/>
              <w:t>)</w:t>
            </w:r>
          </w:p>
          <w:p w14:paraId="4C78ADAB" w14:textId="77777777" w:rsidR="00731AFD" w:rsidRDefault="00731AFD">
            <w:pPr>
              <w:spacing w:line="256" w:lineRule="auto"/>
              <w:jc w:val="both"/>
              <w:rPr>
                <w:rFonts w:eastAsia="SimSun"/>
                <w:szCs w:val="20"/>
              </w:rPr>
            </w:pPr>
            <w:r>
              <w:rPr>
                <w:rFonts w:eastAsia="SimSun"/>
                <w:szCs w:val="20"/>
              </w:rPr>
              <w:tab/>
            </w:r>
            <w:r>
              <w:rPr>
                <w:rFonts w:eastAsia="SimSun"/>
                <w:szCs w:val="20"/>
              </w:rPr>
              <w:tab/>
            </w:r>
            <w:r>
              <w:rPr>
                <w:rFonts w:eastAsia="SimSun"/>
                <w:szCs w:val="20"/>
              </w:rPr>
              <w:tab/>
            </w:r>
            <w:r>
              <w:rPr>
                <w:rFonts w:eastAsia="SimSun"/>
                <w:szCs w:val="20"/>
              </w:rPr>
              <w:tab/>
            </w:r>
            <w:r>
              <w:rPr>
                <w:rFonts w:eastAsia="SimSun"/>
                <w:szCs w:val="20"/>
              </w:rPr>
              <w:tab/>
            </w:r>
            <w:r>
              <w:rPr>
                <w:rFonts w:eastAsia="SimSun"/>
                <w:szCs w:val="20"/>
              </w:rPr>
              <w:tab/>
            </w:r>
            <w:r>
              <w:rPr>
                <w:rFonts w:eastAsia="SimSun"/>
                <w:szCs w:val="20"/>
              </w:rPr>
              <w:tab/>
              <w:t>)</w:t>
            </w:r>
          </w:p>
          <w:p w14:paraId="4CAB6458" w14:textId="77777777" w:rsidR="00731AFD" w:rsidRDefault="00731AFD">
            <w:pPr>
              <w:spacing w:line="256" w:lineRule="auto"/>
              <w:jc w:val="both"/>
              <w:rPr>
                <w:rFonts w:eastAsia="SimSun"/>
                <w:szCs w:val="20"/>
              </w:rPr>
            </w:pPr>
            <w:r>
              <w:rPr>
                <w:rFonts w:eastAsia="SimSun"/>
                <w:szCs w:val="20"/>
              </w:rPr>
              <w:t>Mitigation of Orbital Debris in the New Space Age</w:t>
            </w:r>
            <w:r>
              <w:rPr>
                <w:rFonts w:eastAsia="SimSun"/>
                <w:szCs w:val="20"/>
              </w:rPr>
              <w:tab/>
              <w:t>)</w:t>
            </w:r>
            <w:r>
              <w:rPr>
                <w:rFonts w:eastAsia="SimSun"/>
                <w:szCs w:val="20"/>
              </w:rPr>
              <w:tab/>
            </w:r>
          </w:p>
        </w:tc>
        <w:tc>
          <w:tcPr>
            <w:tcW w:w="4370" w:type="dxa"/>
          </w:tcPr>
          <w:p w14:paraId="66355B09" w14:textId="77777777" w:rsidR="00731AFD" w:rsidRDefault="00731AFD">
            <w:pPr>
              <w:spacing w:line="256" w:lineRule="auto"/>
              <w:jc w:val="both"/>
              <w:rPr>
                <w:rFonts w:eastAsia="SimSun"/>
                <w:szCs w:val="20"/>
              </w:rPr>
            </w:pPr>
          </w:p>
          <w:p w14:paraId="27F244A8" w14:textId="77777777" w:rsidR="00731AFD" w:rsidRDefault="00731AFD">
            <w:pPr>
              <w:spacing w:line="256" w:lineRule="auto"/>
              <w:jc w:val="both"/>
              <w:rPr>
                <w:rFonts w:eastAsia="SimSun"/>
                <w:szCs w:val="20"/>
              </w:rPr>
            </w:pPr>
          </w:p>
          <w:p w14:paraId="1440B973" w14:textId="77777777" w:rsidR="00731AFD" w:rsidRDefault="00731AFD">
            <w:pPr>
              <w:spacing w:line="256" w:lineRule="auto"/>
              <w:jc w:val="both"/>
              <w:rPr>
                <w:rFonts w:eastAsia="SimSun"/>
                <w:szCs w:val="20"/>
              </w:rPr>
            </w:pPr>
            <w:r>
              <w:rPr>
                <w:rFonts w:eastAsia="SimSun"/>
                <w:szCs w:val="20"/>
              </w:rPr>
              <w:tab/>
              <w:t>IB Docket No. 18-313</w:t>
            </w:r>
          </w:p>
          <w:p w14:paraId="12173125" w14:textId="77777777" w:rsidR="00731AFD" w:rsidRDefault="00731AFD">
            <w:pPr>
              <w:spacing w:line="256" w:lineRule="auto"/>
              <w:jc w:val="both"/>
              <w:rPr>
                <w:rFonts w:eastAsia="SimSun"/>
                <w:szCs w:val="20"/>
              </w:rPr>
            </w:pPr>
          </w:p>
        </w:tc>
      </w:tr>
    </w:tbl>
    <w:p w14:paraId="0892261B" w14:textId="77777777" w:rsidR="00731AFD" w:rsidRDefault="00731AFD" w:rsidP="00731AFD">
      <w:pPr>
        <w:spacing w:after="240"/>
        <w:jc w:val="both"/>
        <w:rPr>
          <w:rFonts w:eastAsia="SimSun"/>
          <w:szCs w:val="20"/>
        </w:rPr>
      </w:pPr>
    </w:p>
    <w:p w14:paraId="69CC9BBE" w14:textId="77777777" w:rsidR="00731AFD" w:rsidRDefault="00731AFD" w:rsidP="00731AFD">
      <w:pPr>
        <w:keepNext/>
        <w:keepLines/>
        <w:jc w:val="center"/>
        <w:rPr>
          <w:rFonts w:eastAsia="SimSun"/>
          <w:b/>
          <w:szCs w:val="20"/>
          <w:u w:val="single"/>
        </w:rPr>
      </w:pPr>
      <w:r>
        <w:rPr>
          <w:rFonts w:eastAsia="SimSun"/>
          <w:b/>
          <w:szCs w:val="20"/>
          <w:u w:val="single"/>
        </w:rPr>
        <w:t>COMMENTS OF PROVIDENCE ACCESS COMPANY</w:t>
      </w:r>
    </w:p>
    <w:p w14:paraId="697FC23B" w14:textId="77777777" w:rsidR="00731AFD" w:rsidRDefault="00731AFD" w:rsidP="00731AFD">
      <w:pPr>
        <w:keepNext/>
        <w:keepLines/>
        <w:jc w:val="center"/>
        <w:rPr>
          <w:rFonts w:eastAsia="SimSun"/>
          <w:b/>
          <w:szCs w:val="20"/>
          <w:u w:val="single"/>
        </w:rPr>
      </w:pPr>
    </w:p>
    <w:p w14:paraId="654B3516" w14:textId="2D9A4E5D" w:rsidR="00731AFD" w:rsidRDefault="00731AFD" w:rsidP="00731AFD">
      <w:pPr>
        <w:pStyle w:val="Normal0"/>
        <w:spacing w:line="480" w:lineRule="auto"/>
        <w:rPr>
          <w:rFonts w:eastAsia="Calibri"/>
          <w:szCs w:val="22"/>
        </w:rPr>
      </w:pPr>
      <w:r>
        <w:rPr>
          <w:rFonts w:eastAsia="Calibri"/>
          <w:szCs w:val="22"/>
        </w:rPr>
        <w:tab/>
        <w:t>Providence Access Company (“</w:t>
      </w:r>
      <w:r w:rsidR="00B052B1">
        <w:rPr>
          <w:rFonts w:eastAsia="Calibri"/>
          <w:szCs w:val="22"/>
        </w:rPr>
        <w:t>Providence</w:t>
      </w:r>
      <w:r>
        <w:rPr>
          <w:rFonts w:eastAsia="Calibri"/>
          <w:szCs w:val="22"/>
        </w:rPr>
        <w:t>”)</w:t>
      </w:r>
      <w:r>
        <w:rPr>
          <w:rFonts w:eastAsia="Calibri"/>
          <w:szCs w:val="22"/>
          <w:vertAlign w:val="superscript"/>
        </w:rPr>
        <w:footnoteReference w:id="1"/>
      </w:r>
      <w:r>
        <w:rPr>
          <w:rFonts w:eastAsia="Calibri"/>
          <w:szCs w:val="22"/>
        </w:rPr>
        <w:t xml:space="preserve"> respectfully submits these comments in response to the Federal Communications Commission’s (the “Commission”) Notice of Proposed Rulemaking in the above-captioned proceeding.</w:t>
      </w:r>
      <w:r>
        <w:rPr>
          <w:rFonts w:eastAsia="Calibri"/>
          <w:szCs w:val="22"/>
          <w:vertAlign w:val="superscript"/>
        </w:rPr>
        <w:footnoteReference w:id="2"/>
      </w:r>
      <w:r w:rsidR="00C232DE">
        <w:rPr>
          <w:rFonts w:eastAsia="Calibri"/>
          <w:szCs w:val="22"/>
        </w:rPr>
        <w:t xml:space="preserve"> P</w:t>
      </w:r>
      <w:r w:rsidR="00B052B1">
        <w:rPr>
          <w:rFonts w:eastAsia="Calibri"/>
          <w:szCs w:val="22"/>
        </w:rPr>
        <w:t>rovidence</w:t>
      </w:r>
      <w:r w:rsidR="00C232DE">
        <w:rPr>
          <w:rFonts w:eastAsia="Calibri"/>
          <w:szCs w:val="22"/>
        </w:rPr>
        <w:t xml:space="preserve"> </w:t>
      </w:r>
      <w:r w:rsidR="00842DC4">
        <w:rPr>
          <w:rFonts w:eastAsia="Calibri"/>
          <w:szCs w:val="22"/>
        </w:rPr>
        <w:t>advis</w:t>
      </w:r>
      <w:r w:rsidR="00BB7A9E">
        <w:rPr>
          <w:rFonts w:eastAsia="Calibri"/>
          <w:szCs w:val="22"/>
        </w:rPr>
        <w:t>es</w:t>
      </w:r>
      <w:r w:rsidR="00842DC4">
        <w:rPr>
          <w:rFonts w:eastAsia="Calibri"/>
          <w:szCs w:val="22"/>
        </w:rPr>
        <w:t xml:space="preserve"> satellite and </w:t>
      </w:r>
      <w:r w:rsidR="005241C7">
        <w:rPr>
          <w:rFonts w:eastAsia="Calibri"/>
          <w:szCs w:val="22"/>
        </w:rPr>
        <w:t>associated</w:t>
      </w:r>
      <w:r w:rsidR="00842DC4">
        <w:rPr>
          <w:rFonts w:eastAsia="Calibri"/>
          <w:szCs w:val="22"/>
        </w:rPr>
        <w:t xml:space="preserve"> network operators </w:t>
      </w:r>
      <w:r w:rsidR="003A716F">
        <w:rPr>
          <w:rFonts w:eastAsia="Calibri"/>
          <w:szCs w:val="22"/>
        </w:rPr>
        <w:t xml:space="preserve">on cybersecurity requirements and best practices and its </w:t>
      </w:r>
      <w:r w:rsidR="00725612">
        <w:rPr>
          <w:rFonts w:eastAsia="Calibri"/>
          <w:szCs w:val="22"/>
        </w:rPr>
        <w:t>founder and Chief Executive Officer</w:t>
      </w:r>
      <w:r w:rsidR="00D10774">
        <w:rPr>
          <w:rFonts w:eastAsia="Calibri"/>
          <w:szCs w:val="22"/>
        </w:rPr>
        <w:t xml:space="preserve"> </w:t>
      </w:r>
      <w:r w:rsidR="00725612">
        <w:rPr>
          <w:rFonts w:eastAsia="Calibri"/>
          <w:szCs w:val="22"/>
        </w:rPr>
        <w:t>serves as the U.S. industry lead for the joint NSA/Defense Information Systems Agency</w:t>
      </w:r>
      <w:r w:rsidR="0001723A">
        <w:rPr>
          <w:rFonts w:eastAsia="Calibri"/>
          <w:szCs w:val="22"/>
        </w:rPr>
        <w:t xml:space="preserve">’s </w:t>
      </w:r>
      <w:r w:rsidR="00FC5265">
        <w:rPr>
          <w:rFonts w:eastAsia="Calibri"/>
          <w:szCs w:val="22"/>
        </w:rPr>
        <w:t xml:space="preserve">(DISA) </w:t>
      </w:r>
      <w:r w:rsidR="0001723A">
        <w:rPr>
          <w:rFonts w:eastAsia="Calibri"/>
          <w:szCs w:val="22"/>
        </w:rPr>
        <w:t>Commercial Space INFOSEC Working Group</w:t>
      </w:r>
      <w:r w:rsidR="00D8518A">
        <w:rPr>
          <w:rFonts w:eastAsia="Calibri"/>
          <w:szCs w:val="22"/>
        </w:rPr>
        <w:t xml:space="preserve"> (CSIWG)</w:t>
      </w:r>
      <w:r w:rsidR="0001723A">
        <w:rPr>
          <w:rFonts w:eastAsia="Calibri"/>
          <w:szCs w:val="22"/>
        </w:rPr>
        <w:t>.</w:t>
      </w:r>
      <w:r w:rsidR="00D8518A">
        <w:rPr>
          <w:rStyle w:val="FootnoteReference"/>
          <w:rFonts w:eastAsia="Calibri"/>
          <w:szCs w:val="22"/>
        </w:rPr>
        <w:footnoteReference w:id="3"/>
      </w:r>
    </w:p>
    <w:p w14:paraId="11407D2A" w14:textId="72E270C0" w:rsidR="00731AFD" w:rsidRDefault="00731AFD" w:rsidP="00731AFD">
      <w:pPr>
        <w:tabs>
          <w:tab w:val="left" w:pos="720"/>
        </w:tabs>
        <w:ind w:left="720" w:hanging="720"/>
        <w:jc w:val="both"/>
        <w:outlineLvl w:val="0"/>
        <w:rPr>
          <w:rFonts w:eastAsia="SimSun"/>
          <w:b/>
          <w:szCs w:val="20"/>
        </w:rPr>
      </w:pPr>
      <w:r>
        <w:rPr>
          <w:rFonts w:eastAsia="SimSun"/>
          <w:b/>
          <w:szCs w:val="20"/>
        </w:rPr>
        <w:t>I.</w:t>
      </w:r>
      <w:r>
        <w:rPr>
          <w:rFonts w:eastAsia="SimSun"/>
          <w:b/>
          <w:szCs w:val="20"/>
        </w:rPr>
        <w:tab/>
        <w:t>A CONTROLLED ORBITAL ENVIRONMENT IS CRITICAL FOR THE SUCCESS OF THE COMMERCIAL SPACE INDUSTRY</w:t>
      </w:r>
      <w:r w:rsidR="00A162BE">
        <w:rPr>
          <w:rFonts w:eastAsia="SimSun"/>
          <w:b/>
          <w:szCs w:val="20"/>
        </w:rPr>
        <w:t xml:space="preserve"> AND THE NATION</w:t>
      </w:r>
    </w:p>
    <w:p w14:paraId="720E6482" w14:textId="77777777" w:rsidR="00731AFD" w:rsidRDefault="00731AFD" w:rsidP="00731AFD">
      <w:pPr>
        <w:tabs>
          <w:tab w:val="left" w:pos="720"/>
        </w:tabs>
        <w:ind w:left="720" w:hanging="720"/>
        <w:jc w:val="both"/>
        <w:outlineLvl w:val="0"/>
        <w:rPr>
          <w:rFonts w:eastAsia="SimSun"/>
          <w:b/>
          <w:szCs w:val="20"/>
        </w:rPr>
      </w:pPr>
    </w:p>
    <w:p w14:paraId="19E1BC92" w14:textId="63ACE50D" w:rsidR="00AA751D" w:rsidRDefault="00731AFD" w:rsidP="00D53DCB">
      <w:pPr>
        <w:spacing w:line="480" w:lineRule="auto"/>
        <w:ind w:firstLine="720"/>
        <w:jc w:val="both"/>
        <w:rPr>
          <w:rFonts w:eastAsia="SimSun"/>
          <w:szCs w:val="20"/>
        </w:rPr>
      </w:pPr>
      <w:r>
        <w:rPr>
          <w:rFonts w:eastAsia="SimSun"/>
          <w:szCs w:val="20"/>
        </w:rPr>
        <w:t>P</w:t>
      </w:r>
      <w:r w:rsidR="00B052B1">
        <w:rPr>
          <w:rFonts w:eastAsia="SimSun"/>
          <w:szCs w:val="20"/>
        </w:rPr>
        <w:t>rovidence</w:t>
      </w:r>
      <w:r>
        <w:rPr>
          <w:rFonts w:eastAsia="SimSun"/>
          <w:szCs w:val="20"/>
        </w:rPr>
        <w:t xml:space="preserve"> commends the Commission for initiating this proceeding to keep space safe as the number of space users and applications grows</w:t>
      </w:r>
      <w:r w:rsidR="00D8518A">
        <w:rPr>
          <w:rFonts w:eastAsia="SimSun"/>
          <w:szCs w:val="20"/>
        </w:rPr>
        <w:t xml:space="preserve"> and the environment becomes even more congested, contested, and competitive</w:t>
      </w:r>
      <w:r>
        <w:rPr>
          <w:rFonts w:eastAsia="SimSun"/>
          <w:szCs w:val="20"/>
        </w:rPr>
        <w:t>.</w:t>
      </w:r>
      <w:r>
        <w:rPr>
          <w:rFonts w:eastAsia="SimSun"/>
          <w:szCs w:val="20"/>
          <w:vertAlign w:val="superscript"/>
        </w:rPr>
        <w:footnoteReference w:id="4"/>
      </w:r>
      <w:r>
        <w:rPr>
          <w:rFonts w:eastAsia="SimSun"/>
          <w:szCs w:val="20"/>
        </w:rPr>
        <w:t xml:space="preserve"> </w:t>
      </w:r>
      <w:r w:rsidR="00B052B1">
        <w:rPr>
          <w:rFonts w:eastAsia="SimSun"/>
          <w:szCs w:val="20"/>
        </w:rPr>
        <w:t>Providence</w:t>
      </w:r>
      <w:r>
        <w:rPr>
          <w:rFonts w:eastAsia="SimSun"/>
          <w:szCs w:val="20"/>
        </w:rPr>
        <w:t xml:space="preserve"> </w:t>
      </w:r>
      <w:r w:rsidR="008C026B">
        <w:rPr>
          <w:rFonts w:eastAsia="SimSun"/>
          <w:szCs w:val="20"/>
        </w:rPr>
        <w:t xml:space="preserve">limits its comments to the Commission’s proposals </w:t>
      </w:r>
      <w:r w:rsidR="00FC5265">
        <w:rPr>
          <w:rFonts w:eastAsia="SimSun"/>
          <w:szCs w:val="20"/>
        </w:rPr>
        <w:t xml:space="preserve">in the NPRM </w:t>
      </w:r>
      <w:r w:rsidR="008C026B">
        <w:rPr>
          <w:rFonts w:eastAsia="SimSun"/>
          <w:szCs w:val="20"/>
        </w:rPr>
        <w:t xml:space="preserve">that would </w:t>
      </w:r>
      <w:r w:rsidR="006F2661">
        <w:rPr>
          <w:rFonts w:eastAsia="SimSun"/>
          <w:szCs w:val="20"/>
        </w:rPr>
        <w:t>add a</w:t>
      </w:r>
      <w:r w:rsidR="008C026B">
        <w:rPr>
          <w:rFonts w:eastAsia="SimSun"/>
          <w:szCs w:val="20"/>
        </w:rPr>
        <w:t xml:space="preserve"> requirement</w:t>
      </w:r>
      <w:r w:rsidR="006F2661">
        <w:rPr>
          <w:rFonts w:eastAsia="SimSun"/>
          <w:szCs w:val="20"/>
        </w:rPr>
        <w:t xml:space="preserve"> for a Commission space station licensee</w:t>
      </w:r>
      <w:r w:rsidR="008C026B">
        <w:rPr>
          <w:rFonts w:eastAsia="SimSun"/>
          <w:szCs w:val="20"/>
        </w:rPr>
        <w:t xml:space="preserve"> to </w:t>
      </w:r>
      <w:r w:rsidR="008C026B">
        <w:rPr>
          <w:rFonts w:eastAsia="SimSun"/>
          <w:szCs w:val="20"/>
        </w:rPr>
        <w:lastRenderedPageBreak/>
        <w:t xml:space="preserve">protect its satellite command uplinks and telemetry downlinks using encryption and </w:t>
      </w:r>
      <w:r>
        <w:rPr>
          <w:rFonts w:eastAsia="SimSun"/>
          <w:szCs w:val="20"/>
        </w:rPr>
        <w:t xml:space="preserve">expects that </w:t>
      </w:r>
      <w:r w:rsidR="00D8518A">
        <w:rPr>
          <w:rFonts w:eastAsia="SimSun"/>
          <w:szCs w:val="20"/>
        </w:rPr>
        <w:t>other</w:t>
      </w:r>
      <w:r>
        <w:rPr>
          <w:rFonts w:eastAsia="SimSun"/>
          <w:szCs w:val="20"/>
        </w:rPr>
        <w:t xml:space="preserve"> commenters will address</w:t>
      </w:r>
      <w:r w:rsidR="003C629F">
        <w:rPr>
          <w:rFonts w:eastAsia="SimSun"/>
          <w:szCs w:val="20"/>
        </w:rPr>
        <w:t xml:space="preserve"> </w:t>
      </w:r>
      <w:r>
        <w:rPr>
          <w:rFonts w:eastAsia="SimSun"/>
          <w:szCs w:val="20"/>
        </w:rPr>
        <w:t>other aspects of the Commission’s NPRM</w:t>
      </w:r>
      <w:r w:rsidR="003C629F">
        <w:rPr>
          <w:rFonts w:eastAsia="SimSun"/>
          <w:szCs w:val="20"/>
        </w:rPr>
        <w:t>.</w:t>
      </w:r>
      <w:r w:rsidR="00AA751D">
        <w:rPr>
          <w:rStyle w:val="FootnoteReference"/>
          <w:rFonts w:eastAsia="SimSun"/>
          <w:szCs w:val="20"/>
        </w:rPr>
        <w:footnoteReference w:id="5"/>
      </w:r>
      <w:r w:rsidR="000A6829">
        <w:rPr>
          <w:rFonts w:eastAsia="SimSun"/>
          <w:szCs w:val="20"/>
        </w:rPr>
        <w:t xml:space="preserve"> </w:t>
      </w:r>
    </w:p>
    <w:p w14:paraId="53C1D35E" w14:textId="5D75895D" w:rsidR="00A162BE" w:rsidRDefault="000A6829" w:rsidP="00D53DCB">
      <w:pPr>
        <w:spacing w:line="480" w:lineRule="auto"/>
        <w:ind w:firstLine="720"/>
        <w:jc w:val="both"/>
        <w:rPr>
          <w:rFonts w:eastAsia="SimSun"/>
          <w:szCs w:val="20"/>
        </w:rPr>
      </w:pPr>
      <w:r>
        <w:rPr>
          <w:rFonts w:eastAsia="SimSun"/>
          <w:szCs w:val="20"/>
        </w:rPr>
        <w:t>In order to control the orbital environment</w:t>
      </w:r>
      <w:r w:rsidR="00817EC2">
        <w:rPr>
          <w:rFonts w:eastAsia="SimSun"/>
          <w:szCs w:val="20"/>
        </w:rPr>
        <w:t>,</w:t>
      </w:r>
      <w:r>
        <w:rPr>
          <w:rFonts w:eastAsia="SimSun"/>
          <w:szCs w:val="20"/>
        </w:rPr>
        <w:t xml:space="preserve"> it is clear </w:t>
      </w:r>
      <w:r w:rsidR="009C5646">
        <w:rPr>
          <w:rFonts w:eastAsia="SimSun"/>
          <w:szCs w:val="20"/>
        </w:rPr>
        <w:t xml:space="preserve">that satellite operators must take </w:t>
      </w:r>
      <w:r w:rsidR="00595BF0">
        <w:rPr>
          <w:rFonts w:eastAsia="SimSun"/>
          <w:szCs w:val="20"/>
        </w:rPr>
        <w:t>responsible</w:t>
      </w:r>
      <w:r w:rsidR="009C5646">
        <w:rPr>
          <w:rFonts w:eastAsia="SimSun"/>
          <w:szCs w:val="20"/>
        </w:rPr>
        <w:t xml:space="preserve"> measures to ensure that they, and only they, can remotely command their satellites to maneuver</w:t>
      </w:r>
      <w:r w:rsidR="00912010">
        <w:rPr>
          <w:rFonts w:eastAsia="SimSun"/>
          <w:szCs w:val="20"/>
        </w:rPr>
        <w:t xml:space="preserve"> and communicate. Unauthorized commands sent to a satellite could cause changes to its location and velocity and/or alter its communications payload(s), increasing the possibility it would cause harmful interference to other systems or even become involved in a collision with other satellites or orbital debris</w:t>
      </w:r>
      <w:r w:rsidR="00D53DCB">
        <w:rPr>
          <w:rFonts w:eastAsia="SimSun"/>
          <w:szCs w:val="20"/>
        </w:rPr>
        <w:t>. An on-orbit collision with another satellite or orbital debris could, depending on the objects and relative velocities involved, result in long-lived space debris that could degrade or even make infeasible the use of certain orbits</w:t>
      </w:r>
      <w:r w:rsidR="00D24500">
        <w:rPr>
          <w:rFonts w:eastAsia="SimSun"/>
          <w:szCs w:val="20"/>
        </w:rPr>
        <w:t>. The satellite operators and their authorizing nations, including the United States</w:t>
      </w:r>
      <w:r w:rsidR="008834EF">
        <w:rPr>
          <w:rFonts w:eastAsia="SimSun"/>
          <w:szCs w:val="20"/>
        </w:rPr>
        <w:t xml:space="preserve"> itself</w:t>
      </w:r>
      <w:r w:rsidR="00D24500">
        <w:rPr>
          <w:rFonts w:eastAsia="SimSun"/>
          <w:szCs w:val="20"/>
        </w:rPr>
        <w:t xml:space="preserve">, </w:t>
      </w:r>
      <w:r w:rsidR="00CE0F8D">
        <w:rPr>
          <w:rFonts w:eastAsia="SimSun"/>
          <w:szCs w:val="20"/>
        </w:rPr>
        <w:t>would likely suffer irreparable reputational damage and</w:t>
      </w:r>
      <w:r w:rsidR="008834EF">
        <w:rPr>
          <w:rFonts w:eastAsia="SimSun"/>
          <w:szCs w:val="20"/>
        </w:rPr>
        <w:t xml:space="preserve">, in the case of operators authorized by the FCC, </w:t>
      </w:r>
      <w:r w:rsidR="00D24500">
        <w:rPr>
          <w:rFonts w:eastAsia="SimSun"/>
          <w:szCs w:val="20"/>
        </w:rPr>
        <w:t xml:space="preserve">become </w:t>
      </w:r>
      <w:r w:rsidR="008834EF">
        <w:rPr>
          <w:rFonts w:eastAsia="SimSun"/>
          <w:szCs w:val="20"/>
        </w:rPr>
        <w:t>embroiled</w:t>
      </w:r>
      <w:r w:rsidR="00080622">
        <w:rPr>
          <w:rFonts w:eastAsia="SimSun"/>
          <w:szCs w:val="20"/>
        </w:rPr>
        <w:t xml:space="preserve"> in extended discussions of </w:t>
      </w:r>
      <w:r w:rsidR="008834EF">
        <w:rPr>
          <w:rFonts w:eastAsia="SimSun"/>
          <w:szCs w:val="20"/>
        </w:rPr>
        <w:t xml:space="preserve">U.S. </w:t>
      </w:r>
      <w:r w:rsidR="00080622">
        <w:rPr>
          <w:rFonts w:eastAsia="SimSun"/>
          <w:szCs w:val="20"/>
        </w:rPr>
        <w:t>lia</w:t>
      </w:r>
      <w:r w:rsidR="00CE0F8D">
        <w:rPr>
          <w:rFonts w:eastAsia="SimSun"/>
          <w:szCs w:val="20"/>
        </w:rPr>
        <w:t>bility under</w:t>
      </w:r>
      <w:r w:rsidR="00603FF1">
        <w:rPr>
          <w:rFonts w:eastAsia="SimSun"/>
          <w:szCs w:val="20"/>
        </w:rPr>
        <w:t xml:space="preserve"> the Outer Space Treaty, the Liability Convention, and other laws.</w:t>
      </w:r>
      <w:r w:rsidR="00603FF1">
        <w:rPr>
          <w:rStyle w:val="FootnoteReference"/>
          <w:rFonts w:eastAsia="SimSun"/>
          <w:szCs w:val="20"/>
        </w:rPr>
        <w:footnoteReference w:id="6"/>
      </w:r>
      <w:r w:rsidR="00023C31">
        <w:rPr>
          <w:rFonts w:eastAsia="SimSun"/>
          <w:szCs w:val="20"/>
        </w:rPr>
        <w:t xml:space="preserve"> It is essential the </w:t>
      </w:r>
      <w:r w:rsidR="007963BF">
        <w:rPr>
          <w:rFonts w:eastAsia="SimSun"/>
          <w:szCs w:val="20"/>
        </w:rPr>
        <w:t xml:space="preserve">entire </w:t>
      </w:r>
      <w:r w:rsidR="00023C31">
        <w:rPr>
          <w:rFonts w:eastAsia="SimSun"/>
          <w:szCs w:val="20"/>
        </w:rPr>
        <w:t>space community work together to prevent a</w:t>
      </w:r>
      <w:r w:rsidR="00F71797">
        <w:rPr>
          <w:rFonts w:eastAsia="SimSun"/>
          <w:szCs w:val="20"/>
        </w:rPr>
        <w:t xml:space="preserve">ny collisions, and ensuring positive control of satellite command systems is an important part of an overall approach to space safety and sustainability. </w:t>
      </w:r>
    </w:p>
    <w:p w14:paraId="43D0E9E2" w14:textId="3953A69D" w:rsidR="00A162BE" w:rsidRDefault="00A162BE" w:rsidP="00A162BE">
      <w:pPr>
        <w:tabs>
          <w:tab w:val="left" w:pos="720"/>
        </w:tabs>
        <w:ind w:left="720" w:hanging="720"/>
        <w:jc w:val="both"/>
        <w:outlineLvl w:val="0"/>
        <w:rPr>
          <w:rFonts w:eastAsia="SimSun"/>
          <w:b/>
          <w:szCs w:val="20"/>
        </w:rPr>
      </w:pPr>
      <w:r w:rsidRPr="00A162BE">
        <w:rPr>
          <w:rFonts w:eastAsia="SimSun"/>
          <w:b/>
          <w:szCs w:val="20"/>
        </w:rPr>
        <w:t>II.</w:t>
      </w:r>
      <w:r>
        <w:rPr>
          <w:rFonts w:eastAsia="SimSun"/>
          <w:b/>
          <w:szCs w:val="20"/>
        </w:rPr>
        <w:tab/>
        <w:t>SATELLITES ARE SUBJECT TO CYBERSECURITY RISKS</w:t>
      </w:r>
      <w:r w:rsidR="008722D2">
        <w:rPr>
          <w:rFonts w:eastAsia="SimSun"/>
          <w:b/>
          <w:szCs w:val="20"/>
        </w:rPr>
        <w:t xml:space="preserve"> INCLUDING COMMAND INTRUSION</w:t>
      </w:r>
    </w:p>
    <w:p w14:paraId="372EF2F6" w14:textId="1F2B9C43" w:rsidR="00334831" w:rsidRDefault="00334831" w:rsidP="00A162BE">
      <w:pPr>
        <w:tabs>
          <w:tab w:val="left" w:pos="720"/>
        </w:tabs>
        <w:ind w:left="720" w:hanging="720"/>
        <w:jc w:val="both"/>
        <w:outlineLvl w:val="0"/>
        <w:rPr>
          <w:rFonts w:eastAsia="SimSun"/>
          <w:b/>
          <w:szCs w:val="20"/>
        </w:rPr>
      </w:pPr>
    </w:p>
    <w:p w14:paraId="2CB88561" w14:textId="190E75A7" w:rsidR="00334831" w:rsidRDefault="00334831" w:rsidP="0098263A">
      <w:pPr>
        <w:tabs>
          <w:tab w:val="left" w:pos="720"/>
        </w:tabs>
        <w:spacing w:line="480" w:lineRule="auto"/>
        <w:jc w:val="both"/>
        <w:outlineLvl w:val="0"/>
        <w:rPr>
          <w:rFonts w:eastAsia="SimSun"/>
          <w:szCs w:val="20"/>
        </w:rPr>
      </w:pPr>
      <w:r>
        <w:rPr>
          <w:rFonts w:eastAsia="SimSun"/>
          <w:b/>
          <w:szCs w:val="20"/>
        </w:rPr>
        <w:tab/>
      </w:r>
      <w:r w:rsidR="008057CF">
        <w:rPr>
          <w:rFonts w:eastAsia="SimSun"/>
          <w:szCs w:val="20"/>
        </w:rPr>
        <w:t xml:space="preserve">Unfortunately, the fact that satellites are located in space does not make them immune from attempts to </w:t>
      </w:r>
      <w:r w:rsidR="00755BA9">
        <w:rPr>
          <w:rFonts w:eastAsia="SimSun"/>
          <w:szCs w:val="20"/>
        </w:rPr>
        <w:t xml:space="preserve">interfere with their operation. </w:t>
      </w:r>
      <w:r>
        <w:rPr>
          <w:rFonts w:eastAsia="SimSun"/>
          <w:szCs w:val="20"/>
        </w:rPr>
        <w:t xml:space="preserve">The United States Department of Defense and the Intelligence Community closely monitor </w:t>
      </w:r>
      <w:r w:rsidR="00B946FD">
        <w:rPr>
          <w:rFonts w:eastAsia="SimSun"/>
          <w:szCs w:val="20"/>
        </w:rPr>
        <w:t>threats</w:t>
      </w:r>
      <w:r>
        <w:rPr>
          <w:rFonts w:eastAsia="SimSun"/>
          <w:szCs w:val="20"/>
        </w:rPr>
        <w:t xml:space="preserve"> to satellite systems, including civil and commercial systems</w:t>
      </w:r>
      <w:r w:rsidR="008722D2">
        <w:rPr>
          <w:rFonts w:eastAsia="SimSun"/>
          <w:szCs w:val="20"/>
        </w:rPr>
        <w:t>.</w:t>
      </w:r>
      <w:r w:rsidR="005D40B9">
        <w:rPr>
          <w:rFonts w:eastAsia="SimSun"/>
          <w:szCs w:val="20"/>
        </w:rPr>
        <w:t xml:space="preserve"> T</w:t>
      </w:r>
      <w:r w:rsidR="008722D2">
        <w:rPr>
          <w:rFonts w:eastAsia="SimSun"/>
          <w:szCs w:val="20"/>
        </w:rPr>
        <w:t>he National Air and Space Intelligence Center (NASIC), a highly-regarded center of expertise on space threats and trends</w:t>
      </w:r>
      <w:r w:rsidR="00755BA9">
        <w:rPr>
          <w:rFonts w:eastAsia="SimSun"/>
          <w:szCs w:val="20"/>
        </w:rPr>
        <w:t xml:space="preserve"> </w:t>
      </w:r>
      <w:r>
        <w:rPr>
          <w:rFonts w:eastAsia="SimSun"/>
          <w:szCs w:val="20"/>
        </w:rPr>
        <w:t>recently released a</w:t>
      </w:r>
      <w:r w:rsidR="009F6292">
        <w:rPr>
          <w:rFonts w:eastAsia="SimSun"/>
          <w:szCs w:val="20"/>
        </w:rPr>
        <w:t>n unclassified</w:t>
      </w:r>
      <w:r>
        <w:rPr>
          <w:rFonts w:eastAsia="SimSun"/>
          <w:szCs w:val="20"/>
        </w:rPr>
        <w:t xml:space="preserve"> report</w:t>
      </w:r>
      <w:r w:rsidR="008722D2">
        <w:rPr>
          <w:rFonts w:eastAsia="SimSun"/>
          <w:szCs w:val="20"/>
        </w:rPr>
        <w:t>, “Competing in Space” covering trends, challenges, and threats to U.S. and allied use of space.</w:t>
      </w:r>
      <w:r w:rsidR="008722D2">
        <w:rPr>
          <w:rStyle w:val="FootnoteReference"/>
          <w:rFonts w:eastAsia="SimSun"/>
          <w:szCs w:val="20"/>
        </w:rPr>
        <w:footnoteReference w:id="7"/>
      </w:r>
      <w:r w:rsidR="0098263A">
        <w:rPr>
          <w:rFonts w:eastAsia="SimSun"/>
          <w:szCs w:val="20"/>
        </w:rPr>
        <w:t xml:space="preserve"> </w:t>
      </w:r>
      <w:r>
        <w:rPr>
          <w:rFonts w:eastAsia="SimSun"/>
          <w:szCs w:val="20"/>
        </w:rPr>
        <w:t>NASIC notes that “[s]</w:t>
      </w:r>
      <w:r w:rsidRPr="00334831">
        <w:rPr>
          <w:rFonts w:eastAsia="SimSun"/>
          <w:szCs w:val="20"/>
        </w:rPr>
        <w:t xml:space="preserve">atellite command and data distribution networks expose space systems, ground infrastructure, users, and the links connecting these segments to cyber threats. </w:t>
      </w:r>
    </w:p>
    <w:p w14:paraId="7D6253DC" w14:textId="77777777" w:rsidR="00334831" w:rsidRDefault="00334831" w:rsidP="00A162BE">
      <w:pPr>
        <w:tabs>
          <w:tab w:val="left" w:pos="720"/>
        </w:tabs>
        <w:ind w:left="720" w:hanging="720"/>
        <w:jc w:val="both"/>
        <w:outlineLvl w:val="0"/>
        <w:rPr>
          <w:rFonts w:eastAsia="SimSun"/>
          <w:szCs w:val="20"/>
        </w:rPr>
      </w:pPr>
    </w:p>
    <w:p w14:paraId="50DF261F" w14:textId="11541F14" w:rsidR="00334831" w:rsidRDefault="00334831" w:rsidP="00C96687">
      <w:pPr>
        <w:tabs>
          <w:tab w:val="left" w:pos="720"/>
        </w:tabs>
        <w:ind w:left="720" w:hanging="720"/>
        <w:jc w:val="center"/>
        <w:outlineLvl w:val="0"/>
        <w:rPr>
          <w:rFonts w:eastAsia="SimSun"/>
          <w:szCs w:val="20"/>
        </w:rPr>
      </w:pPr>
      <w:r w:rsidRPr="00334831">
        <w:rPr>
          <w:rFonts w:eastAsia="SimSun"/>
          <w:noProof/>
          <w:szCs w:val="20"/>
        </w:rPr>
        <w:drawing>
          <wp:inline distT="0" distB="0" distL="0" distR="0" wp14:anchorId="41EEB3F0" wp14:editId="09F1BA7C">
            <wp:extent cx="3577590" cy="29946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7590" cy="2994660"/>
                    </a:xfrm>
                    <a:prstGeom prst="rect">
                      <a:avLst/>
                    </a:prstGeom>
                    <a:noFill/>
                    <a:ln>
                      <a:noFill/>
                    </a:ln>
                  </pic:spPr>
                </pic:pic>
              </a:graphicData>
            </a:graphic>
          </wp:inline>
        </w:drawing>
      </w:r>
    </w:p>
    <w:p w14:paraId="6338EEFF" w14:textId="77777777" w:rsidR="008722D2" w:rsidRDefault="008722D2" w:rsidP="008722D2">
      <w:pPr>
        <w:tabs>
          <w:tab w:val="left" w:pos="720"/>
        </w:tabs>
        <w:jc w:val="both"/>
        <w:outlineLvl w:val="0"/>
        <w:rPr>
          <w:rFonts w:eastAsia="SimSun"/>
          <w:szCs w:val="20"/>
        </w:rPr>
      </w:pPr>
    </w:p>
    <w:p w14:paraId="7B0A7F12" w14:textId="335DBB4E" w:rsidR="00D10774" w:rsidRDefault="008722D2" w:rsidP="007A4E82">
      <w:pPr>
        <w:tabs>
          <w:tab w:val="left" w:pos="720"/>
        </w:tabs>
        <w:ind w:left="720" w:hanging="720"/>
        <w:jc w:val="both"/>
        <w:outlineLvl w:val="0"/>
        <w:rPr>
          <w:rFonts w:eastAsia="SimSun"/>
          <w:szCs w:val="20"/>
        </w:rPr>
      </w:pPr>
      <w:r w:rsidRPr="00334831">
        <w:rPr>
          <w:rFonts w:eastAsia="SimSun"/>
          <w:szCs w:val="20"/>
        </w:rPr>
        <w:t xml:space="preserve">The graphic </w:t>
      </w:r>
      <w:r>
        <w:rPr>
          <w:rFonts w:eastAsia="SimSun"/>
          <w:szCs w:val="20"/>
        </w:rPr>
        <w:t>[above]</w:t>
      </w:r>
      <w:r w:rsidRPr="00334831">
        <w:rPr>
          <w:rFonts w:eastAsia="SimSun"/>
          <w:szCs w:val="20"/>
        </w:rPr>
        <w:t xml:space="preserve"> indicates possible cyber threats to each of a space system’s segments.</w:t>
      </w:r>
      <w:r>
        <w:rPr>
          <w:rFonts w:eastAsia="SimSun"/>
          <w:szCs w:val="20"/>
        </w:rPr>
        <w:t>”</w:t>
      </w:r>
      <w:r>
        <w:rPr>
          <w:rStyle w:val="FootnoteReference"/>
          <w:rFonts w:eastAsia="SimSun"/>
          <w:szCs w:val="20"/>
        </w:rPr>
        <w:footnoteReference w:id="8"/>
      </w:r>
    </w:p>
    <w:p w14:paraId="10355C9F" w14:textId="77777777" w:rsidR="005B1AC6" w:rsidRDefault="0098263A" w:rsidP="0098263A">
      <w:pPr>
        <w:tabs>
          <w:tab w:val="left" w:pos="0"/>
        </w:tabs>
        <w:spacing w:line="480" w:lineRule="auto"/>
        <w:jc w:val="both"/>
        <w:outlineLvl w:val="0"/>
        <w:rPr>
          <w:rFonts w:eastAsia="SimSun"/>
          <w:szCs w:val="20"/>
        </w:rPr>
      </w:pPr>
      <w:r>
        <w:rPr>
          <w:rFonts w:eastAsia="SimSun"/>
          <w:szCs w:val="20"/>
        </w:rPr>
        <w:tab/>
      </w:r>
    </w:p>
    <w:p w14:paraId="0A97A23F" w14:textId="5CF93597" w:rsidR="00A63B2B" w:rsidRDefault="005B1AC6" w:rsidP="0098263A">
      <w:pPr>
        <w:tabs>
          <w:tab w:val="left" w:pos="0"/>
        </w:tabs>
        <w:spacing w:line="480" w:lineRule="auto"/>
        <w:jc w:val="both"/>
        <w:outlineLvl w:val="0"/>
        <w:rPr>
          <w:rFonts w:eastAsia="SimSun"/>
          <w:szCs w:val="20"/>
        </w:rPr>
      </w:pPr>
      <w:r>
        <w:rPr>
          <w:rFonts w:eastAsia="SimSun"/>
          <w:szCs w:val="20"/>
        </w:rPr>
        <w:tab/>
      </w:r>
      <w:r w:rsidR="009F6292">
        <w:rPr>
          <w:rFonts w:eastAsia="SimSun"/>
          <w:szCs w:val="20"/>
        </w:rPr>
        <w:t xml:space="preserve">As the unclassified NASIC Report shows, U.S. Government </w:t>
      </w:r>
      <w:r w:rsidR="00476FAD">
        <w:rPr>
          <w:rFonts w:eastAsia="SimSun"/>
          <w:szCs w:val="20"/>
        </w:rPr>
        <w:t xml:space="preserve">experts are </w:t>
      </w:r>
      <w:r w:rsidR="009F6292">
        <w:rPr>
          <w:rFonts w:eastAsia="SimSun"/>
          <w:szCs w:val="20"/>
        </w:rPr>
        <w:t>concern</w:t>
      </w:r>
      <w:r w:rsidR="00476FAD">
        <w:rPr>
          <w:rFonts w:eastAsia="SimSun"/>
          <w:szCs w:val="20"/>
        </w:rPr>
        <w:t>ed</w:t>
      </w:r>
      <w:r w:rsidR="009F6292">
        <w:rPr>
          <w:rFonts w:eastAsia="SimSun"/>
          <w:szCs w:val="20"/>
        </w:rPr>
        <w:t xml:space="preserve"> </w:t>
      </w:r>
      <w:r w:rsidR="00BA4C7F">
        <w:rPr>
          <w:rFonts w:eastAsia="SimSun"/>
          <w:szCs w:val="20"/>
        </w:rPr>
        <w:t>about</w:t>
      </w:r>
      <w:r w:rsidR="009F6292">
        <w:rPr>
          <w:rFonts w:eastAsia="SimSun"/>
          <w:szCs w:val="20"/>
        </w:rPr>
        <w:t xml:space="preserve"> threats of Command Intrusion, Payload Control, and Denial of Service to the Space Segment.</w:t>
      </w:r>
      <w:r w:rsidR="00AA35E2">
        <w:rPr>
          <w:rStyle w:val="FootnoteReference"/>
          <w:rFonts w:eastAsia="SimSun"/>
          <w:szCs w:val="20"/>
        </w:rPr>
        <w:footnoteReference w:id="9"/>
      </w:r>
    </w:p>
    <w:p w14:paraId="234C6D93" w14:textId="47114182" w:rsidR="00FA4754" w:rsidRDefault="00D05178" w:rsidP="0098263A">
      <w:pPr>
        <w:tabs>
          <w:tab w:val="left" w:pos="0"/>
        </w:tabs>
        <w:spacing w:line="480" w:lineRule="auto"/>
        <w:jc w:val="both"/>
        <w:outlineLvl w:val="0"/>
        <w:rPr>
          <w:rFonts w:eastAsia="SimSun"/>
          <w:szCs w:val="20"/>
        </w:rPr>
      </w:pPr>
      <w:r>
        <w:rPr>
          <w:rFonts w:eastAsia="SimSun"/>
          <w:szCs w:val="20"/>
        </w:rPr>
        <w:t>Even more than a decade ago t</w:t>
      </w:r>
      <w:r w:rsidR="00AF639C">
        <w:rPr>
          <w:rFonts w:eastAsia="SimSun"/>
          <w:szCs w:val="20"/>
        </w:rPr>
        <w:t xml:space="preserve">here </w:t>
      </w:r>
      <w:r>
        <w:rPr>
          <w:rFonts w:eastAsia="SimSun"/>
          <w:szCs w:val="20"/>
        </w:rPr>
        <w:t>were</w:t>
      </w:r>
      <w:r w:rsidR="00AF639C">
        <w:rPr>
          <w:rFonts w:eastAsia="SimSun"/>
          <w:szCs w:val="20"/>
        </w:rPr>
        <w:t xml:space="preserve"> reports of </w:t>
      </w:r>
      <w:r w:rsidR="001A5E88">
        <w:rPr>
          <w:rFonts w:eastAsia="SimSun"/>
          <w:szCs w:val="20"/>
        </w:rPr>
        <w:t xml:space="preserve">potential satellite </w:t>
      </w:r>
      <w:r w:rsidR="00B51EF8">
        <w:rPr>
          <w:rFonts w:eastAsia="SimSun"/>
          <w:szCs w:val="20"/>
        </w:rPr>
        <w:t xml:space="preserve">space segment </w:t>
      </w:r>
      <w:r w:rsidR="001A5E88">
        <w:rPr>
          <w:rFonts w:eastAsia="SimSun"/>
          <w:szCs w:val="20"/>
        </w:rPr>
        <w:t>hack</w:t>
      </w:r>
      <w:r w:rsidR="001320FF">
        <w:rPr>
          <w:rFonts w:eastAsia="SimSun"/>
          <w:szCs w:val="20"/>
        </w:rPr>
        <w:t xml:space="preserve"> attempts to </w:t>
      </w:r>
      <w:r w:rsidR="00B51EF8">
        <w:rPr>
          <w:rFonts w:eastAsia="SimSun"/>
          <w:szCs w:val="20"/>
        </w:rPr>
        <w:t xml:space="preserve">two </w:t>
      </w:r>
      <w:r w:rsidR="001320FF">
        <w:rPr>
          <w:rFonts w:eastAsia="SimSun"/>
          <w:szCs w:val="20"/>
        </w:rPr>
        <w:t>NGSO satellites (</w:t>
      </w:r>
      <w:r>
        <w:rPr>
          <w:rFonts w:eastAsia="SimSun"/>
          <w:szCs w:val="20"/>
        </w:rPr>
        <w:t>Terra AM-1 and LANDSAT-7).</w:t>
      </w:r>
      <w:r>
        <w:rPr>
          <w:rStyle w:val="FootnoteReference"/>
          <w:rFonts w:eastAsia="SimSun"/>
          <w:szCs w:val="20"/>
        </w:rPr>
        <w:footnoteReference w:id="10"/>
      </w:r>
      <w:r w:rsidR="00B51EF8">
        <w:rPr>
          <w:rFonts w:eastAsia="SimSun"/>
          <w:szCs w:val="20"/>
        </w:rPr>
        <w:t xml:space="preserve"> </w:t>
      </w:r>
      <w:r w:rsidR="00C52190">
        <w:rPr>
          <w:rFonts w:eastAsia="SimSun"/>
          <w:szCs w:val="20"/>
        </w:rPr>
        <w:t xml:space="preserve">In 2014 China allegedly </w:t>
      </w:r>
      <w:r w:rsidR="0024006E">
        <w:rPr>
          <w:rFonts w:eastAsia="SimSun"/>
          <w:szCs w:val="20"/>
        </w:rPr>
        <w:t>compromised the systems</w:t>
      </w:r>
      <w:r w:rsidR="005D734D">
        <w:rPr>
          <w:rFonts w:eastAsia="SimSun"/>
          <w:szCs w:val="20"/>
        </w:rPr>
        <w:t xml:space="preserve"> and data products of the</w:t>
      </w:r>
      <w:r w:rsidR="0024006E">
        <w:rPr>
          <w:rFonts w:eastAsia="SimSun"/>
          <w:szCs w:val="20"/>
        </w:rPr>
        <w:t xml:space="preserve"> NOAA</w:t>
      </w:r>
      <w:r w:rsidR="00DF6A26">
        <w:rPr>
          <w:rFonts w:eastAsia="SimSun"/>
          <w:szCs w:val="20"/>
        </w:rPr>
        <w:t xml:space="preserve"> National Weather Service satellites at four sites</w:t>
      </w:r>
      <w:r w:rsidR="00045FE5">
        <w:rPr>
          <w:rFonts w:eastAsia="SimSun"/>
          <w:szCs w:val="20"/>
        </w:rPr>
        <w:t>, reportedly through compromise of the ground systems</w:t>
      </w:r>
      <w:r w:rsidR="00DF6A26">
        <w:rPr>
          <w:rFonts w:eastAsia="SimSun"/>
          <w:szCs w:val="20"/>
        </w:rPr>
        <w:t>.</w:t>
      </w:r>
      <w:r w:rsidR="00DF6A26">
        <w:rPr>
          <w:rStyle w:val="FootnoteReference"/>
          <w:rFonts w:eastAsia="SimSun"/>
          <w:szCs w:val="20"/>
        </w:rPr>
        <w:footnoteReference w:id="11"/>
      </w:r>
      <w:r w:rsidR="007B4829">
        <w:rPr>
          <w:rFonts w:eastAsia="SimSun"/>
          <w:szCs w:val="20"/>
        </w:rPr>
        <w:t xml:space="preserve"> </w:t>
      </w:r>
      <w:r w:rsidR="00FD5701">
        <w:rPr>
          <w:rFonts w:eastAsia="SimSun"/>
          <w:szCs w:val="20"/>
        </w:rPr>
        <w:t>Private sector security experts suggest that “historically, the engineers behind satellites and their communications structures have been governed by the principle of safety – but only recently, information security has started making its way onto designers’ radars.”</w:t>
      </w:r>
      <w:r w:rsidR="00FD5701">
        <w:rPr>
          <w:rStyle w:val="FootnoteReference"/>
          <w:rFonts w:eastAsia="SimSun"/>
          <w:szCs w:val="20"/>
        </w:rPr>
        <w:footnoteReference w:id="12"/>
      </w:r>
      <w:r w:rsidR="00FD5701">
        <w:rPr>
          <w:rFonts w:eastAsia="SimSun"/>
          <w:szCs w:val="20"/>
        </w:rPr>
        <w:t xml:space="preserve"> </w:t>
      </w:r>
      <w:r w:rsidR="00A06A8F">
        <w:rPr>
          <w:rFonts w:eastAsia="SimSun"/>
          <w:szCs w:val="20"/>
        </w:rPr>
        <w:t>O</w:t>
      </w:r>
      <w:r w:rsidR="00FA4754">
        <w:rPr>
          <w:rFonts w:eastAsia="SimSun"/>
          <w:szCs w:val="20"/>
        </w:rPr>
        <w:t xml:space="preserve">ther satellites </w:t>
      </w:r>
      <w:r w:rsidR="00A06A8F">
        <w:rPr>
          <w:rFonts w:eastAsia="SimSun"/>
          <w:szCs w:val="20"/>
        </w:rPr>
        <w:t xml:space="preserve">may </w:t>
      </w:r>
      <w:r w:rsidR="00FA4754">
        <w:rPr>
          <w:rFonts w:eastAsia="SimSun"/>
          <w:szCs w:val="20"/>
        </w:rPr>
        <w:t>have been targeted or even compromised</w:t>
      </w:r>
      <w:r w:rsidR="00D8530E">
        <w:rPr>
          <w:rFonts w:eastAsia="SimSun"/>
          <w:szCs w:val="20"/>
        </w:rPr>
        <w:t xml:space="preserve">, </w:t>
      </w:r>
      <w:r w:rsidR="00DF58FA">
        <w:rPr>
          <w:rFonts w:eastAsia="SimSun"/>
          <w:szCs w:val="20"/>
        </w:rPr>
        <w:t xml:space="preserve">but satellite operators </w:t>
      </w:r>
      <w:r w:rsidR="007C5B3D">
        <w:rPr>
          <w:rFonts w:eastAsia="SimSun"/>
          <w:szCs w:val="20"/>
        </w:rPr>
        <w:t xml:space="preserve">typically do not publicly </w:t>
      </w:r>
      <w:r w:rsidR="00DF58FA">
        <w:rPr>
          <w:rFonts w:eastAsia="SimSun"/>
          <w:szCs w:val="20"/>
        </w:rPr>
        <w:t>discuss their</w:t>
      </w:r>
      <w:r w:rsidR="00BC1D59">
        <w:rPr>
          <w:rFonts w:eastAsia="SimSun"/>
          <w:szCs w:val="20"/>
        </w:rPr>
        <w:t xml:space="preserve"> specific</w:t>
      </w:r>
      <w:r w:rsidR="00DF58FA">
        <w:rPr>
          <w:rFonts w:eastAsia="SimSun"/>
          <w:szCs w:val="20"/>
        </w:rPr>
        <w:t xml:space="preserve"> operations </w:t>
      </w:r>
      <w:r w:rsidR="00BC1D59">
        <w:rPr>
          <w:rFonts w:eastAsia="SimSun"/>
          <w:szCs w:val="20"/>
        </w:rPr>
        <w:t xml:space="preserve">or </w:t>
      </w:r>
      <w:r w:rsidR="00DF58FA">
        <w:rPr>
          <w:rFonts w:eastAsia="SimSun"/>
          <w:szCs w:val="20"/>
        </w:rPr>
        <w:t xml:space="preserve">cybersecurity posture. </w:t>
      </w:r>
    </w:p>
    <w:p w14:paraId="76C81C9C" w14:textId="077F477E" w:rsidR="00F9582D" w:rsidRDefault="009A0270" w:rsidP="0098263A">
      <w:pPr>
        <w:tabs>
          <w:tab w:val="left" w:pos="0"/>
        </w:tabs>
        <w:spacing w:line="480" w:lineRule="auto"/>
        <w:jc w:val="both"/>
        <w:outlineLvl w:val="0"/>
        <w:rPr>
          <w:rFonts w:eastAsia="SimSun"/>
          <w:szCs w:val="20"/>
        </w:rPr>
      </w:pPr>
      <w:r>
        <w:rPr>
          <w:rFonts w:eastAsia="SimSun"/>
          <w:szCs w:val="20"/>
        </w:rPr>
        <w:tab/>
      </w:r>
      <w:r w:rsidR="00661051">
        <w:rPr>
          <w:rFonts w:eastAsia="SimSun"/>
          <w:szCs w:val="20"/>
        </w:rPr>
        <w:t xml:space="preserve"> </w:t>
      </w:r>
      <w:r w:rsidR="00DF58FA">
        <w:rPr>
          <w:rFonts w:eastAsia="SimSun"/>
          <w:szCs w:val="20"/>
        </w:rPr>
        <w:t>Clearly, n</w:t>
      </w:r>
      <w:r w:rsidR="00045FE5">
        <w:rPr>
          <w:rFonts w:eastAsia="SimSun"/>
          <w:szCs w:val="20"/>
        </w:rPr>
        <w:t>o defense is impenetrable</w:t>
      </w:r>
      <w:r w:rsidR="00DF58FA">
        <w:rPr>
          <w:rFonts w:eastAsia="SimSun"/>
          <w:szCs w:val="20"/>
        </w:rPr>
        <w:t xml:space="preserve"> but </w:t>
      </w:r>
      <w:r w:rsidR="00435D2F">
        <w:rPr>
          <w:rFonts w:eastAsia="SimSun"/>
          <w:szCs w:val="20"/>
        </w:rPr>
        <w:t xml:space="preserve">making </w:t>
      </w:r>
      <w:r w:rsidR="00DF58FA">
        <w:rPr>
          <w:rFonts w:eastAsia="SimSun"/>
          <w:szCs w:val="20"/>
        </w:rPr>
        <w:t xml:space="preserve">no attempt at defense </w:t>
      </w:r>
      <w:r w:rsidR="00435D2F">
        <w:rPr>
          <w:rFonts w:eastAsia="SimSun"/>
          <w:szCs w:val="20"/>
        </w:rPr>
        <w:t>is</w:t>
      </w:r>
      <w:r w:rsidR="00DF58FA">
        <w:rPr>
          <w:rFonts w:eastAsia="SimSun"/>
          <w:szCs w:val="20"/>
        </w:rPr>
        <w:t xml:space="preserve"> unconscionable. In today’s cyber environment it is clear that s</w:t>
      </w:r>
      <w:r w:rsidR="00045FE5">
        <w:rPr>
          <w:rFonts w:eastAsia="SimSun"/>
          <w:szCs w:val="20"/>
        </w:rPr>
        <w:t xml:space="preserve">ecuring the command and telemetry links of satellites from unauthorized </w:t>
      </w:r>
      <w:r w:rsidR="00F9582D">
        <w:rPr>
          <w:rFonts w:eastAsia="SimSun"/>
          <w:szCs w:val="20"/>
        </w:rPr>
        <w:t xml:space="preserve">remote </w:t>
      </w:r>
      <w:r w:rsidR="00045FE5">
        <w:rPr>
          <w:rFonts w:eastAsia="SimSun"/>
          <w:szCs w:val="20"/>
        </w:rPr>
        <w:t>commands is an important consideration of an overall security program</w:t>
      </w:r>
      <w:r w:rsidR="00425C52">
        <w:rPr>
          <w:rFonts w:eastAsia="SimSun"/>
          <w:szCs w:val="20"/>
        </w:rPr>
        <w:t xml:space="preserve"> design</w:t>
      </w:r>
      <w:r w:rsidR="00045FE5">
        <w:rPr>
          <w:rFonts w:eastAsia="SimSun"/>
          <w:szCs w:val="20"/>
        </w:rPr>
        <w:t>. Encryption is widely used to protect access to network control devices, computers, and to secure information in transit across the Internet</w:t>
      </w:r>
      <w:r w:rsidR="000B1B5A">
        <w:rPr>
          <w:rFonts w:eastAsia="SimSun"/>
          <w:szCs w:val="20"/>
        </w:rPr>
        <w:t xml:space="preserve">; satellites can </w:t>
      </w:r>
      <w:r w:rsidR="00294734">
        <w:rPr>
          <w:rFonts w:eastAsia="SimSun"/>
          <w:szCs w:val="20"/>
        </w:rPr>
        <w:t xml:space="preserve">and do </w:t>
      </w:r>
      <w:r w:rsidR="000B1B5A">
        <w:rPr>
          <w:rFonts w:eastAsia="SimSun"/>
          <w:szCs w:val="20"/>
        </w:rPr>
        <w:t>use encryption, too</w:t>
      </w:r>
      <w:r w:rsidR="00045FE5">
        <w:rPr>
          <w:rFonts w:eastAsia="SimSun"/>
          <w:szCs w:val="20"/>
        </w:rPr>
        <w:t>.</w:t>
      </w:r>
      <w:r w:rsidR="008540EE">
        <w:rPr>
          <w:rStyle w:val="FootnoteReference"/>
          <w:rFonts w:eastAsia="SimSun"/>
          <w:szCs w:val="20"/>
        </w:rPr>
        <w:footnoteReference w:id="13"/>
      </w:r>
      <w:r w:rsidR="00045FE5">
        <w:rPr>
          <w:rFonts w:eastAsia="SimSun"/>
          <w:szCs w:val="20"/>
        </w:rPr>
        <w:t xml:space="preserve">  </w:t>
      </w:r>
      <w:r w:rsidR="0036266E">
        <w:rPr>
          <w:rFonts w:eastAsia="SimSun"/>
          <w:szCs w:val="20"/>
        </w:rPr>
        <w:t>Providence</w:t>
      </w:r>
      <w:r w:rsidR="005B4489">
        <w:rPr>
          <w:rFonts w:eastAsia="SimSun"/>
          <w:szCs w:val="20"/>
        </w:rPr>
        <w:t xml:space="preserve"> believe</w:t>
      </w:r>
      <w:r w:rsidR="0036266E">
        <w:rPr>
          <w:rFonts w:eastAsia="SimSun"/>
          <w:szCs w:val="20"/>
        </w:rPr>
        <w:t>s</w:t>
      </w:r>
      <w:r w:rsidR="005B4489">
        <w:rPr>
          <w:rFonts w:eastAsia="SimSun"/>
          <w:szCs w:val="20"/>
        </w:rPr>
        <w:t xml:space="preserve"> that embarking on a new satellite program without carefully considering security issues </w:t>
      </w:r>
      <w:r w:rsidR="00172E72">
        <w:rPr>
          <w:rFonts w:eastAsia="SimSun"/>
          <w:szCs w:val="20"/>
        </w:rPr>
        <w:t>designed to</w:t>
      </w:r>
      <w:r w:rsidR="006B0B0D">
        <w:rPr>
          <w:rFonts w:eastAsia="SimSun"/>
          <w:szCs w:val="20"/>
        </w:rPr>
        <w:t xml:space="preserve">  ensure the satellite operator maintains positive control of its system </w:t>
      </w:r>
      <w:r w:rsidR="005B4489">
        <w:rPr>
          <w:rFonts w:eastAsia="SimSun"/>
          <w:szCs w:val="20"/>
        </w:rPr>
        <w:t xml:space="preserve">is reckless. </w:t>
      </w:r>
    </w:p>
    <w:p w14:paraId="18DF735A" w14:textId="1760BF82" w:rsidR="00F9582D" w:rsidRDefault="00F9582D" w:rsidP="00425C52">
      <w:pPr>
        <w:tabs>
          <w:tab w:val="left" w:pos="720"/>
        </w:tabs>
        <w:ind w:left="720" w:hanging="720"/>
        <w:jc w:val="both"/>
        <w:outlineLvl w:val="0"/>
        <w:rPr>
          <w:rFonts w:eastAsia="SimSun"/>
          <w:b/>
          <w:szCs w:val="20"/>
        </w:rPr>
      </w:pPr>
      <w:r w:rsidRPr="00425C52">
        <w:rPr>
          <w:rFonts w:eastAsia="SimSun"/>
          <w:b/>
          <w:szCs w:val="20"/>
        </w:rPr>
        <w:t>III.</w:t>
      </w:r>
      <w:r w:rsidRPr="00425C52">
        <w:rPr>
          <w:rFonts w:eastAsia="SimSun"/>
          <w:b/>
          <w:szCs w:val="20"/>
        </w:rPr>
        <w:tab/>
        <w:t>THE COMMISSION’S PROPOSED RULE FOR ENCRYPTION</w:t>
      </w:r>
      <w:r w:rsidR="00D646BC" w:rsidRPr="00425C52">
        <w:rPr>
          <w:rFonts w:eastAsia="SimSun"/>
          <w:b/>
          <w:szCs w:val="20"/>
        </w:rPr>
        <w:t xml:space="preserve"> </w:t>
      </w:r>
      <w:r w:rsidR="00425C52" w:rsidRPr="00425C52">
        <w:rPr>
          <w:rFonts w:eastAsia="SimSun"/>
          <w:b/>
          <w:szCs w:val="20"/>
        </w:rPr>
        <w:t xml:space="preserve">SHOULD BE </w:t>
      </w:r>
      <w:r w:rsidR="00831434">
        <w:rPr>
          <w:rFonts w:eastAsia="SimSun"/>
          <w:b/>
          <w:szCs w:val="20"/>
        </w:rPr>
        <w:t>CLARIFIED</w:t>
      </w:r>
      <w:r w:rsidR="00620D94">
        <w:rPr>
          <w:rFonts w:eastAsia="SimSun"/>
          <w:b/>
          <w:szCs w:val="20"/>
        </w:rPr>
        <w:t xml:space="preserve"> BECAUSE </w:t>
      </w:r>
      <w:r w:rsidR="00620D94" w:rsidRPr="00031DB8">
        <w:rPr>
          <w:rFonts w:eastAsia="SimSun"/>
          <w:b/>
          <w:szCs w:val="20"/>
        </w:rPr>
        <w:t xml:space="preserve">DESIGNING AND IMPLEMENTING CRYPTOGRAPHY </w:t>
      </w:r>
      <w:r w:rsidR="00620D94">
        <w:rPr>
          <w:rFonts w:eastAsia="SimSun"/>
          <w:b/>
          <w:szCs w:val="20"/>
        </w:rPr>
        <w:t xml:space="preserve">WELL </w:t>
      </w:r>
      <w:r w:rsidR="00620D94" w:rsidRPr="00031DB8">
        <w:rPr>
          <w:rFonts w:eastAsia="SimSun"/>
          <w:b/>
          <w:szCs w:val="20"/>
        </w:rPr>
        <w:t xml:space="preserve">IS </w:t>
      </w:r>
      <w:r w:rsidR="001B7F3B">
        <w:rPr>
          <w:rFonts w:eastAsia="SimSun"/>
          <w:b/>
          <w:szCs w:val="20"/>
        </w:rPr>
        <w:t>VERY</w:t>
      </w:r>
      <w:r w:rsidR="00620D94" w:rsidRPr="00031DB8">
        <w:rPr>
          <w:rFonts w:eastAsia="SimSun"/>
          <w:b/>
          <w:szCs w:val="20"/>
        </w:rPr>
        <w:t xml:space="preserve"> DIFFICULT</w:t>
      </w:r>
    </w:p>
    <w:p w14:paraId="4639E3AC" w14:textId="77777777" w:rsidR="00425C52" w:rsidRPr="00425C52" w:rsidRDefault="00425C52" w:rsidP="00425C52">
      <w:pPr>
        <w:tabs>
          <w:tab w:val="left" w:pos="720"/>
        </w:tabs>
        <w:ind w:left="720" w:hanging="720"/>
        <w:jc w:val="both"/>
        <w:outlineLvl w:val="0"/>
        <w:rPr>
          <w:rFonts w:eastAsia="SimSun"/>
          <w:b/>
          <w:szCs w:val="20"/>
        </w:rPr>
      </w:pPr>
    </w:p>
    <w:p w14:paraId="7F61324D" w14:textId="6962E15F" w:rsidR="00425C52" w:rsidRDefault="00895A95" w:rsidP="000B1B5A">
      <w:pPr>
        <w:rPr>
          <w:rFonts w:eastAsia="SimSun"/>
          <w:szCs w:val="20"/>
        </w:rPr>
      </w:pPr>
      <w:r>
        <w:rPr>
          <w:rFonts w:eastAsia="SimSun"/>
          <w:szCs w:val="20"/>
        </w:rPr>
        <w:tab/>
        <w:t xml:space="preserve">The Commission proposes to adopt </w:t>
      </w:r>
      <w:r w:rsidR="008E1D0F">
        <w:rPr>
          <w:rFonts w:eastAsia="SimSun"/>
          <w:szCs w:val="20"/>
        </w:rPr>
        <w:t>the following</w:t>
      </w:r>
      <w:r>
        <w:rPr>
          <w:rFonts w:eastAsia="SimSun"/>
          <w:szCs w:val="20"/>
        </w:rPr>
        <w:t xml:space="preserve"> new </w:t>
      </w:r>
      <w:r w:rsidR="00CB1433">
        <w:rPr>
          <w:rFonts w:eastAsia="SimSun"/>
          <w:szCs w:val="20"/>
        </w:rPr>
        <w:t>Part 25.290</w:t>
      </w:r>
      <w:r w:rsidR="007D06BA">
        <w:rPr>
          <w:rFonts w:eastAsia="SimSun"/>
          <w:szCs w:val="20"/>
        </w:rPr>
        <w:t xml:space="preserve"> rule</w:t>
      </w:r>
      <w:r w:rsidR="00425C52">
        <w:rPr>
          <w:rFonts w:eastAsia="SimSun"/>
          <w:szCs w:val="20"/>
        </w:rPr>
        <w:t>:</w:t>
      </w:r>
    </w:p>
    <w:p w14:paraId="0A4E73F7" w14:textId="77777777" w:rsidR="00425C52" w:rsidRDefault="00425C52" w:rsidP="000B1B5A">
      <w:pPr>
        <w:rPr>
          <w:rFonts w:eastAsia="SimSun"/>
          <w:szCs w:val="20"/>
        </w:rPr>
      </w:pPr>
    </w:p>
    <w:p w14:paraId="739CF68D" w14:textId="544D3152" w:rsidR="004F021A" w:rsidRDefault="008E1D0F" w:rsidP="00425C52">
      <w:pPr>
        <w:ind w:left="1440"/>
        <w:rPr>
          <w:rFonts w:eastAsia="SimSun"/>
          <w:szCs w:val="20"/>
        </w:rPr>
      </w:pPr>
      <w:r>
        <w:rPr>
          <w:rFonts w:eastAsia="SimSun"/>
          <w:szCs w:val="20"/>
        </w:rPr>
        <w:t xml:space="preserve"> “</w:t>
      </w:r>
      <w:r w:rsidRPr="00425C52">
        <w:rPr>
          <w:rFonts w:eastAsia="SimSun"/>
          <w:i/>
          <w:szCs w:val="20"/>
        </w:rPr>
        <w:t>For space stations that include onboard propulsion systems, operators must encrypt telemetry, tracking, and command communications with the space station.</w:t>
      </w:r>
      <w:r>
        <w:rPr>
          <w:rFonts w:eastAsia="SimSun"/>
          <w:szCs w:val="20"/>
        </w:rPr>
        <w:t>”</w:t>
      </w:r>
      <w:r w:rsidR="00D5002E">
        <w:rPr>
          <w:rStyle w:val="FootnoteReference"/>
          <w:rFonts w:eastAsia="SimSun"/>
          <w:szCs w:val="20"/>
        </w:rPr>
        <w:footnoteReference w:id="14"/>
      </w:r>
    </w:p>
    <w:p w14:paraId="3069F7E6" w14:textId="538F0B32" w:rsidR="00425C52" w:rsidRDefault="00425C52" w:rsidP="00425C52">
      <w:pPr>
        <w:rPr>
          <w:rFonts w:eastAsia="SimSun"/>
          <w:szCs w:val="20"/>
        </w:rPr>
      </w:pPr>
    </w:p>
    <w:p w14:paraId="46B98037" w14:textId="63E1F0AD" w:rsidR="00294734" w:rsidRDefault="00240247" w:rsidP="007A4E82">
      <w:pPr>
        <w:spacing w:line="480" w:lineRule="auto"/>
        <w:ind w:firstLine="720"/>
        <w:rPr>
          <w:rFonts w:eastAsia="SimSun"/>
          <w:szCs w:val="20"/>
        </w:rPr>
      </w:pPr>
      <w:r>
        <w:rPr>
          <w:rFonts w:eastAsia="SimSun"/>
          <w:szCs w:val="20"/>
        </w:rPr>
        <w:t xml:space="preserve">The Commission’s rule is </w:t>
      </w:r>
      <w:r w:rsidR="007A4E82">
        <w:rPr>
          <w:rFonts w:eastAsia="SimSun"/>
          <w:szCs w:val="20"/>
        </w:rPr>
        <w:t xml:space="preserve">properly </w:t>
      </w:r>
      <w:r w:rsidR="006802E0">
        <w:rPr>
          <w:rFonts w:eastAsia="SimSun"/>
          <w:szCs w:val="20"/>
        </w:rPr>
        <w:t xml:space="preserve">limited to those space stations that if compromised could be </w:t>
      </w:r>
      <w:r w:rsidR="00C96687">
        <w:rPr>
          <w:rFonts w:eastAsia="SimSun"/>
          <w:szCs w:val="20"/>
        </w:rPr>
        <w:t xml:space="preserve">improperly </w:t>
      </w:r>
      <w:r w:rsidR="006802E0">
        <w:rPr>
          <w:rFonts w:eastAsia="SimSun"/>
          <w:szCs w:val="20"/>
        </w:rPr>
        <w:t>commanded to alter their orbits, posing a</w:t>
      </w:r>
      <w:r w:rsidR="000550DE">
        <w:rPr>
          <w:rFonts w:eastAsia="SimSun"/>
          <w:szCs w:val="20"/>
        </w:rPr>
        <w:t xml:space="preserve"> higher degree of collision risk or, presumably, of being maneuvered outside their coordinated orbits where their continued </w:t>
      </w:r>
      <w:r w:rsidR="00AC45F2">
        <w:rPr>
          <w:rFonts w:eastAsia="SimSun"/>
          <w:szCs w:val="20"/>
        </w:rPr>
        <w:t xml:space="preserve">operation and radio-frequency (RF) </w:t>
      </w:r>
      <w:r w:rsidR="000550DE">
        <w:rPr>
          <w:rFonts w:eastAsia="SimSun"/>
          <w:szCs w:val="20"/>
        </w:rPr>
        <w:t>emission</w:t>
      </w:r>
      <w:r w:rsidR="00AC45F2">
        <w:rPr>
          <w:rFonts w:eastAsia="SimSun"/>
          <w:szCs w:val="20"/>
        </w:rPr>
        <w:t>s</w:t>
      </w:r>
      <w:r w:rsidR="000550DE">
        <w:rPr>
          <w:rFonts w:eastAsia="SimSun"/>
          <w:szCs w:val="20"/>
        </w:rPr>
        <w:t xml:space="preserve"> could cause harmful interference</w:t>
      </w:r>
      <w:r w:rsidR="00AC45F2">
        <w:rPr>
          <w:rFonts w:eastAsia="SimSun"/>
          <w:szCs w:val="20"/>
        </w:rPr>
        <w:t xml:space="preserve"> to other satellites</w:t>
      </w:r>
      <w:r w:rsidR="000550DE">
        <w:rPr>
          <w:rFonts w:eastAsia="SimSun"/>
          <w:szCs w:val="20"/>
        </w:rPr>
        <w:t xml:space="preserve">. </w:t>
      </w:r>
      <w:r w:rsidR="005B1AC6">
        <w:rPr>
          <w:rFonts w:eastAsia="SimSun"/>
          <w:szCs w:val="20"/>
        </w:rPr>
        <w:t xml:space="preserve">This </w:t>
      </w:r>
      <w:r w:rsidR="00100764">
        <w:rPr>
          <w:rFonts w:eastAsia="SimSun"/>
          <w:szCs w:val="20"/>
        </w:rPr>
        <w:t xml:space="preserve">encryption required </w:t>
      </w:r>
      <w:r w:rsidR="005B1AC6">
        <w:rPr>
          <w:rFonts w:eastAsia="SimSun"/>
          <w:szCs w:val="20"/>
        </w:rPr>
        <w:t xml:space="preserve">rule would appear to be even more important for NGSO satellites that </w:t>
      </w:r>
      <w:r w:rsidR="00100764">
        <w:rPr>
          <w:rFonts w:eastAsia="SimSun"/>
          <w:szCs w:val="20"/>
        </w:rPr>
        <w:t>may</w:t>
      </w:r>
      <w:r w:rsidR="005B1AC6">
        <w:rPr>
          <w:rFonts w:eastAsia="SimSun"/>
          <w:szCs w:val="20"/>
        </w:rPr>
        <w:t xml:space="preserve"> not</w:t>
      </w:r>
      <w:r w:rsidR="00100764">
        <w:rPr>
          <w:rFonts w:eastAsia="SimSun"/>
          <w:szCs w:val="20"/>
        </w:rPr>
        <w:t xml:space="preserve"> be</w:t>
      </w:r>
      <w:r w:rsidR="005B1AC6">
        <w:rPr>
          <w:rFonts w:eastAsia="SimSun"/>
          <w:szCs w:val="20"/>
        </w:rPr>
        <w:t xml:space="preserve"> continuously tracked, command</w:t>
      </w:r>
      <w:r w:rsidR="00011D84">
        <w:rPr>
          <w:rFonts w:eastAsia="SimSun"/>
          <w:szCs w:val="20"/>
        </w:rPr>
        <w:t>ed, and monitored</w:t>
      </w:r>
      <w:r w:rsidR="00100764">
        <w:rPr>
          <w:rFonts w:eastAsia="SimSun"/>
          <w:szCs w:val="20"/>
        </w:rPr>
        <w:t xml:space="preserve"> as they orbit</w:t>
      </w:r>
      <w:r w:rsidR="00011D84">
        <w:rPr>
          <w:rFonts w:eastAsia="SimSun"/>
          <w:szCs w:val="20"/>
        </w:rPr>
        <w:t>.</w:t>
      </w:r>
      <w:r w:rsidR="00011D84">
        <w:rPr>
          <w:rStyle w:val="FootnoteReference"/>
          <w:rFonts w:eastAsia="SimSun"/>
          <w:szCs w:val="20"/>
        </w:rPr>
        <w:footnoteReference w:id="15"/>
      </w:r>
      <w:r w:rsidR="00011D84">
        <w:rPr>
          <w:rFonts w:eastAsia="SimSun"/>
          <w:szCs w:val="20"/>
        </w:rPr>
        <w:t xml:space="preserve"> </w:t>
      </w:r>
      <w:r w:rsidR="00DE34E0">
        <w:rPr>
          <w:rFonts w:eastAsia="SimSun"/>
          <w:szCs w:val="20"/>
        </w:rPr>
        <w:t xml:space="preserve">However, the Commission’s proposed rule does not </w:t>
      </w:r>
      <w:r w:rsidR="00AC45F2">
        <w:rPr>
          <w:rFonts w:eastAsia="SimSun"/>
          <w:szCs w:val="20"/>
        </w:rPr>
        <w:t xml:space="preserve">go far enough: it does not </w:t>
      </w:r>
      <w:r w:rsidR="00DE34E0">
        <w:rPr>
          <w:rFonts w:eastAsia="SimSun"/>
          <w:szCs w:val="20"/>
        </w:rPr>
        <w:t xml:space="preserve">specify what kinds of encryption are sufficient to meet the rule or </w:t>
      </w:r>
      <w:r w:rsidR="00AC45F2">
        <w:rPr>
          <w:rFonts w:eastAsia="SimSun"/>
          <w:szCs w:val="20"/>
        </w:rPr>
        <w:t>contain</w:t>
      </w:r>
      <w:r w:rsidR="00DE34E0">
        <w:rPr>
          <w:rFonts w:eastAsia="SimSun"/>
          <w:szCs w:val="20"/>
        </w:rPr>
        <w:t xml:space="preserve"> other security </w:t>
      </w:r>
      <w:r w:rsidR="00CC51B0">
        <w:rPr>
          <w:rFonts w:eastAsia="SimSun"/>
          <w:szCs w:val="20"/>
        </w:rPr>
        <w:t xml:space="preserve">design </w:t>
      </w:r>
      <w:r w:rsidR="00DE34E0">
        <w:rPr>
          <w:rFonts w:eastAsia="SimSun"/>
          <w:szCs w:val="20"/>
        </w:rPr>
        <w:t>objective.</w:t>
      </w:r>
      <w:r w:rsidR="00DE34E0">
        <w:rPr>
          <w:rStyle w:val="FootnoteReference"/>
          <w:rFonts w:eastAsia="SimSun"/>
          <w:szCs w:val="20"/>
        </w:rPr>
        <w:footnoteReference w:id="16"/>
      </w:r>
      <w:r w:rsidR="00DE34E0">
        <w:rPr>
          <w:rFonts w:eastAsia="SimSun"/>
          <w:szCs w:val="20"/>
        </w:rPr>
        <w:t xml:space="preserve"> </w:t>
      </w:r>
    </w:p>
    <w:p w14:paraId="282B07E6" w14:textId="2CA5FBBD" w:rsidR="0047129F" w:rsidRDefault="00620D94" w:rsidP="00DE34E0">
      <w:pPr>
        <w:tabs>
          <w:tab w:val="left" w:pos="720"/>
        </w:tabs>
        <w:spacing w:line="480" w:lineRule="auto"/>
        <w:jc w:val="both"/>
        <w:outlineLvl w:val="0"/>
        <w:rPr>
          <w:rFonts w:eastAsia="SimSun"/>
          <w:szCs w:val="20"/>
        </w:rPr>
      </w:pPr>
      <w:r>
        <w:rPr>
          <w:rFonts w:eastAsia="SimSun"/>
          <w:szCs w:val="20"/>
        </w:rPr>
        <w:tab/>
      </w:r>
      <w:r w:rsidR="0047129F">
        <w:rPr>
          <w:rFonts w:eastAsia="SimSun"/>
          <w:szCs w:val="20"/>
        </w:rPr>
        <w:t>Bruce Schneier, a recognized world-class expert in applied cryptography, has noted that developing cryptographic systems is very difficult, error prone, and that secure systems tend to re-use well-established, studied, and heritage cryptographic designs, algorithms, and implementations.</w:t>
      </w:r>
      <w:r w:rsidR="0047129F">
        <w:rPr>
          <w:rStyle w:val="FootnoteReference"/>
          <w:rFonts w:eastAsia="SimSun"/>
          <w:szCs w:val="20"/>
        </w:rPr>
        <w:footnoteReference w:id="17"/>
      </w:r>
      <w:r w:rsidR="00C21A9F">
        <w:rPr>
          <w:rFonts w:eastAsia="SimSun"/>
          <w:szCs w:val="20"/>
        </w:rPr>
        <w:t xml:space="preserve"> </w:t>
      </w:r>
      <w:r w:rsidR="00A44851">
        <w:rPr>
          <w:rFonts w:eastAsia="SimSun"/>
          <w:szCs w:val="20"/>
        </w:rPr>
        <w:t>A</w:t>
      </w:r>
      <w:r w:rsidR="0029616E">
        <w:rPr>
          <w:rFonts w:eastAsia="SimSun"/>
          <w:szCs w:val="20"/>
        </w:rPr>
        <w:t xml:space="preserve">pplicants for space station licenses </w:t>
      </w:r>
      <w:r w:rsidR="00A44851">
        <w:rPr>
          <w:rFonts w:eastAsia="SimSun"/>
          <w:szCs w:val="20"/>
        </w:rPr>
        <w:t xml:space="preserve">or other FCC approval </w:t>
      </w:r>
      <w:r w:rsidR="0029616E">
        <w:rPr>
          <w:rFonts w:eastAsia="SimSun"/>
          <w:szCs w:val="20"/>
        </w:rPr>
        <w:t xml:space="preserve">may be tempted to implement their own encryption solutions to meet the </w:t>
      </w:r>
      <w:r>
        <w:rPr>
          <w:rFonts w:eastAsia="SimSun"/>
          <w:szCs w:val="20"/>
        </w:rPr>
        <w:t xml:space="preserve">plain text of the </w:t>
      </w:r>
      <w:r w:rsidR="0029616E">
        <w:rPr>
          <w:rFonts w:eastAsia="SimSun"/>
          <w:szCs w:val="20"/>
        </w:rPr>
        <w:t xml:space="preserve">Commission’s </w:t>
      </w:r>
      <w:r>
        <w:rPr>
          <w:rFonts w:eastAsia="SimSun"/>
          <w:szCs w:val="20"/>
        </w:rPr>
        <w:t xml:space="preserve">otherwise </w:t>
      </w:r>
      <w:r w:rsidR="0029616E">
        <w:rPr>
          <w:rFonts w:eastAsia="SimSun"/>
          <w:szCs w:val="20"/>
        </w:rPr>
        <w:t>sensible rule. As</w:t>
      </w:r>
      <w:r>
        <w:rPr>
          <w:rFonts w:eastAsia="SimSun"/>
          <w:szCs w:val="20"/>
        </w:rPr>
        <w:t xml:space="preserve"> </w:t>
      </w:r>
      <w:r w:rsidR="00426563">
        <w:rPr>
          <w:rFonts w:eastAsia="SimSun"/>
          <w:szCs w:val="20"/>
        </w:rPr>
        <w:t>other</w:t>
      </w:r>
      <w:r>
        <w:rPr>
          <w:rFonts w:eastAsia="SimSun"/>
          <w:szCs w:val="20"/>
        </w:rPr>
        <w:t xml:space="preserve"> security professional</w:t>
      </w:r>
      <w:r w:rsidR="00426563">
        <w:rPr>
          <w:rFonts w:eastAsia="SimSun"/>
          <w:szCs w:val="20"/>
        </w:rPr>
        <w:t>s</w:t>
      </w:r>
      <w:r>
        <w:rPr>
          <w:rFonts w:eastAsia="SimSun"/>
          <w:szCs w:val="20"/>
        </w:rPr>
        <w:t xml:space="preserve"> ha</w:t>
      </w:r>
      <w:r w:rsidR="00426563">
        <w:rPr>
          <w:rFonts w:eastAsia="SimSun"/>
          <w:szCs w:val="20"/>
        </w:rPr>
        <w:t>ve</w:t>
      </w:r>
      <w:r>
        <w:rPr>
          <w:rFonts w:eastAsia="SimSun"/>
          <w:szCs w:val="20"/>
        </w:rPr>
        <w:t xml:space="preserve"> noted, </w:t>
      </w:r>
      <w:r w:rsidR="0029616E">
        <w:rPr>
          <w:rFonts w:eastAsia="SimSun"/>
          <w:szCs w:val="20"/>
        </w:rPr>
        <w:t>“</w:t>
      </w:r>
      <w:r w:rsidRPr="00620D94">
        <w:rPr>
          <w:rFonts w:eastAsia="SimSun"/>
          <w:szCs w:val="20"/>
        </w:rPr>
        <w:t>When one sets out to reinvent the wheel, one takes upon themselves the risk</w:t>
      </w:r>
      <w:r w:rsidR="00DF6B10">
        <w:rPr>
          <w:rFonts w:eastAsia="SimSun"/>
          <w:szCs w:val="20"/>
        </w:rPr>
        <w:t xml:space="preserve"> </w:t>
      </w:r>
      <w:r w:rsidRPr="00620D94">
        <w:rPr>
          <w:rFonts w:eastAsia="SimSun"/>
          <w:szCs w:val="20"/>
        </w:rPr>
        <w:t xml:space="preserve">of reinventing the wheel </w:t>
      </w:r>
      <w:r w:rsidRPr="00620D94">
        <w:rPr>
          <w:rFonts w:eastAsia="SimSun"/>
          <w:i/>
          <w:szCs w:val="20"/>
        </w:rPr>
        <w:t>poorly</w:t>
      </w:r>
      <w:r>
        <w:rPr>
          <w:rFonts w:eastAsia="SimSun"/>
          <w:szCs w:val="20"/>
        </w:rPr>
        <w:t>.”</w:t>
      </w:r>
      <w:r w:rsidR="00DF6B10">
        <w:rPr>
          <w:rStyle w:val="FootnoteReference"/>
          <w:rFonts w:eastAsia="SimSun"/>
          <w:szCs w:val="20"/>
        </w:rPr>
        <w:footnoteReference w:id="18"/>
      </w:r>
      <w:r w:rsidR="00426563">
        <w:rPr>
          <w:rFonts w:eastAsia="SimSun"/>
          <w:szCs w:val="20"/>
        </w:rPr>
        <w:t xml:space="preserve"> It is essential that </w:t>
      </w:r>
      <w:r w:rsidR="00294734" w:rsidRPr="00DE34E0">
        <w:rPr>
          <w:rFonts w:eastAsia="SimSun"/>
          <w:i/>
          <w:szCs w:val="20"/>
        </w:rPr>
        <w:t>effective</w:t>
      </w:r>
      <w:r w:rsidR="00DE34E0">
        <w:rPr>
          <w:rFonts w:eastAsia="SimSun"/>
          <w:i/>
          <w:szCs w:val="20"/>
        </w:rPr>
        <w:t>ly implemented</w:t>
      </w:r>
      <w:r w:rsidR="00294734" w:rsidRPr="00DE34E0">
        <w:rPr>
          <w:rFonts w:eastAsia="SimSun"/>
          <w:i/>
          <w:szCs w:val="20"/>
        </w:rPr>
        <w:t xml:space="preserve"> cryptographic solu</w:t>
      </w:r>
      <w:r w:rsidR="00DE34E0" w:rsidRPr="00DE34E0">
        <w:rPr>
          <w:rFonts w:eastAsia="SimSun"/>
          <w:i/>
          <w:szCs w:val="20"/>
        </w:rPr>
        <w:t>tions</w:t>
      </w:r>
      <w:r w:rsidR="00DE34E0">
        <w:rPr>
          <w:rFonts w:eastAsia="SimSun"/>
          <w:szCs w:val="20"/>
        </w:rPr>
        <w:t xml:space="preserve"> be used</w:t>
      </w:r>
      <w:r w:rsidR="00A71FD7">
        <w:rPr>
          <w:rFonts w:eastAsia="SimSun"/>
          <w:szCs w:val="20"/>
        </w:rPr>
        <w:t xml:space="preserve"> on satellites</w:t>
      </w:r>
      <w:r w:rsidR="00DE34E0">
        <w:rPr>
          <w:rFonts w:eastAsia="SimSun"/>
          <w:szCs w:val="20"/>
        </w:rPr>
        <w:t>, not simply “encryption” as the Commission proposes.</w:t>
      </w:r>
      <w:r w:rsidR="000E7EBA">
        <w:rPr>
          <w:rStyle w:val="FootnoteReference"/>
          <w:rFonts w:eastAsia="SimSun"/>
          <w:szCs w:val="20"/>
        </w:rPr>
        <w:footnoteReference w:id="19"/>
      </w:r>
      <w:r w:rsidR="00DE34E0">
        <w:rPr>
          <w:rFonts w:eastAsia="SimSun"/>
          <w:szCs w:val="20"/>
        </w:rPr>
        <w:t xml:space="preserve"> </w:t>
      </w:r>
      <w:r w:rsidR="003F4386">
        <w:rPr>
          <w:rFonts w:eastAsia="SimSun"/>
          <w:szCs w:val="20"/>
        </w:rPr>
        <w:t>Fortunately, t</w:t>
      </w:r>
      <w:r w:rsidR="00DE34E0">
        <w:rPr>
          <w:rFonts w:eastAsia="SimSun"/>
          <w:szCs w:val="20"/>
        </w:rPr>
        <w:t xml:space="preserve">here is an expert U.S. Government agency that has a long process heritage of working with commercial space companies to ensure their satellites use </w:t>
      </w:r>
      <w:r w:rsidR="00D518FE">
        <w:rPr>
          <w:rFonts w:eastAsia="SimSun"/>
          <w:szCs w:val="20"/>
        </w:rPr>
        <w:t xml:space="preserve">rigorously evaluated </w:t>
      </w:r>
      <w:r w:rsidR="00C66A87">
        <w:rPr>
          <w:rFonts w:eastAsia="SimSun"/>
          <w:szCs w:val="20"/>
        </w:rPr>
        <w:t xml:space="preserve">encryption </w:t>
      </w:r>
      <w:r w:rsidR="00D518FE">
        <w:rPr>
          <w:rFonts w:eastAsia="SimSun"/>
          <w:szCs w:val="20"/>
        </w:rPr>
        <w:t>algorithms and implementations</w:t>
      </w:r>
      <w:r w:rsidR="00C66A87">
        <w:rPr>
          <w:rFonts w:eastAsia="SimSun"/>
          <w:szCs w:val="20"/>
        </w:rPr>
        <w:t xml:space="preserve"> to maintain positive control of satellite</w:t>
      </w:r>
      <w:r w:rsidR="00E918B8">
        <w:rPr>
          <w:rFonts w:eastAsia="SimSun"/>
          <w:szCs w:val="20"/>
        </w:rPr>
        <w:t>s throughout their lifetime</w:t>
      </w:r>
      <w:r w:rsidR="003F4386">
        <w:rPr>
          <w:rFonts w:eastAsia="SimSun"/>
          <w:szCs w:val="20"/>
        </w:rPr>
        <w:t>: the National Security Agency.</w:t>
      </w:r>
    </w:p>
    <w:p w14:paraId="12DF644F" w14:textId="77777777" w:rsidR="008722D2" w:rsidRPr="00334831" w:rsidRDefault="008722D2" w:rsidP="00A162BE">
      <w:pPr>
        <w:tabs>
          <w:tab w:val="left" w:pos="720"/>
        </w:tabs>
        <w:ind w:left="720" w:hanging="720"/>
        <w:jc w:val="both"/>
        <w:outlineLvl w:val="0"/>
        <w:rPr>
          <w:rFonts w:eastAsia="SimSun"/>
          <w:szCs w:val="20"/>
        </w:rPr>
      </w:pPr>
    </w:p>
    <w:p w14:paraId="78DA0F4E" w14:textId="3D5A3486" w:rsidR="00334831" w:rsidRDefault="003A0867" w:rsidP="007503ED">
      <w:pPr>
        <w:tabs>
          <w:tab w:val="left" w:pos="720"/>
        </w:tabs>
        <w:ind w:left="720" w:hanging="720"/>
        <w:outlineLvl w:val="0"/>
        <w:rPr>
          <w:rFonts w:eastAsia="SimSun"/>
          <w:b/>
          <w:szCs w:val="20"/>
        </w:rPr>
      </w:pPr>
      <w:r>
        <w:rPr>
          <w:rFonts w:eastAsia="SimSun"/>
          <w:b/>
          <w:szCs w:val="20"/>
        </w:rPr>
        <w:t>IV</w:t>
      </w:r>
      <w:r w:rsidR="00334831">
        <w:rPr>
          <w:rFonts w:eastAsia="SimSun"/>
          <w:b/>
          <w:szCs w:val="20"/>
        </w:rPr>
        <w:t>.</w:t>
      </w:r>
      <w:r w:rsidR="00334831">
        <w:rPr>
          <w:rFonts w:eastAsia="SimSun"/>
          <w:b/>
          <w:szCs w:val="20"/>
        </w:rPr>
        <w:tab/>
        <w:t xml:space="preserve">THE UNITED STATES HAS REQUIRED ALL GOVERNMENT AND COMMERCIAL </w:t>
      </w:r>
      <w:r w:rsidR="00E918B8">
        <w:rPr>
          <w:rFonts w:eastAsia="SimSun"/>
          <w:b/>
          <w:szCs w:val="20"/>
        </w:rPr>
        <w:t xml:space="preserve">FOREIGN AND DOMESTIC </w:t>
      </w:r>
      <w:r w:rsidR="00334831">
        <w:rPr>
          <w:rFonts w:eastAsia="SimSun"/>
          <w:b/>
          <w:szCs w:val="20"/>
        </w:rPr>
        <w:t xml:space="preserve">SATELLITES SUPPORTING NATIONAL SECURITY TO PROTECT THEIR COMMAND UPLINK USING NSA-APPROVED </w:t>
      </w:r>
      <w:r w:rsidR="002208CC">
        <w:rPr>
          <w:rFonts w:eastAsia="SimSun"/>
          <w:b/>
          <w:szCs w:val="20"/>
        </w:rPr>
        <w:t xml:space="preserve">COMMERCIAL </w:t>
      </w:r>
      <w:r w:rsidR="00334831">
        <w:rPr>
          <w:rFonts w:eastAsia="SimSun"/>
          <w:b/>
          <w:szCs w:val="20"/>
        </w:rPr>
        <w:t>SOLUTIONS SINCE 200</w:t>
      </w:r>
      <w:r w:rsidR="00717026">
        <w:rPr>
          <w:rFonts w:eastAsia="SimSun"/>
          <w:b/>
          <w:szCs w:val="20"/>
        </w:rPr>
        <w:t>7</w:t>
      </w:r>
      <w:r w:rsidR="00334831">
        <w:rPr>
          <w:rFonts w:eastAsia="SimSun"/>
          <w:b/>
          <w:szCs w:val="20"/>
        </w:rPr>
        <w:t xml:space="preserve"> </w:t>
      </w:r>
      <w:r w:rsidR="00E918B8">
        <w:rPr>
          <w:rFonts w:eastAsia="SimSun"/>
          <w:b/>
          <w:szCs w:val="20"/>
        </w:rPr>
        <w:t xml:space="preserve">AND </w:t>
      </w:r>
      <w:r w:rsidR="00E918B8" w:rsidRPr="00540DF1">
        <w:rPr>
          <w:rFonts w:eastAsia="SimSun"/>
          <w:b/>
          <w:szCs w:val="20"/>
        </w:rPr>
        <w:t>TELEMETRY SINCE 2012</w:t>
      </w:r>
    </w:p>
    <w:p w14:paraId="3FE60059" w14:textId="554B8FEE" w:rsidR="00A162BE" w:rsidRDefault="00A162BE" w:rsidP="00A162BE">
      <w:pPr>
        <w:spacing w:line="480" w:lineRule="auto"/>
        <w:jc w:val="both"/>
        <w:rPr>
          <w:rFonts w:eastAsia="SimSun"/>
          <w:b/>
          <w:szCs w:val="20"/>
        </w:rPr>
      </w:pPr>
    </w:p>
    <w:p w14:paraId="4EDD8E61" w14:textId="78FF5B27" w:rsidR="00BA4185" w:rsidRDefault="00BA4185" w:rsidP="00C66A87">
      <w:pPr>
        <w:spacing w:line="480" w:lineRule="auto"/>
        <w:ind w:firstLine="720"/>
        <w:jc w:val="both"/>
        <w:rPr>
          <w:rFonts w:eastAsia="SimSun"/>
          <w:szCs w:val="20"/>
        </w:rPr>
      </w:pPr>
      <w:r>
        <w:rPr>
          <w:rFonts w:eastAsia="SimSun"/>
          <w:szCs w:val="20"/>
        </w:rPr>
        <w:t xml:space="preserve">The U.S. Government’s Committee on National Security </w:t>
      </w:r>
      <w:r w:rsidR="00C40219">
        <w:rPr>
          <w:rFonts w:eastAsia="SimSun"/>
          <w:szCs w:val="20"/>
        </w:rPr>
        <w:t>Systems</w:t>
      </w:r>
      <w:r w:rsidR="009E4746">
        <w:rPr>
          <w:rFonts w:eastAsia="SimSun"/>
          <w:szCs w:val="20"/>
        </w:rPr>
        <w:t xml:space="preserve"> (CNSS)</w:t>
      </w:r>
      <w:r w:rsidR="00C40219">
        <w:rPr>
          <w:rFonts w:eastAsia="SimSun"/>
          <w:szCs w:val="20"/>
        </w:rPr>
        <w:t xml:space="preserve">, to which the Commission </w:t>
      </w:r>
      <w:r w:rsidR="009E4746">
        <w:rPr>
          <w:rFonts w:eastAsia="SimSun"/>
          <w:szCs w:val="20"/>
        </w:rPr>
        <w:t>appoints</w:t>
      </w:r>
      <w:r w:rsidR="00C40219">
        <w:rPr>
          <w:rFonts w:eastAsia="SimSun"/>
          <w:szCs w:val="20"/>
        </w:rPr>
        <w:t xml:space="preserve"> a non-voting observer, </w:t>
      </w:r>
      <w:r w:rsidR="00F900D0">
        <w:rPr>
          <w:rFonts w:eastAsia="SimSun"/>
          <w:szCs w:val="20"/>
        </w:rPr>
        <w:t xml:space="preserve">has issued policies that apply </w:t>
      </w:r>
      <w:r w:rsidR="00AD5C4E">
        <w:rPr>
          <w:rFonts w:eastAsia="SimSun"/>
          <w:szCs w:val="20"/>
        </w:rPr>
        <w:t xml:space="preserve">cryptography requirements </w:t>
      </w:r>
      <w:r w:rsidR="00F900D0">
        <w:rPr>
          <w:rFonts w:eastAsia="SimSun"/>
          <w:szCs w:val="20"/>
        </w:rPr>
        <w:t xml:space="preserve">to commercial satellites </w:t>
      </w:r>
      <w:r w:rsidR="00AD5C4E">
        <w:rPr>
          <w:rFonts w:eastAsia="SimSun"/>
          <w:szCs w:val="20"/>
        </w:rPr>
        <w:t xml:space="preserve">used </w:t>
      </w:r>
      <w:r w:rsidR="00F900D0">
        <w:rPr>
          <w:rFonts w:eastAsia="SimSun"/>
          <w:szCs w:val="20"/>
        </w:rPr>
        <w:t xml:space="preserve">for </w:t>
      </w:r>
      <w:r w:rsidR="008504F4">
        <w:rPr>
          <w:rFonts w:eastAsia="SimSun"/>
          <w:szCs w:val="20"/>
        </w:rPr>
        <w:t xml:space="preserve">U.S. </w:t>
      </w:r>
      <w:r w:rsidR="00F900D0">
        <w:rPr>
          <w:rFonts w:eastAsia="SimSun"/>
          <w:szCs w:val="20"/>
        </w:rPr>
        <w:t>national security purposes.</w:t>
      </w:r>
      <w:r w:rsidR="00F900D0">
        <w:rPr>
          <w:rStyle w:val="FootnoteReference"/>
          <w:rFonts w:eastAsia="SimSun"/>
          <w:szCs w:val="20"/>
        </w:rPr>
        <w:footnoteReference w:id="20"/>
      </w:r>
      <w:r w:rsidR="00AD5C4E">
        <w:rPr>
          <w:rFonts w:eastAsia="SimSun"/>
          <w:szCs w:val="20"/>
        </w:rPr>
        <w:t xml:space="preserve"> The relevant policy is CNSS Policy No. 12 (CNSSP-12), </w:t>
      </w:r>
      <w:r w:rsidR="007F5E8F">
        <w:rPr>
          <w:rFonts w:eastAsia="SimSun"/>
          <w:szCs w:val="20"/>
        </w:rPr>
        <w:t xml:space="preserve">last revised in 2018, </w:t>
      </w:r>
      <w:r w:rsidR="00AD5C4E">
        <w:rPr>
          <w:rFonts w:eastAsia="SimSun"/>
          <w:szCs w:val="20"/>
        </w:rPr>
        <w:t>which</w:t>
      </w:r>
      <w:r w:rsidR="00350F7B">
        <w:rPr>
          <w:rFonts w:eastAsia="SimSun"/>
          <w:szCs w:val="20"/>
        </w:rPr>
        <w:t xml:space="preserve"> applies to “. . . </w:t>
      </w:r>
      <w:r w:rsidR="00350F7B" w:rsidRPr="00350F7B">
        <w:rPr>
          <w:rFonts w:eastAsia="SimSun"/>
          <w:szCs w:val="20"/>
        </w:rPr>
        <w:t>all space NSS that are developed, owned, operated, controlled, or leased either by the USG or for the benefit of the USG by commercial entities (domestic and foreign) or foreign governments under bilateral or multilateral agreements</w:t>
      </w:r>
      <w:r w:rsidR="00167B61">
        <w:rPr>
          <w:rFonts w:eastAsia="SimSun"/>
          <w:szCs w:val="20"/>
        </w:rPr>
        <w:t>. . . “, and further</w:t>
      </w:r>
      <w:r w:rsidR="00AD5C4E">
        <w:rPr>
          <w:rFonts w:eastAsia="SimSun"/>
          <w:szCs w:val="20"/>
        </w:rPr>
        <w:t xml:space="preserve"> provides in relevant part:</w:t>
      </w:r>
    </w:p>
    <w:p w14:paraId="384F84DC" w14:textId="77777777" w:rsidR="007F614A" w:rsidRDefault="007F614A" w:rsidP="007F614A">
      <w:pPr>
        <w:pStyle w:val="Default"/>
      </w:pPr>
    </w:p>
    <w:p w14:paraId="5DA8B87F" w14:textId="362A5206" w:rsidR="007F614A" w:rsidRPr="007F614A" w:rsidRDefault="007F614A" w:rsidP="007F614A">
      <w:pPr>
        <w:pStyle w:val="Default"/>
        <w:ind w:left="720"/>
        <w:rPr>
          <w:i/>
          <w:sz w:val="23"/>
          <w:szCs w:val="23"/>
        </w:rPr>
      </w:pPr>
      <w:r w:rsidRPr="007F614A">
        <w:rPr>
          <w:i/>
          <w:sz w:val="23"/>
          <w:szCs w:val="23"/>
        </w:rPr>
        <w:t xml:space="preserve">16. The following cryptographic requirements must be addressed and satisfied: </w:t>
      </w:r>
    </w:p>
    <w:p w14:paraId="2CBAD267" w14:textId="77777777" w:rsidR="007F614A" w:rsidRPr="007F614A" w:rsidRDefault="007F614A" w:rsidP="007F614A">
      <w:pPr>
        <w:pStyle w:val="Default"/>
        <w:ind w:left="720"/>
        <w:rPr>
          <w:i/>
          <w:sz w:val="23"/>
          <w:szCs w:val="23"/>
        </w:rPr>
      </w:pPr>
    </w:p>
    <w:p w14:paraId="16269356" w14:textId="77777777" w:rsidR="007F614A" w:rsidRPr="007F614A" w:rsidRDefault="007F614A" w:rsidP="007F614A">
      <w:pPr>
        <w:pStyle w:val="Default"/>
        <w:ind w:left="720"/>
        <w:rPr>
          <w:i/>
          <w:sz w:val="23"/>
          <w:szCs w:val="23"/>
        </w:rPr>
      </w:pPr>
      <w:r w:rsidRPr="007F614A">
        <w:rPr>
          <w:i/>
          <w:sz w:val="23"/>
          <w:szCs w:val="23"/>
        </w:rPr>
        <w:t xml:space="preserve">a. NSA-approved cryptographies and cryptographic techniques, implementations, and associated security architectures, must be used wherever cryptography or cryptographic techniques are needed in applicable systems. At a minimum, they will be used to: </w:t>
      </w:r>
    </w:p>
    <w:p w14:paraId="60EEFC84" w14:textId="77777777" w:rsidR="007F614A" w:rsidRPr="007F614A" w:rsidRDefault="007F614A" w:rsidP="007F614A">
      <w:pPr>
        <w:pStyle w:val="Default"/>
        <w:ind w:left="720"/>
        <w:rPr>
          <w:i/>
          <w:sz w:val="23"/>
          <w:szCs w:val="23"/>
        </w:rPr>
      </w:pPr>
    </w:p>
    <w:p w14:paraId="4B5A4F96" w14:textId="77777777" w:rsidR="007F614A" w:rsidRPr="007F614A" w:rsidRDefault="007F614A" w:rsidP="007F614A">
      <w:pPr>
        <w:pStyle w:val="Default"/>
        <w:ind w:left="720"/>
        <w:rPr>
          <w:i/>
          <w:sz w:val="23"/>
          <w:szCs w:val="23"/>
        </w:rPr>
      </w:pPr>
      <w:r w:rsidRPr="007F614A">
        <w:rPr>
          <w:i/>
          <w:sz w:val="23"/>
          <w:szCs w:val="23"/>
        </w:rPr>
        <w:t xml:space="preserve">(1) Authenticate and end-to-end encrypt all system commands (e.g. space platform bus and all payload commands) transmitted over any communications link accessible by unauthorized personnel in accordance with their classification or sensitivity. </w:t>
      </w:r>
    </w:p>
    <w:p w14:paraId="62ABFC17" w14:textId="77777777" w:rsidR="007F614A" w:rsidRPr="007F614A" w:rsidRDefault="007F614A" w:rsidP="007F614A">
      <w:pPr>
        <w:pStyle w:val="Default"/>
        <w:ind w:left="720"/>
        <w:rPr>
          <w:i/>
          <w:sz w:val="23"/>
          <w:szCs w:val="23"/>
        </w:rPr>
      </w:pPr>
    </w:p>
    <w:p w14:paraId="7AF2ECF2" w14:textId="630868FF" w:rsidR="007F614A" w:rsidRPr="007F614A" w:rsidRDefault="007F614A" w:rsidP="007F614A">
      <w:pPr>
        <w:pStyle w:val="Default"/>
        <w:ind w:left="720"/>
        <w:rPr>
          <w:i/>
          <w:sz w:val="23"/>
          <w:szCs w:val="23"/>
        </w:rPr>
      </w:pPr>
      <w:r w:rsidRPr="007F614A">
        <w:rPr>
          <w:i/>
          <w:sz w:val="23"/>
          <w:szCs w:val="23"/>
        </w:rPr>
        <w:t>(2) End-to-end encrypt all data (e.g. space platform bus and payload command echoes, telemetry, health and status, mission data, and communications relay) transmitted over any communications link accessible by unauthorized personnel in accordance with their classification or sensitivity unless otherwise indicated below.</w:t>
      </w:r>
      <w:r w:rsidR="00167B61">
        <w:rPr>
          <w:rStyle w:val="FootnoteReference"/>
          <w:rFonts w:eastAsia="SimSun"/>
          <w:szCs w:val="20"/>
        </w:rPr>
        <w:footnoteReference w:id="21"/>
      </w:r>
      <w:r w:rsidRPr="007F614A">
        <w:rPr>
          <w:i/>
          <w:sz w:val="23"/>
          <w:szCs w:val="23"/>
        </w:rPr>
        <w:t xml:space="preserve"> </w:t>
      </w:r>
    </w:p>
    <w:p w14:paraId="5ADD13E8" w14:textId="77777777" w:rsidR="00AD5C4E" w:rsidRPr="00BA4185" w:rsidRDefault="00AD5C4E" w:rsidP="00A162BE">
      <w:pPr>
        <w:spacing w:line="480" w:lineRule="auto"/>
        <w:jc w:val="both"/>
        <w:rPr>
          <w:rFonts w:eastAsia="SimSun"/>
          <w:szCs w:val="20"/>
        </w:rPr>
      </w:pPr>
    </w:p>
    <w:p w14:paraId="27BE944A" w14:textId="618BEDE0" w:rsidR="00BA4185" w:rsidRPr="00952663" w:rsidRDefault="00952663" w:rsidP="00A162BE">
      <w:pPr>
        <w:spacing w:line="480" w:lineRule="auto"/>
        <w:jc w:val="both"/>
        <w:rPr>
          <w:rFonts w:eastAsia="SimSun"/>
          <w:szCs w:val="20"/>
        </w:rPr>
      </w:pPr>
      <w:r>
        <w:rPr>
          <w:rFonts w:eastAsia="SimSun"/>
          <w:szCs w:val="20"/>
        </w:rPr>
        <w:t>The functional effect of CNSSP-12 is that many satellite operators, including those licensed by the FCC, already choose to use “</w:t>
      </w:r>
      <w:r w:rsidRPr="00952663">
        <w:rPr>
          <w:rFonts w:eastAsia="SimSun"/>
          <w:szCs w:val="20"/>
        </w:rPr>
        <w:t>NSA-approved cryptographies and cryptographic techniques, implementations, and associated security architectures</w:t>
      </w:r>
      <w:r>
        <w:rPr>
          <w:rFonts w:eastAsia="SimSun"/>
          <w:szCs w:val="20"/>
        </w:rPr>
        <w:t>” in their satellites and ground control systems</w:t>
      </w:r>
      <w:r w:rsidR="00FC1949">
        <w:rPr>
          <w:rFonts w:eastAsia="SimSun"/>
          <w:szCs w:val="20"/>
        </w:rPr>
        <w:t xml:space="preserve"> rather than trying to create their own cryptography because they intend to provide services to the U.S. Government. </w:t>
      </w:r>
      <w:r w:rsidR="00540DF1">
        <w:rPr>
          <w:rFonts w:eastAsia="SimSun"/>
          <w:szCs w:val="20"/>
        </w:rPr>
        <w:t xml:space="preserve">This also ensures that effective cryptography is being used as, over time, older cipher algorithms and implementations are </w:t>
      </w:r>
      <w:r w:rsidR="00222287">
        <w:rPr>
          <w:rFonts w:eastAsia="SimSun"/>
          <w:szCs w:val="20"/>
        </w:rPr>
        <w:t>deprecated and ultimately decertified.</w:t>
      </w:r>
      <w:r w:rsidR="00222287">
        <w:rPr>
          <w:rStyle w:val="FootnoteReference"/>
          <w:rFonts w:eastAsia="SimSun"/>
          <w:szCs w:val="20"/>
        </w:rPr>
        <w:footnoteReference w:id="22"/>
      </w:r>
      <w:r w:rsidR="00222287">
        <w:rPr>
          <w:rFonts w:eastAsia="SimSun"/>
          <w:szCs w:val="20"/>
        </w:rPr>
        <w:t xml:space="preserve"> </w:t>
      </w:r>
      <w:r w:rsidR="00FC1949">
        <w:rPr>
          <w:rFonts w:eastAsia="SimSun"/>
          <w:szCs w:val="20"/>
        </w:rPr>
        <w:t xml:space="preserve">A number of space-qualified and associated ground encryptors/decryptors are </w:t>
      </w:r>
      <w:r w:rsidR="00C8630F">
        <w:rPr>
          <w:rFonts w:eastAsia="SimSun"/>
          <w:szCs w:val="20"/>
        </w:rPr>
        <w:t xml:space="preserve">commercially available, </w:t>
      </w:r>
      <w:r w:rsidR="00C46B49">
        <w:rPr>
          <w:rFonts w:eastAsia="SimSun"/>
          <w:szCs w:val="20"/>
        </w:rPr>
        <w:t>NSA-approved</w:t>
      </w:r>
      <w:r w:rsidR="00C8630F">
        <w:rPr>
          <w:rFonts w:eastAsia="SimSun"/>
          <w:szCs w:val="20"/>
        </w:rPr>
        <w:t>,</w:t>
      </w:r>
      <w:r w:rsidR="00C46B49">
        <w:rPr>
          <w:rFonts w:eastAsia="SimSun"/>
          <w:szCs w:val="20"/>
        </w:rPr>
        <w:t xml:space="preserve"> and ready for integration while others are being developed</w:t>
      </w:r>
      <w:r w:rsidR="00C8630F">
        <w:rPr>
          <w:rFonts w:eastAsia="SimSun"/>
          <w:szCs w:val="20"/>
        </w:rPr>
        <w:t xml:space="preserve"> and evaluated</w:t>
      </w:r>
      <w:r w:rsidR="00C46B49">
        <w:rPr>
          <w:rFonts w:eastAsia="SimSun"/>
          <w:szCs w:val="20"/>
        </w:rPr>
        <w:t>.</w:t>
      </w:r>
      <w:r w:rsidR="00C46B49">
        <w:rPr>
          <w:rStyle w:val="FootnoteReference"/>
          <w:rFonts w:eastAsia="SimSun"/>
          <w:szCs w:val="20"/>
        </w:rPr>
        <w:footnoteReference w:id="23"/>
      </w:r>
    </w:p>
    <w:p w14:paraId="23FB5C03" w14:textId="69238FAD" w:rsidR="00334831" w:rsidRDefault="003A0867" w:rsidP="000A4BBB">
      <w:pPr>
        <w:ind w:left="720" w:hanging="720"/>
        <w:jc w:val="both"/>
        <w:rPr>
          <w:rFonts w:eastAsia="SimSun"/>
          <w:b/>
          <w:szCs w:val="20"/>
        </w:rPr>
      </w:pPr>
      <w:r>
        <w:rPr>
          <w:rFonts w:eastAsia="SimSun"/>
          <w:b/>
          <w:szCs w:val="20"/>
        </w:rPr>
        <w:t>V</w:t>
      </w:r>
      <w:r w:rsidR="00334831">
        <w:rPr>
          <w:rFonts w:eastAsia="SimSun"/>
          <w:b/>
          <w:szCs w:val="20"/>
        </w:rPr>
        <w:t>.</w:t>
      </w:r>
      <w:r w:rsidR="00334831">
        <w:rPr>
          <w:rFonts w:eastAsia="SimSun"/>
          <w:b/>
          <w:szCs w:val="20"/>
        </w:rPr>
        <w:tab/>
        <w:t xml:space="preserve">THE PROPOSED RULE ON ENCRYPTION SHOULD BE MODIFIED TO BETTER REFLECT ITS PURPOSE AND FACILITATE </w:t>
      </w:r>
      <w:r w:rsidR="00575A2A">
        <w:rPr>
          <w:rFonts w:eastAsia="SimSun"/>
          <w:b/>
          <w:szCs w:val="20"/>
        </w:rPr>
        <w:t>ADOPTION</w:t>
      </w:r>
    </w:p>
    <w:p w14:paraId="17B72A58" w14:textId="77777777" w:rsidR="00695FBD" w:rsidRDefault="00695FBD" w:rsidP="00695FBD">
      <w:pPr>
        <w:jc w:val="both"/>
        <w:rPr>
          <w:rFonts w:eastAsia="SimSun"/>
          <w:szCs w:val="20"/>
        </w:rPr>
      </w:pPr>
    </w:p>
    <w:p w14:paraId="264F669D" w14:textId="4F1C573D" w:rsidR="00360444" w:rsidRDefault="009F1D72" w:rsidP="00E350CA">
      <w:pPr>
        <w:spacing w:line="480" w:lineRule="auto"/>
        <w:ind w:firstLine="720"/>
        <w:jc w:val="both"/>
        <w:rPr>
          <w:rFonts w:eastAsia="SimSun"/>
          <w:szCs w:val="20"/>
        </w:rPr>
      </w:pPr>
      <w:r>
        <w:rPr>
          <w:rFonts w:eastAsia="SimSun"/>
          <w:szCs w:val="20"/>
        </w:rPr>
        <w:t xml:space="preserve">Admittedly, not all of the satellites licensed or otherwise authorized by the Commission </w:t>
      </w:r>
      <w:r w:rsidR="0003205D">
        <w:rPr>
          <w:rFonts w:eastAsia="SimSun"/>
          <w:szCs w:val="20"/>
        </w:rPr>
        <w:t xml:space="preserve">for U.S. market entry will ever </w:t>
      </w:r>
      <w:r w:rsidR="00A80899">
        <w:rPr>
          <w:rFonts w:eastAsia="SimSun"/>
          <w:szCs w:val="20"/>
        </w:rPr>
        <w:t>be considered “National Security Systems”</w:t>
      </w:r>
      <w:r w:rsidR="0003205D">
        <w:rPr>
          <w:rFonts w:eastAsia="SimSun"/>
          <w:szCs w:val="20"/>
        </w:rPr>
        <w:t xml:space="preserve">. </w:t>
      </w:r>
      <w:r w:rsidR="00A80899">
        <w:rPr>
          <w:rFonts w:eastAsia="SimSun"/>
          <w:szCs w:val="20"/>
        </w:rPr>
        <w:t xml:space="preserve">However, many will be. </w:t>
      </w:r>
      <w:r w:rsidR="00785527">
        <w:rPr>
          <w:rFonts w:eastAsia="SimSun"/>
          <w:szCs w:val="20"/>
        </w:rPr>
        <w:t xml:space="preserve">Providence </w:t>
      </w:r>
      <w:r w:rsidR="008C48A1">
        <w:rPr>
          <w:rFonts w:eastAsia="SimSun"/>
          <w:szCs w:val="20"/>
        </w:rPr>
        <w:t>proposes that the Commission modify its proposed rule to align with CNSSP-12, provide a</w:t>
      </w:r>
      <w:r w:rsidR="00DE70F9">
        <w:rPr>
          <w:rFonts w:eastAsia="SimSun"/>
          <w:szCs w:val="20"/>
        </w:rPr>
        <w:t xml:space="preserve"> means for applicants to demonstrate compliance, and reserve </w:t>
      </w:r>
      <w:r w:rsidR="00E345A7">
        <w:rPr>
          <w:rFonts w:eastAsia="SimSun"/>
          <w:szCs w:val="20"/>
        </w:rPr>
        <w:t>Commission</w:t>
      </w:r>
      <w:r w:rsidR="00AC0809">
        <w:rPr>
          <w:rFonts w:eastAsia="SimSun"/>
          <w:szCs w:val="20"/>
        </w:rPr>
        <w:t xml:space="preserve"> flexibility to make determinations on the adequacy of specific cryptographic </w:t>
      </w:r>
      <w:r w:rsidR="00E345A7">
        <w:rPr>
          <w:rFonts w:eastAsia="SimSun"/>
          <w:szCs w:val="20"/>
        </w:rPr>
        <w:t xml:space="preserve">implementations on a case-by-case basis. </w:t>
      </w:r>
      <w:r w:rsidR="009D33A2">
        <w:rPr>
          <w:rFonts w:eastAsia="SimSun"/>
          <w:szCs w:val="20"/>
        </w:rPr>
        <w:t xml:space="preserve">Accordingly, </w:t>
      </w:r>
      <w:r w:rsidR="00785527">
        <w:rPr>
          <w:rFonts w:eastAsia="SimSun"/>
          <w:szCs w:val="20"/>
        </w:rPr>
        <w:t xml:space="preserve">Providence </w:t>
      </w:r>
      <w:r w:rsidR="00E345A7">
        <w:rPr>
          <w:rFonts w:eastAsia="SimSun"/>
          <w:szCs w:val="20"/>
        </w:rPr>
        <w:t xml:space="preserve">recommends the following </w:t>
      </w:r>
      <w:r w:rsidR="00842469">
        <w:rPr>
          <w:rFonts w:eastAsia="SimSun"/>
          <w:szCs w:val="20"/>
        </w:rPr>
        <w:t xml:space="preserve">modified </w:t>
      </w:r>
      <w:r w:rsidR="00B01576">
        <w:rPr>
          <w:rFonts w:eastAsia="SimSun"/>
          <w:szCs w:val="20"/>
        </w:rPr>
        <w:t>r</w:t>
      </w:r>
      <w:r w:rsidR="00E345A7">
        <w:rPr>
          <w:rFonts w:eastAsia="SimSun"/>
          <w:szCs w:val="20"/>
        </w:rPr>
        <w:t>ule:</w:t>
      </w:r>
    </w:p>
    <w:p w14:paraId="1F56970F" w14:textId="2239E785" w:rsidR="00301FAF" w:rsidRPr="002B5B4A" w:rsidRDefault="00301FAF" w:rsidP="00C70BA9">
      <w:pPr>
        <w:spacing w:after="120" w:line="259" w:lineRule="auto"/>
        <w:ind w:left="720"/>
        <w:rPr>
          <w:rFonts w:eastAsia="Calibri"/>
        </w:rPr>
      </w:pPr>
      <w:r w:rsidRPr="002B5B4A">
        <w:rPr>
          <w:rFonts w:eastAsia="Calibri"/>
          <w:u w:val="single"/>
        </w:rPr>
        <w:t>§ 25.290 Telemetry</w:t>
      </w:r>
      <w:r w:rsidR="000E0475">
        <w:rPr>
          <w:rFonts w:eastAsia="Calibri"/>
          <w:u w:val="single"/>
        </w:rPr>
        <w:t xml:space="preserve"> </w:t>
      </w:r>
      <w:r w:rsidRPr="002B5B4A">
        <w:rPr>
          <w:rFonts w:eastAsia="Calibri"/>
          <w:u w:val="single"/>
        </w:rPr>
        <w:t>and command encryption.</w:t>
      </w:r>
    </w:p>
    <w:p w14:paraId="1184E670" w14:textId="5E86636E" w:rsidR="00D90D44" w:rsidRDefault="00301FAF" w:rsidP="00AC45F2">
      <w:pPr>
        <w:spacing w:after="120" w:line="259" w:lineRule="auto"/>
        <w:ind w:left="720"/>
        <w:rPr>
          <w:rFonts w:eastAsia="Calibri"/>
        </w:rPr>
      </w:pPr>
      <w:r w:rsidRPr="002B5B4A">
        <w:rPr>
          <w:rFonts w:eastAsia="Calibri"/>
        </w:rPr>
        <w:t xml:space="preserve">For space stations that include onboard propulsion systems, operators must </w:t>
      </w:r>
      <w:r w:rsidR="00E4140F">
        <w:rPr>
          <w:rFonts w:eastAsia="Calibri"/>
        </w:rPr>
        <w:t>secure</w:t>
      </w:r>
      <w:r w:rsidRPr="002B5B4A">
        <w:rPr>
          <w:rFonts w:eastAsia="Calibri"/>
        </w:rPr>
        <w:t xml:space="preserve"> telemetry and command communications with the space station</w:t>
      </w:r>
      <w:r w:rsidR="00E4140F">
        <w:rPr>
          <w:rFonts w:eastAsia="Calibri"/>
        </w:rPr>
        <w:t xml:space="preserve"> using </w:t>
      </w:r>
      <w:r w:rsidR="00363409">
        <w:rPr>
          <w:rFonts w:eastAsia="Calibri"/>
        </w:rPr>
        <w:t xml:space="preserve">(a) an encryption solution for which the U.S. National Security </w:t>
      </w:r>
      <w:r w:rsidR="00CD24C4">
        <w:rPr>
          <w:rFonts w:eastAsia="Calibri"/>
        </w:rPr>
        <w:t>Agency has issued</w:t>
      </w:r>
      <w:r w:rsidR="00256C2C">
        <w:rPr>
          <w:rFonts w:eastAsia="Calibri"/>
        </w:rPr>
        <w:t xml:space="preserve"> an</w:t>
      </w:r>
      <w:r w:rsidR="00CD24C4">
        <w:rPr>
          <w:rFonts w:eastAsia="Calibri"/>
        </w:rPr>
        <w:t xml:space="preserve"> approval </w:t>
      </w:r>
      <w:r w:rsidR="00256C2C">
        <w:rPr>
          <w:rFonts w:eastAsia="Calibri"/>
        </w:rPr>
        <w:t xml:space="preserve">letter </w:t>
      </w:r>
      <w:r w:rsidR="00493687">
        <w:rPr>
          <w:rFonts w:eastAsia="Calibri"/>
        </w:rPr>
        <w:t>for its space station</w:t>
      </w:r>
      <w:r w:rsidR="00E040D3">
        <w:rPr>
          <w:rFonts w:eastAsia="Calibri"/>
        </w:rPr>
        <w:t>s</w:t>
      </w:r>
      <w:r w:rsidR="00493687">
        <w:rPr>
          <w:rFonts w:eastAsia="Calibri"/>
        </w:rPr>
        <w:t xml:space="preserve"> </w:t>
      </w:r>
      <w:r w:rsidR="00CD24C4">
        <w:rPr>
          <w:rFonts w:eastAsia="Calibri"/>
        </w:rPr>
        <w:t>pursuant to the Committee on National Security Space Systems Policy No. 12</w:t>
      </w:r>
      <w:r w:rsidR="00493687">
        <w:rPr>
          <w:rFonts w:eastAsia="Calibri"/>
        </w:rPr>
        <w:t xml:space="preserve">, or (b) </w:t>
      </w:r>
      <w:r w:rsidR="00256C2C">
        <w:rPr>
          <w:rFonts w:eastAsia="Calibri"/>
        </w:rPr>
        <w:t xml:space="preserve">provide details </w:t>
      </w:r>
      <w:r w:rsidR="00194BF1">
        <w:rPr>
          <w:rFonts w:eastAsia="Calibri"/>
        </w:rPr>
        <w:t xml:space="preserve">to the Commission </w:t>
      </w:r>
      <w:r w:rsidR="002204DA">
        <w:rPr>
          <w:rFonts w:eastAsia="Calibri"/>
        </w:rPr>
        <w:t xml:space="preserve">demonstrating </w:t>
      </w:r>
      <w:r w:rsidR="006C5E61">
        <w:rPr>
          <w:rFonts w:eastAsia="Calibri"/>
        </w:rPr>
        <w:t>that it</w:t>
      </w:r>
      <w:r w:rsidR="00A87E56">
        <w:rPr>
          <w:rFonts w:eastAsia="Calibri"/>
        </w:rPr>
        <w:t>s non-NSA approved solution</w:t>
      </w:r>
      <w:r w:rsidR="00256C2C">
        <w:rPr>
          <w:rFonts w:eastAsia="Calibri"/>
        </w:rPr>
        <w:t xml:space="preserve"> </w:t>
      </w:r>
      <w:r w:rsidR="00852373">
        <w:rPr>
          <w:rFonts w:eastAsia="Calibri"/>
        </w:rPr>
        <w:t xml:space="preserve">will </w:t>
      </w:r>
      <w:r w:rsidR="00194BF1">
        <w:rPr>
          <w:rFonts w:eastAsia="Calibri"/>
        </w:rPr>
        <w:t xml:space="preserve">effectively </w:t>
      </w:r>
      <w:r w:rsidR="00E66767">
        <w:rPr>
          <w:rFonts w:eastAsia="Calibri"/>
        </w:rPr>
        <w:t>protect the confidentiality</w:t>
      </w:r>
      <w:r w:rsidR="00277A8F">
        <w:rPr>
          <w:rFonts w:eastAsia="Calibri"/>
        </w:rPr>
        <w:t xml:space="preserve">, </w:t>
      </w:r>
      <w:r w:rsidR="00E66767">
        <w:rPr>
          <w:rFonts w:eastAsia="Calibri"/>
        </w:rPr>
        <w:t>integrity</w:t>
      </w:r>
      <w:r w:rsidR="00277A8F">
        <w:rPr>
          <w:rFonts w:eastAsia="Calibri"/>
        </w:rPr>
        <w:t>, and availability</w:t>
      </w:r>
      <w:r w:rsidR="00E66767">
        <w:rPr>
          <w:rFonts w:eastAsia="Calibri"/>
        </w:rPr>
        <w:t xml:space="preserve"> of the </w:t>
      </w:r>
      <w:r w:rsidR="00852373">
        <w:rPr>
          <w:rFonts w:eastAsia="Calibri"/>
        </w:rPr>
        <w:t xml:space="preserve">space station </w:t>
      </w:r>
      <w:r w:rsidR="00E66767">
        <w:rPr>
          <w:rFonts w:eastAsia="Calibri"/>
        </w:rPr>
        <w:t xml:space="preserve">command and telemetry </w:t>
      </w:r>
      <w:r w:rsidR="00277A8F">
        <w:rPr>
          <w:rFonts w:eastAsia="Calibri"/>
        </w:rPr>
        <w:t xml:space="preserve">links </w:t>
      </w:r>
      <w:r w:rsidR="00852373">
        <w:rPr>
          <w:rFonts w:eastAsia="Calibri"/>
        </w:rPr>
        <w:t xml:space="preserve">during operation </w:t>
      </w:r>
      <w:r w:rsidR="00A87E56">
        <w:rPr>
          <w:rFonts w:eastAsia="Calibri"/>
        </w:rPr>
        <w:t xml:space="preserve">by </w:t>
      </w:r>
      <w:r w:rsidR="006C5E61">
        <w:rPr>
          <w:rFonts w:eastAsia="Calibri"/>
        </w:rPr>
        <w:t xml:space="preserve">(i) </w:t>
      </w:r>
      <w:r w:rsidR="00975718">
        <w:rPr>
          <w:rFonts w:eastAsia="Calibri"/>
        </w:rPr>
        <w:t>a</w:t>
      </w:r>
      <w:r w:rsidR="00975718" w:rsidRPr="00975718">
        <w:rPr>
          <w:rFonts w:eastAsia="Calibri"/>
        </w:rPr>
        <w:t>uthenticat</w:t>
      </w:r>
      <w:r w:rsidR="00A87E56">
        <w:rPr>
          <w:rFonts w:eastAsia="Calibri"/>
        </w:rPr>
        <w:t>ing</w:t>
      </w:r>
      <w:r w:rsidR="00975718" w:rsidRPr="00975718">
        <w:rPr>
          <w:rFonts w:eastAsia="Calibri"/>
        </w:rPr>
        <w:t xml:space="preserve"> and end-to-end encrypt</w:t>
      </w:r>
      <w:r w:rsidR="00A87E56">
        <w:rPr>
          <w:rFonts w:eastAsia="Calibri"/>
        </w:rPr>
        <w:t>ing</w:t>
      </w:r>
      <w:r w:rsidR="00975718" w:rsidRPr="00975718">
        <w:rPr>
          <w:rFonts w:eastAsia="Calibri"/>
        </w:rPr>
        <w:t xml:space="preserve"> all system commands </w:t>
      </w:r>
      <w:r w:rsidR="006C5E61" w:rsidRPr="006C5E61">
        <w:rPr>
          <w:rFonts w:eastAsia="Calibri"/>
        </w:rPr>
        <w:t>(e.g. space platform bus and all payload commands)</w:t>
      </w:r>
      <w:r w:rsidR="006C5E61">
        <w:rPr>
          <w:rFonts w:eastAsia="Calibri"/>
        </w:rPr>
        <w:t xml:space="preserve"> and (ii) e</w:t>
      </w:r>
      <w:r w:rsidR="006C5E61" w:rsidRPr="006C5E61">
        <w:rPr>
          <w:rFonts w:eastAsia="Calibri"/>
        </w:rPr>
        <w:t>nd-to-end encryp</w:t>
      </w:r>
      <w:r w:rsidR="00A87E56">
        <w:rPr>
          <w:rFonts w:eastAsia="Calibri"/>
        </w:rPr>
        <w:t xml:space="preserve">ting </w:t>
      </w:r>
      <w:r w:rsidR="006C5E61" w:rsidRPr="006C5E61">
        <w:rPr>
          <w:rFonts w:eastAsia="Calibri"/>
        </w:rPr>
        <w:t xml:space="preserve">all </w:t>
      </w:r>
      <w:r w:rsidR="000735CD">
        <w:rPr>
          <w:rFonts w:eastAsia="Calibri"/>
        </w:rPr>
        <w:t xml:space="preserve">telemetry </w:t>
      </w:r>
      <w:r w:rsidR="006C5E61" w:rsidRPr="006C5E61">
        <w:rPr>
          <w:rFonts w:eastAsia="Calibri"/>
        </w:rPr>
        <w:t xml:space="preserve">data (e.g. space platform bus and payload command echoes, telemetry, </w:t>
      </w:r>
      <w:r w:rsidR="00194BF1">
        <w:rPr>
          <w:rFonts w:eastAsia="Calibri"/>
        </w:rPr>
        <w:t xml:space="preserve">and </w:t>
      </w:r>
      <w:r w:rsidR="006C5E61" w:rsidRPr="006C5E61">
        <w:rPr>
          <w:rFonts w:eastAsia="Calibri"/>
        </w:rPr>
        <w:t>health and status)</w:t>
      </w:r>
      <w:r w:rsidR="000E0475">
        <w:rPr>
          <w:rFonts w:eastAsia="Calibri"/>
        </w:rPr>
        <w:t>.</w:t>
      </w:r>
      <w:r w:rsidR="00E76F87">
        <w:rPr>
          <w:rFonts w:eastAsia="Calibri"/>
        </w:rPr>
        <w:t xml:space="preserve"> </w:t>
      </w:r>
    </w:p>
    <w:p w14:paraId="42B817FD" w14:textId="0E3DBB46" w:rsidR="003A0867" w:rsidRPr="00270C19" w:rsidRDefault="00785527" w:rsidP="00270C19">
      <w:pPr>
        <w:spacing w:line="480" w:lineRule="auto"/>
        <w:ind w:firstLine="720"/>
        <w:jc w:val="both"/>
        <w:rPr>
          <w:rFonts w:eastAsia="Calibri"/>
        </w:rPr>
      </w:pPr>
      <w:r>
        <w:rPr>
          <w:rFonts w:eastAsia="Calibri"/>
        </w:rPr>
        <w:t xml:space="preserve">Providence </w:t>
      </w:r>
      <w:r w:rsidR="00D90D44">
        <w:rPr>
          <w:rFonts w:eastAsia="Calibri"/>
        </w:rPr>
        <w:t xml:space="preserve">suggests that any references to “tracking” be removed from </w:t>
      </w:r>
      <w:r w:rsidR="00CA2DCF">
        <w:rPr>
          <w:rFonts w:eastAsia="Calibri"/>
        </w:rPr>
        <w:t>any rule</w:t>
      </w:r>
      <w:r w:rsidR="00AC45F2">
        <w:rPr>
          <w:rFonts w:eastAsia="Calibri"/>
        </w:rPr>
        <w:t xml:space="preserve"> as non-relevant to the goal of preventing creation of orbital debris</w:t>
      </w:r>
      <w:r w:rsidR="00685CC7">
        <w:rPr>
          <w:rFonts w:eastAsia="Calibri"/>
        </w:rPr>
        <w:t xml:space="preserve"> or maintaining positive control of a satellite. </w:t>
      </w:r>
      <w:r w:rsidR="000E0475">
        <w:rPr>
          <w:rFonts w:eastAsia="Calibri"/>
        </w:rPr>
        <w:t xml:space="preserve">If the Commission adopted this revised </w:t>
      </w:r>
      <w:r w:rsidR="00B01576">
        <w:rPr>
          <w:rFonts w:eastAsia="Calibri"/>
        </w:rPr>
        <w:t>r</w:t>
      </w:r>
      <w:r w:rsidR="000E0475">
        <w:rPr>
          <w:rFonts w:eastAsia="Calibri"/>
        </w:rPr>
        <w:t xml:space="preserve">ule, applicants could routinely satisfy it by </w:t>
      </w:r>
      <w:r w:rsidR="00FE0CB7">
        <w:rPr>
          <w:rFonts w:eastAsia="Calibri"/>
        </w:rPr>
        <w:t xml:space="preserve">(i) </w:t>
      </w:r>
      <w:r w:rsidR="000E0475">
        <w:rPr>
          <w:rFonts w:eastAsia="Calibri"/>
        </w:rPr>
        <w:t xml:space="preserve">using the well-established processes to obtain </w:t>
      </w:r>
      <w:r w:rsidR="00A3777D">
        <w:rPr>
          <w:rFonts w:eastAsia="Calibri"/>
        </w:rPr>
        <w:t xml:space="preserve">and present </w:t>
      </w:r>
      <w:r w:rsidR="000E0475">
        <w:rPr>
          <w:rFonts w:eastAsia="Calibri"/>
        </w:rPr>
        <w:t xml:space="preserve">a CNSSP-12 approval letter from the NSA, </w:t>
      </w:r>
      <w:r w:rsidR="00FE0CB7">
        <w:rPr>
          <w:rFonts w:eastAsia="Calibri"/>
        </w:rPr>
        <w:t xml:space="preserve">(ii) </w:t>
      </w:r>
      <w:r w:rsidR="000E0475">
        <w:rPr>
          <w:rFonts w:eastAsia="Calibri"/>
        </w:rPr>
        <w:t>build</w:t>
      </w:r>
      <w:r w:rsidR="00FE0CB7">
        <w:rPr>
          <w:rFonts w:eastAsia="Calibri"/>
        </w:rPr>
        <w:t>ing</w:t>
      </w:r>
      <w:r w:rsidR="000E0475">
        <w:rPr>
          <w:rFonts w:eastAsia="Calibri"/>
        </w:rPr>
        <w:t xml:space="preserve"> their own effective solution (subject to Commission review and public notice)</w:t>
      </w:r>
      <w:r w:rsidR="00B01576">
        <w:rPr>
          <w:rFonts w:eastAsia="Calibri"/>
        </w:rPr>
        <w:t>,</w:t>
      </w:r>
      <w:r w:rsidR="000E0475">
        <w:rPr>
          <w:rFonts w:eastAsia="Calibri"/>
        </w:rPr>
        <w:t xml:space="preserve"> or </w:t>
      </w:r>
      <w:r w:rsidR="00B01576">
        <w:rPr>
          <w:rFonts w:eastAsia="Calibri"/>
        </w:rPr>
        <w:t xml:space="preserve">(iii) </w:t>
      </w:r>
      <w:r w:rsidR="000E0475">
        <w:rPr>
          <w:rFonts w:eastAsia="Calibri"/>
        </w:rPr>
        <w:t>request</w:t>
      </w:r>
      <w:r w:rsidR="005C37D6">
        <w:rPr>
          <w:rFonts w:eastAsia="Calibri"/>
        </w:rPr>
        <w:t>ing</w:t>
      </w:r>
      <w:r w:rsidR="000E0475">
        <w:rPr>
          <w:rFonts w:eastAsia="Calibri"/>
        </w:rPr>
        <w:t xml:space="preserve"> a waiver.</w:t>
      </w:r>
      <w:r w:rsidR="001D1BCD">
        <w:rPr>
          <w:rFonts w:eastAsia="Calibri"/>
        </w:rPr>
        <w:t xml:space="preserve"> This rule should apply to all space station applicants and those non-U.S. licensed space station operators over whom the Commission must make a U.S. market access determination.</w:t>
      </w:r>
      <w:r w:rsidR="001D1BCD">
        <w:rPr>
          <w:rStyle w:val="FootnoteReference"/>
          <w:rFonts w:eastAsia="Calibri"/>
        </w:rPr>
        <w:footnoteReference w:id="24"/>
      </w:r>
      <w:bookmarkStart w:id="1" w:name="_Toc536552513"/>
      <w:bookmarkStart w:id="2" w:name="_Toc536429165"/>
    </w:p>
    <w:p w14:paraId="67768455" w14:textId="77777777" w:rsidR="003A0867" w:rsidRDefault="003A0867" w:rsidP="00731AFD">
      <w:pPr>
        <w:tabs>
          <w:tab w:val="left" w:pos="720"/>
        </w:tabs>
        <w:ind w:left="720" w:hanging="720"/>
        <w:jc w:val="both"/>
        <w:outlineLvl w:val="0"/>
        <w:rPr>
          <w:rFonts w:eastAsia="SimSun"/>
          <w:b/>
          <w:szCs w:val="20"/>
        </w:rPr>
      </w:pPr>
    </w:p>
    <w:p w14:paraId="382661BD" w14:textId="3C3B7747" w:rsidR="00731AFD" w:rsidRDefault="00731AFD" w:rsidP="00731AFD">
      <w:pPr>
        <w:tabs>
          <w:tab w:val="left" w:pos="720"/>
        </w:tabs>
        <w:ind w:left="720" w:hanging="720"/>
        <w:jc w:val="both"/>
        <w:outlineLvl w:val="0"/>
        <w:rPr>
          <w:rFonts w:eastAsia="SimSun"/>
          <w:b/>
          <w:szCs w:val="20"/>
        </w:rPr>
      </w:pPr>
      <w:r>
        <w:rPr>
          <w:rFonts w:eastAsia="SimSun"/>
          <w:b/>
          <w:szCs w:val="20"/>
        </w:rPr>
        <w:t>V</w:t>
      </w:r>
      <w:r w:rsidR="003A0867">
        <w:rPr>
          <w:rFonts w:eastAsia="SimSun"/>
          <w:b/>
          <w:szCs w:val="20"/>
        </w:rPr>
        <w:t>I</w:t>
      </w:r>
      <w:r>
        <w:rPr>
          <w:rFonts w:eastAsia="SimSun"/>
          <w:b/>
          <w:szCs w:val="20"/>
        </w:rPr>
        <w:t>.</w:t>
      </w:r>
      <w:r>
        <w:rPr>
          <w:rFonts w:eastAsia="SimSun"/>
          <w:b/>
          <w:szCs w:val="20"/>
        </w:rPr>
        <w:tab/>
        <w:t>CONCLUSION</w:t>
      </w:r>
      <w:bookmarkEnd w:id="1"/>
      <w:bookmarkEnd w:id="2"/>
    </w:p>
    <w:p w14:paraId="338051AC" w14:textId="7003DD9C" w:rsidR="00731AFD" w:rsidRDefault="00731AFD" w:rsidP="00731AFD">
      <w:pPr>
        <w:tabs>
          <w:tab w:val="left" w:pos="720"/>
        </w:tabs>
        <w:ind w:left="720" w:hanging="720"/>
        <w:jc w:val="both"/>
        <w:outlineLvl w:val="0"/>
        <w:rPr>
          <w:rFonts w:eastAsia="SimSun"/>
          <w:b/>
          <w:szCs w:val="20"/>
        </w:rPr>
      </w:pPr>
    </w:p>
    <w:p w14:paraId="4E20A6C5" w14:textId="756BF843" w:rsidR="001F61E6" w:rsidRPr="00F01B5A" w:rsidRDefault="00F60865" w:rsidP="00F01B5A">
      <w:pPr>
        <w:tabs>
          <w:tab w:val="left" w:pos="720"/>
        </w:tabs>
        <w:spacing w:line="480" w:lineRule="auto"/>
        <w:jc w:val="both"/>
        <w:outlineLvl w:val="0"/>
        <w:rPr>
          <w:rFonts w:eastAsia="SimSun"/>
          <w:szCs w:val="20"/>
        </w:rPr>
      </w:pPr>
      <w:r>
        <w:rPr>
          <w:rFonts w:eastAsia="SimSun"/>
          <w:szCs w:val="20"/>
        </w:rPr>
        <w:tab/>
        <w:t>As space becomes more congested, contested, and competitive it is more important than ever that</w:t>
      </w:r>
      <w:r w:rsidR="00996872">
        <w:rPr>
          <w:rFonts w:eastAsia="SimSun"/>
          <w:szCs w:val="20"/>
        </w:rPr>
        <w:t xml:space="preserve"> all </w:t>
      </w:r>
      <w:r>
        <w:rPr>
          <w:rFonts w:eastAsia="SimSun"/>
          <w:szCs w:val="20"/>
        </w:rPr>
        <w:t xml:space="preserve">satellite </w:t>
      </w:r>
      <w:r w:rsidR="00C16704">
        <w:rPr>
          <w:rFonts w:eastAsia="SimSun"/>
          <w:szCs w:val="20"/>
        </w:rPr>
        <w:t>operators</w:t>
      </w:r>
      <w:r w:rsidR="00996872">
        <w:rPr>
          <w:rFonts w:eastAsia="SimSun"/>
          <w:szCs w:val="20"/>
        </w:rPr>
        <w:t xml:space="preserve">, including those who are subject to Commission jurisdiction, </w:t>
      </w:r>
      <w:r w:rsidR="00C16704">
        <w:rPr>
          <w:rFonts w:eastAsia="SimSun"/>
          <w:szCs w:val="20"/>
        </w:rPr>
        <w:t xml:space="preserve">maintain positive control of their spacecraft. </w:t>
      </w:r>
      <w:r w:rsidR="00FE0FD3">
        <w:rPr>
          <w:rFonts w:eastAsia="SimSun"/>
          <w:szCs w:val="20"/>
        </w:rPr>
        <w:t>Encryption is one important security approach: e</w:t>
      </w:r>
      <w:r w:rsidR="000C7991">
        <w:rPr>
          <w:rFonts w:eastAsia="SimSun"/>
          <w:szCs w:val="20"/>
        </w:rPr>
        <w:t xml:space="preserve">nsuring that only authorized commands are received and processed by a given satellite contributes to its positive control; </w:t>
      </w:r>
      <w:r w:rsidR="00743246">
        <w:rPr>
          <w:rFonts w:eastAsia="SimSun"/>
          <w:szCs w:val="20"/>
        </w:rPr>
        <w:t xml:space="preserve">encrypting </w:t>
      </w:r>
      <w:r w:rsidR="00FE0FD3">
        <w:rPr>
          <w:rFonts w:eastAsia="SimSun"/>
          <w:szCs w:val="20"/>
        </w:rPr>
        <w:t xml:space="preserve">its </w:t>
      </w:r>
      <w:r w:rsidR="00743246">
        <w:rPr>
          <w:rFonts w:eastAsia="SimSun"/>
          <w:szCs w:val="20"/>
        </w:rPr>
        <w:t xml:space="preserve">telemetry </w:t>
      </w:r>
      <w:r w:rsidR="00996872">
        <w:rPr>
          <w:rFonts w:eastAsia="SimSun"/>
          <w:szCs w:val="20"/>
        </w:rPr>
        <w:t xml:space="preserve">adds a further layer of security against potential </w:t>
      </w:r>
      <w:r w:rsidR="00BF3D64">
        <w:rPr>
          <w:rFonts w:eastAsia="SimSun"/>
          <w:szCs w:val="20"/>
        </w:rPr>
        <w:t>satellite</w:t>
      </w:r>
      <w:r w:rsidR="00996872">
        <w:rPr>
          <w:rFonts w:eastAsia="SimSun"/>
          <w:szCs w:val="20"/>
        </w:rPr>
        <w:t xml:space="preserve"> attacks. </w:t>
      </w:r>
      <w:r w:rsidR="00C16704">
        <w:rPr>
          <w:rFonts w:eastAsia="SimSun"/>
          <w:szCs w:val="20"/>
        </w:rPr>
        <w:t xml:space="preserve">Securing the command and telemetry channels using </w:t>
      </w:r>
      <w:r w:rsidR="00BF3D64">
        <w:rPr>
          <w:rFonts w:eastAsia="SimSun"/>
          <w:szCs w:val="20"/>
        </w:rPr>
        <w:t xml:space="preserve">NSA-approved </w:t>
      </w:r>
      <w:r w:rsidR="00C16704">
        <w:rPr>
          <w:rFonts w:eastAsia="SimSun"/>
          <w:szCs w:val="20"/>
        </w:rPr>
        <w:t xml:space="preserve">encryption </w:t>
      </w:r>
      <w:r w:rsidR="00FE0FD3">
        <w:rPr>
          <w:rFonts w:eastAsia="SimSun"/>
          <w:szCs w:val="20"/>
        </w:rPr>
        <w:t xml:space="preserve">has long been </w:t>
      </w:r>
      <w:r w:rsidR="000C7991">
        <w:rPr>
          <w:rFonts w:eastAsia="SimSun"/>
          <w:szCs w:val="20"/>
        </w:rPr>
        <w:t>mandatory</w:t>
      </w:r>
      <w:r w:rsidR="003E7299">
        <w:rPr>
          <w:rFonts w:eastAsia="SimSun"/>
          <w:szCs w:val="20"/>
        </w:rPr>
        <w:t xml:space="preserve"> for </w:t>
      </w:r>
      <w:r w:rsidR="00996872">
        <w:rPr>
          <w:rFonts w:eastAsia="SimSun"/>
          <w:szCs w:val="20"/>
        </w:rPr>
        <w:t xml:space="preserve">U.S. and non-U.S. commercial </w:t>
      </w:r>
      <w:r w:rsidR="003E7299">
        <w:rPr>
          <w:rFonts w:eastAsia="SimSun"/>
          <w:szCs w:val="20"/>
        </w:rPr>
        <w:t>satellites used to support the U.S. Government’s own requirements</w:t>
      </w:r>
      <w:r w:rsidR="00FE0FD3">
        <w:rPr>
          <w:rFonts w:eastAsia="SimSun"/>
          <w:szCs w:val="20"/>
        </w:rPr>
        <w:t xml:space="preserve"> and is routinely used by </w:t>
      </w:r>
      <w:r w:rsidR="00BF3D64">
        <w:rPr>
          <w:rFonts w:eastAsia="SimSun"/>
          <w:szCs w:val="20"/>
        </w:rPr>
        <w:t>many</w:t>
      </w:r>
      <w:r w:rsidR="00DE2A17">
        <w:rPr>
          <w:rFonts w:eastAsia="SimSun"/>
          <w:szCs w:val="20"/>
        </w:rPr>
        <w:t xml:space="preserve"> responsible </w:t>
      </w:r>
      <w:r w:rsidR="00FE0FD3">
        <w:rPr>
          <w:rFonts w:eastAsia="SimSun"/>
          <w:szCs w:val="20"/>
        </w:rPr>
        <w:t>satellite operators</w:t>
      </w:r>
      <w:r w:rsidR="000C7991">
        <w:rPr>
          <w:rFonts w:eastAsia="SimSun"/>
          <w:szCs w:val="20"/>
        </w:rPr>
        <w:t>. Because designing and implementing effective encryption systems is very hard to do</w:t>
      </w:r>
      <w:r w:rsidR="00996872">
        <w:rPr>
          <w:rFonts w:eastAsia="SimSun"/>
          <w:szCs w:val="20"/>
        </w:rPr>
        <w:t>,</w:t>
      </w:r>
      <w:r w:rsidR="000C7991">
        <w:rPr>
          <w:rFonts w:eastAsia="SimSun"/>
          <w:szCs w:val="20"/>
        </w:rPr>
        <w:t xml:space="preserve"> the Commission should</w:t>
      </w:r>
      <w:r w:rsidR="00996872">
        <w:rPr>
          <w:rFonts w:eastAsia="SimSun"/>
          <w:szCs w:val="20"/>
        </w:rPr>
        <w:t xml:space="preserve"> carefully examine any claims by operators that do not employ NSA-</w:t>
      </w:r>
      <w:r w:rsidR="00B76E10">
        <w:rPr>
          <w:rFonts w:eastAsia="SimSun"/>
          <w:szCs w:val="20"/>
        </w:rPr>
        <w:t xml:space="preserve">evaluated and </w:t>
      </w:r>
      <w:r w:rsidR="00996872">
        <w:rPr>
          <w:rFonts w:eastAsia="SimSun"/>
          <w:szCs w:val="20"/>
        </w:rPr>
        <w:t>approved cryptograp</w:t>
      </w:r>
      <w:r w:rsidR="00B76E10">
        <w:rPr>
          <w:rFonts w:eastAsia="SimSun"/>
          <w:szCs w:val="20"/>
        </w:rPr>
        <w:t>hy implementation</w:t>
      </w:r>
      <w:r w:rsidR="00575A2A">
        <w:rPr>
          <w:rFonts w:eastAsia="SimSun"/>
          <w:szCs w:val="20"/>
        </w:rPr>
        <w:t>s, and its proposed rule should be modified to reflect the need for effective cryptography</w:t>
      </w:r>
      <w:r w:rsidR="00DE2A17">
        <w:rPr>
          <w:rFonts w:eastAsia="SimSun"/>
          <w:szCs w:val="20"/>
        </w:rPr>
        <w:t xml:space="preserve"> to promote positive control of </w:t>
      </w:r>
      <w:r w:rsidR="001F1869">
        <w:rPr>
          <w:rFonts w:eastAsia="SimSun"/>
          <w:szCs w:val="20"/>
        </w:rPr>
        <w:t xml:space="preserve">space stations throughout their entire mission lifecycle. </w:t>
      </w:r>
    </w:p>
    <w:p w14:paraId="29BBBF08" w14:textId="77777777" w:rsidR="005C37D6" w:rsidRDefault="005C37D6" w:rsidP="00731AFD">
      <w:pPr>
        <w:pStyle w:val="Normal0"/>
        <w:jc w:val="right"/>
      </w:pPr>
    </w:p>
    <w:p w14:paraId="66B14178" w14:textId="77777777" w:rsidR="005C37D6" w:rsidRDefault="005C37D6" w:rsidP="00731AFD">
      <w:pPr>
        <w:pStyle w:val="Normal0"/>
        <w:jc w:val="right"/>
      </w:pPr>
    </w:p>
    <w:p w14:paraId="5CCA0E4C" w14:textId="229C713F" w:rsidR="00731AFD" w:rsidRDefault="00731AFD" w:rsidP="00731AFD">
      <w:pPr>
        <w:pStyle w:val="Normal0"/>
        <w:jc w:val="right"/>
      </w:pPr>
      <w:r>
        <w:t>Respectfully submitted,</w:t>
      </w:r>
    </w:p>
    <w:p w14:paraId="4E935924" w14:textId="77777777" w:rsidR="00731AFD" w:rsidRDefault="00731AFD" w:rsidP="00731AFD">
      <w:pPr>
        <w:pStyle w:val="Normal0"/>
        <w:jc w:val="right"/>
      </w:pPr>
    </w:p>
    <w:p w14:paraId="05CFAAA0" w14:textId="41B9C5CE" w:rsidR="00731AFD" w:rsidRDefault="00731AFD" w:rsidP="00731AFD">
      <w:pPr>
        <w:pStyle w:val="Normal0"/>
        <w:jc w:val="right"/>
        <w:rPr>
          <w:b/>
        </w:rPr>
      </w:pPr>
      <w:r>
        <w:rPr>
          <w:b/>
        </w:rPr>
        <w:t>PROVIDENCE ACCESS COMPANY</w:t>
      </w:r>
    </w:p>
    <w:p w14:paraId="0EE635D3" w14:textId="77777777" w:rsidR="003C629F" w:rsidRDefault="003C629F" w:rsidP="00731AFD">
      <w:pPr>
        <w:pStyle w:val="Normal0"/>
        <w:jc w:val="right"/>
        <w:rPr>
          <w:b/>
        </w:rPr>
      </w:pPr>
    </w:p>
    <w:p w14:paraId="687FFD3D" w14:textId="26356254" w:rsidR="00F02D72" w:rsidRDefault="00731AFD" w:rsidP="00270C19">
      <w:pPr>
        <w:pStyle w:val="Normal0"/>
        <w:jc w:val="right"/>
      </w:pPr>
      <w:r>
        <w:t xml:space="preserve">By: </w:t>
      </w:r>
      <w:r>
        <w:rPr>
          <w:u w:val="single"/>
        </w:rPr>
        <w:t xml:space="preserve">/s/ </w:t>
      </w:r>
      <w:r>
        <w:rPr>
          <w:i/>
          <w:u w:val="single"/>
        </w:rPr>
        <w:t>Andrew R. D’Uva</w:t>
      </w:r>
    </w:p>
    <w:p w14:paraId="1EB08442" w14:textId="224FBFDB" w:rsidR="00731AFD" w:rsidRDefault="00731AFD" w:rsidP="00731AFD">
      <w:pPr>
        <w:pStyle w:val="Normal0"/>
        <w:jc w:val="right"/>
      </w:pPr>
      <w:r>
        <w:t>Andrew R. D’Uva</w:t>
      </w:r>
    </w:p>
    <w:p w14:paraId="74CEA4A0" w14:textId="56BA3CC2" w:rsidR="00731AFD" w:rsidRDefault="00731AFD" w:rsidP="00731AFD">
      <w:pPr>
        <w:pStyle w:val="Normal0"/>
        <w:jc w:val="right"/>
      </w:pPr>
      <w:r>
        <w:t>President</w:t>
      </w:r>
      <w:r w:rsidR="003C629F">
        <w:t xml:space="preserve"> and Chief Executive Officer</w:t>
      </w:r>
    </w:p>
    <w:p w14:paraId="368E875C" w14:textId="77777777" w:rsidR="00731AFD" w:rsidRDefault="00731AFD" w:rsidP="00731AFD">
      <w:pPr>
        <w:pStyle w:val="Normal0"/>
        <w:jc w:val="right"/>
      </w:pPr>
      <w:r>
        <w:t>Providence Access Company</w:t>
      </w:r>
    </w:p>
    <w:p w14:paraId="14EBAA5E" w14:textId="77777777" w:rsidR="00731AFD" w:rsidRDefault="00731AFD" w:rsidP="00731AFD">
      <w:pPr>
        <w:pStyle w:val="Normal0"/>
        <w:jc w:val="right"/>
      </w:pPr>
      <w:r>
        <w:t>2111 Wilson Boulevard, Suite 700</w:t>
      </w:r>
    </w:p>
    <w:p w14:paraId="2FF398BD" w14:textId="77777777" w:rsidR="00731AFD" w:rsidRDefault="00731AFD" w:rsidP="00731AFD">
      <w:pPr>
        <w:pStyle w:val="Normal0"/>
        <w:jc w:val="right"/>
      </w:pPr>
      <w:r>
        <w:t>Arlington, Virginia 22201</w:t>
      </w:r>
    </w:p>
    <w:p w14:paraId="47474884" w14:textId="77777777" w:rsidR="00C27D3A" w:rsidRDefault="00731AFD" w:rsidP="00270C19">
      <w:pPr>
        <w:pStyle w:val="Normal0"/>
        <w:jc w:val="right"/>
      </w:pPr>
      <w:r>
        <w:t>(202) 621-2167</w:t>
      </w:r>
    </w:p>
    <w:p w14:paraId="610EC935" w14:textId="1D8048E0" w:rsidR="00A3628E" w:rsidRDefault="00731AFD" w:rsidP="00764CB6">
      <w:pPr>
        <w:pStyle w:val="Normal0"/>
      </w:pPr>
      <w:r>
        <w:t>April 5, 2019</w:t>
      </w:r>
    </w:p>
    <w:sectPr w:rsidR="00A3628E" w:rsidSect="005D7E28">
      <w:footerReference w:type="even"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6A035" w14:textId="77777777" w:rsidR="00123125" w:rsidRDefault="00123125" w:rsidP="00731AFD">
      <w:r>
        <w:separator/>
      </w:r>
    </w:p>
  </w:endnote>
  <w:endnote w:type="continuationSeparator" w:id="0">
    <w:p w14:paraId="0DF40575" w14:textId="77777777" w:rsidR="00123125" w:rsidRDefault="00123125" w:rsidP="0073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15473527"/>
      <w:docPartObj>
        <w:docPartGallery w:val="Page Numbers (Bottom of Page)"/>
        <w:docPartUnique/>
      </w:docPartObj>
    </w:sdtPr>
    <w:sdtEndPr>
      <w:rPr>
        <w:rStyle w:val="PageNumber"/>
      </w:rPr>
    </w:sdtEndPr>
    <w:sdtContent>
      <w:p w14:paraId="5B9C051A" w14:textId="464A8016" w:rsidR="005D7E28" w:rsidRDefault="005D7E28" w:rsidP="000116D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0B9690" w14:textId="77777777" w:rsidR="005D7E28" w:rsidRDefault="005D7E28" w:rsidP="005D7E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736312"/>
      <w:docPartObj>
        <w:docPartGallery w:val="Page Numbers (Bottom of Page)"/>
        <w:docPartUnique/>
      </w:docPartObj>
    </w:sdtPr>
    <w:sdtEndPr>
      <w:rPr>
        <w:rStyle w:val="PageNumber"/>
      </w:rPr>
    </w:sdtEndPr>
    <w:sdtContent>
      <w:p w14:paraId="717E84FF" w14:textId="10B1740B" w:rsidR="005D7E28" w:rsidRDefault="005D7E28" w:rsidP="000116D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C2DBB7D" w14:textId="77777777" w:rsidR="005D7E28" w:rsidRDefault="005D7E28" w:rsidP="005D7E2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186D0" w14:textId="77777777" w:rsidR="00123125" w:rsidRDefault="00123125" w:rsidP="00731AFD">
      <w:r>
        <w:separator/>
      </w:r>
    </w:p>
  </w:footnote>
  <w:footnote w:type="continuationSeparator" w:id="0">
    <w:p w14:paraId="2B533C8B" w14:textId="77777777" w:rsidR="00123125" w:rsidRDefault="00123125" w:rsidP="00731AFD">
      <w:r>
        <w:continuationSeparator/>
      </w:r>
    </w:p>
  </w:footnote>
  <w:footnote w:id="1">
    <w:p w14:paraId="7E96B864" w14:textId="750C243C" w:rsidR="00731AFD" w:rsidRDefault="00731AFD" w:rsidP="00731AFD">
      <w:pPr>
        <w:pStyle w:val="FootnoteText"/>
        <w:ind w:left="0" w:firstLine="0"/>
        <w:rPr>
          <w:sz w:val="24"/>
          <w:szCs w:val="24"/>
        </w:rPr>
      </w:pPr>
      <w:r>
        <w:rPr>
          <w:rStyle w:val="FootnoteReference"/>
          <w:sz w:val="24"/>
          <w:szCs w:val="24"/>
        </w:rPr>
        <w:footnoteRef/>
      </w:r>
      <w:r>
        <w:rPr>
          <w:sz w:val="24"/>
          <w:szCs w:val="24"/>
        </w:rPr>
        <w:t xml:space="preserve"> </w:t>
      </w:r>
      <w:r w:rsidRPr="003C629F">
        <w:t xml:space="preserve">For more information on PAC, see </w:t>
      </w:r>
      <w:hyperlink r:id="rId1" w:history="1">
        <w:r w:rsidRPr="003C629F">
          <w:rPr>
            <w:rStyle w:val="Hyperlink"/>
          </w:rPr>
          <w:t>www.providence-access.com</w:t>
        </w:r>
      </w:hyperlink>
      <w:r w:rsidRPr="003C629F">
        <w:t>.</w:t>
      </w:r>
      <w:r>
        <w:rPr>
          <w:sz w:val="24"/>
          <w:szCs w:val="24"/>
        </w:rPr>
        <w:t xml:space="preserve">   </w:t>
      </w:r>
    </w:p>
  </w:footnote>
  <w:footnote w:id="2">
    <w:p w14:paraId="0C7247B6" w14:textId="1D748820" w:rsidR="00731AFD" w:rsidRPr="003C629F" w:rsidRDefault="00731AFD" w:rsidP="00731AFD">
      <w:pPr>
        <w:pStyle w:val="FootnoteText"/>
        <w:ind w:left="0" w:firstLine="0"/>
      </w:pPr>
      <w:r>
        <w:rPr>
          <w:rStyle w:val="FootnoteReference"/>
          <w:sz w:val="24"/>
          <w:szCs w:val="24"/>
        </w:rPr>
        <w:footnoteRef/>
      </w:r>
      <w:r>
        <w:rPr>
          <w:sz w:val="24"/>
          <w:szCs w:val="24"/>
        </w:rPr>
        <w:t xml:space="preserve"> </w:t>
      </w:r>
      <w:r w:rsidRPr="003C629F">
        <w:rPr>
          <w:i/>
        </w:rPr>
        <w:t>Mitigation of Orbital Debris in the New Space Age</w:t>
      </w:r>
      <w:r w:rsidRPr="003C629F">
        <w:t>, Notice of Proposed Rulemaking and Order on Reconsideration, IB Dkt No. 18-313, FCC 18-159 (rel. Nov. 19, 2018) (“NPRM”).</w:t>
      </w:r>
    </w:p>
  </w:footnote>
  <w:footnote w:id="3">
    <w:p w14:paraId="30888B22" w14:textId="6E0BBD7B" w:rsidR="00D8518A" w:rsidRDefault="00D8518A">
      <w:pPr>
        <w:pStyle w:val="FootnoteText"/>
      </w:pPr>
      <w:r>
        <w:rPr>
          <w:rStyle w:val="FootnoteReference"/>
        </w:rPr>
        <w:footnoteRef/>
      </w:r>
      <w:r>
        <w:t xml:space="preserve"> The views expressed here are those of </w:t>
      </w:r>
      <w:r w:rsidR="008B3E16">
        <w:t>Providence</w:t>
      </w:r>
      <w:r>
        <w:t xml:space="preserve"> and do not reflect an official </w:t>
      </w:r>
      <w:r w:rsidR="00FC5265">
        <w:t xml:space="preserve">CSIWG </w:t>
      </w:r>
      <w:r>
        <w:t xml:space="preserve">position. </w:t>
      </w:r>
    </w:p>
  </w:footnote>
  <w:footnote w:id="4">
    <w:p w14:paraId="1735C199" w14:textId="77777777" w:rsidR="00731AFD" w:rsidRPr="003C629F" w:rsidRDefault="00731AFD" w:rsidP="00731AFD">
      <w:pPr>
        <w:pStyle w:val="FootnoteText"/>
      </w:pPr>
      <w:r>
        <w:rPr>
          <w:rStyle w:val="FootnoteReference"/>
          <w:sz w:val="24"/>
          <w:szCs w:val="24"/>
        </w:rPr>
        <w:footnoteRef/>
      </w:r>
      <w:r>
        <w:rPr>
          <w:sz w:val="24"/>
          <w:szCs w:val="24"/>
        </w:rPr>
        <w:t xml:space="preserve"> </w:t>
      </w:r>
      <w:r w:rsidRPr="003C629F">
        <w:rPr>
          <w:i/>
        </w:rPr>
        <w:t>See generally</w:t>
      </w:r>
      <w:r w:rsidRPr="003C629F">
        <w:t xml:space="preserve"> NPRM.</w:t>
      </w:r>
    </w:p>
  </w:footnote>
  <w:footnote w:id="5">
    <w:p w14:paraId="577750B3" w14:textId="2C23A4DF" w:rsidR="00AA751D" w:rsidRDefault="00AA751D" w:rsidP="007679BA">
      <w:pPr>
        <w:pStyle w:val="FootnoteText"/>
        <w:ind w:left="0" w:firstLine="0"/>
      </w:pPr>
      <w:r>
        <w:rPr>
          <w:rStyle w:val="FootnoteReference"/>
        </w:rPr>
        <w:footnoteRef/>
      </w:r>
      <w:r>
        <w:t xml:space="preserve"> </w:t>
      </w:r>
      <w:r w:rsidR="006F2661">
        <w:t xml:space="preserve">NPRM at </w:t>
      </w:r>
      <w:r w:rsidR="00D555AD">
        <w:t xml:space="preserve">¶ </w:t>
      </w:r>
      <w:r w:rsidR="000808D4">
        <w:t xml:space="preserve">75 and </w:t>
      </w:r>
      <w:r w:rsidR="00C31AF2">
        <w:t xml:space="preserve">Appendix A. </w:t>
      </w:r>
      <w:r>
        <w:t xml:space="preserve">The Commission has </w:t>
      </w:r>
      <w:r w:rsidR="003C2250">
        <w:t>long considered whether its space station applicants are legally, financially, and technically qualified to become licensees</w:t>
      </w:r>
      <w:r w:rsidR="007679BA">
        <w:t xml:space="preserve">; </w:t>
      </w:r>
      <w:r w:rsidR="00785527">
        <w:t xml:space="preserve">Providence </w:t>
      </w:r>
      <w:r w:rsidR="007679BA">
        <w:t xml:space="preserve">considers it well within the Commission’s authority to determine the sufficiency of the technical means </w:t>
      </w:r>
      <w:r w:rsidR="00B40EE9">
        <w:t xml:space="preserve">proposed </w:t>
      </w:r>
      <w:r w:rsidR="007679BA">
        <w:t xml:space="preserve">to support </w:t>
      </w:r>
      <w:r w:rsidR="00FA4754">
        <w:t xml:space="preserve">positive </w:t>
      </w:r>
      <w:r w:rsidR="007679BA">
        <w:t xml:space="preserve">satellite control, such as the presence of effective encryption systems to secure command and telemetry links, falls squarely into the Commission’s established legal authority and decades of regulatory practice. </w:t>
      </w:r>
    </w:p>
  </w:footnote>
  <w:footnote w:id="6">
    <w:p w14:paraId="5D73FF50" w14:textId="619704C0" w:rsidR="00603FF1" w:rsidRPr="00867E9A" w:rsidRDefault="00603FF1" w:rsidP="008834EF">
      <w:pPr>
        <w:pStyle w:val="FootnoteText"/>
        <w:ind w:left="0" w:firstLine="0"/>
      </w:pPr>
      <w:r>
        <w:rPr>
          <w:rStyle w:val="FootnoteReference"/>
        </w:rPr>
        <w:footnoteRef/>
      </w:r>
      <w:r>
        <w:t xml:space="preserve"> </w:t>
      </w:r>
      <w:r w:rsidR="0078081B" w:rsidRPr="0078081B">
        <w:rPr>
          <w:i/>
        </w:rPr>
        <w:t>See generally</w:t>
      </w:r>
      <w:r w:rsidR="0078081B">
        <w:t xml:space="preserve">, </w:t>
      </w:r>
      <w:r w:rsidR="00530A82" w:rsidRPr="00530A82">
        <w:t>Treaty on Principles Governing the Activities of States in the Exploration and Use of Outer Space, including the Moon and Other Celestial Bodies</w:t>
      </w:r>
      <w:r w:rsidR="007679BA">
        <w:t xml:space="preserve"> (“OST”)</w:t>
      </w:r>
      <w:r w:rsidR="0078081B">
        <w:t xml:space="preserve">, </w:t>
      </w:r>
      <w:r w:rsidR="0078081B" w:rsidRPr="0078081B">
        <w:t>18 UST 2410, 610 UNTS 205, 6 ILM 386 (1967)</w:t>
      </w:r>
      <w:r w:rsidR="0078081B">
        <w:t xml:space="preserve">; </w:t>
      </w:r>
      <w:r w:rsidR="00EC140F" w:rsidRPr="00EC140F">
        <w:t>Convention on International Liability for Damage Caused by Space Objects</w:t>
      </w:r>
      <w:r w:rsidR="00EC140F">
        <w:t xml:space="preserve"> (“Liability Convention”), </w:t>
      </w:r>
      <w:r w:rsidR="008834EF" w:rsidRPr="008834EF">
        <w:t>961 UNTS 187; 24 UST 2389; 10 ILM 965 (1971)</w:t>
      </w:r>
      <w:r w:rsidR="008834EF">
        <w:t>.</w:t>
      </w:r>
      <w:r w:rsidR="007679BA">
        <w:t xml:space="preserve"> </w:t>
      </w:r>
      <w:r w:rsidR="007026DA">
        <w:t>Generally, u</w:t>
      </w:r>
      <w:r w:rsidR="007679BA">
        <w:t xml:space="preserve">nder the OST and the Liability Convention the launching State is </w:t>
      </w:r>
      <w:r w:rsidR="007026DA">
        <w:t xml:space="preserve">financially </w:t>
      </w:r>
      <w:r w:rsidR="007679BA">
        <w:t xml:space="preserve">responsible for the </w:t>
      </w:r>
      <w:r w:rsidR="00F05C5B">
        <w:t>acts of its authorized non-State (i.e., commercial) satellite operators.</w:t>
      </w:r>
      <w:r w:rsidR="00867E9A">
        <w:t xml:space="preserve"> </w:t>
      </w:r>
      <w:r w:rsidR="00867E9A">
        <w:rPr>
          <w:i/>
        </w:rPr>
        <w:t xml:space="preserve">See also </w:t>
      </w:r>
      <w:r w:rsidR="00867E9A">
        <w:t>NPRM at ¶</w:t>
      </w:r>
      <w:r w:rsidR="00F34AFF">
        <w:t>¶ 76 – 81.</w:t>
      </w:r>
    </w:p>
  </w:footnote>
  <w:footnote w:id="7">
    <w:p w14:paraId="31EF3448" w14:textId="3018B826" w:rsidR="008722D2" w:rsidRDefault="008722D2" w:rsidP="00592B43">
      <w:pPr>
        <w:pStyle w:val="FootnoteText"/>
        <w:ind w:left="0" w:firstLine="0"/>
      </w:pPr>
      <w:r>
        <w:rPr>
          <w:rStyle w:val="FootnoteReference"/>
        </w:rPr>
        <w:footnoteRef/>
      </w:r>
      <w:r>
        <w:t xml:space="preserve"> “Competing in Space”, National Air and Space Intelligence Center (January 16, 2019), available at </w:t>
      </w:r>
      <w:r w:rsidRPr="008722D2">
        <w:t xml:space="preserve"> </w:t>
      </w:r>
      <w:hyperlink r:id="rId2" w:history="1">
        <w:r w:rsidRPr="003509F4">
          <w:rPr>
            <w:rStyle w:val="Hyperlink"/>
          </w:rPr>
          <w:t>https://media.defense.gov/2019/Jan/16/2002080386/-1/-1/1/190115-F-NV711-0002.PDF</w:t>
        </w:r>
      </w:hyperlink>
      <w:r>
        <w:t xml:space="preserve"> (“NASIC Report”).  </w:t>
      </w:r>
    </w:p>
  </w:footnote>
  <w:footnote w:id="8">
    <w:p w14:paraId="6A6E621E" w14:textId="2401A74D" w:rsidR="008722D2" w:rsidRDefault="008722D2">
      <w:pPr>
        <w:pStyle w:val="FootnoteText"/>
      </w:pPr>
      <w:r>
        <w:rPr>
          <w:rStyle w:val="FootnoteReference"/>
        </w:rPr>
        <w:footnoteRef/>
      </w:r>
      <w:r>
        <w:t xml:space="preserve"> NASIC Report at 15.</w:t>
      </w:r>
    </w:p>
  </w:footnote>
  <w:footnote w:id="9">
    <w:p w14:paraId="5F89BAB8" w14:textId="1E1171AB" w:rsidR="00AA35E2" w:rsidRDefault="00AA35E2" w:rsidP="001B7F3B">
      <w:pPr>
        <w:pStyle w:val="FootnoteText"/>
        <w:ind w:left="0" w:firstLine="0"/>
      </w:pPr>
      <w:r>
        <w:rPr>
          <w:rStyle w:val="FootnoteReference"/>
        </w:rPr>
        <w:footnoteRef/>
      </w:r>
      <w:r>
        <w:t xml:space="preserve"> See also </w:t>
      </w:r>
      <w:r w:rsidR="00AB6531">
        <w:t>“Challenges to Security in Space”, U.S. Defense Intelligence Agency (</w:t>
      </w:r>
      <w:proofErr w:type="gramStart"/>
      <w:r w:rsidR="00AB6531">
        <w:t>January,</w:t>
      </w:r>
      <w:proofErr w:type="gramEnd"/>
      <w:r w:rsidR="00AB6531">
        <w:t xml:space="preserve"> 2019). Available at &lt;</w:t>
      </w:r>
      <w:r w:rsidR="007229D8" w:rsidRPr="007229D8">
        <w:t>https://www.dia.mil/Portals/27/Documents/News/Military%20Power%20Publications/Space_Threat_V14_020119_sm.pdf</w:t>
      </w:r>
      <w:r w:rsidR="007229D8">
        <w:t>&gt;</w:t>
      </w:r>
    </w:p>
  </w:footnote>
  <w:footnote w:id="10">
    <w:p w14:paraId="19E1F2B0" w14:textId="2DD1056B" w:rsidR="00D05178" w:rsidRDefault="00D05178" w:rsidP="00E03F8E">
      <w:pPr>
        <w:pStyle w:val="FootnoteText"/>
        <w:ind w:left="0" w:firstLine="0"/>
      </w:pPr>
      <w:r>
        <w:rPr>
          <w:rStyle w:val="FootnoteReference"/>
        </w:rPr>
        <w:footnoteRef/>
      </w:r>
      <w:r>
        <w:t xml:space="preserve"> </w:t>
      </w:r>
      <w:r w:rsidR="0009244A">
        <w:t>Wolf, Jim. “</w:t>
      </w:r>
      <w:r w:rsidR="0009244A" w:rsidRPr="0009244A">
        <w:t>China key suspect in U.S. satellite hacks: commission</w:t>
      </w:r>
      <w:r w:rsidR="0009244A">
        <w:t xml:space="preserve">” </w:t>
      </w:r>
      <w:r w:rsidR="008B6282">
        <w:t>Reuters (2011). Available at &lt;</w:t>
      </w:r>
      <w:r w:rsidR="008B6282" w:rsidRPr="008B6282">
        <w:t xml:space="preserve"> https://www.reuters.com/article/us-china-usa-satellite-idUSTRE79R4O320111028</w:t>
      </w:r>
      <w:r w:rsidR="008B6282">
        <w:t>&gt;</w:t>
      </w:r>
    </w:p>
  </w:footnote>
  <w:footnote w:id="11">
    <w:p w14:paraId="63BA3D50" w14:textId="5BF59327" w:rsidR="00DF6A26" w:rsidRDefault="00DF6A26" w:rsidP="00E03F8E">
      <w:pPr>
        <w:pStyle w:val="FootnoteText"/>
        <w:ind w:left="0" w:firstLine="0"/>
      </w:pPr>
      <w:r>
        <w:rPr>
          <w:rStyle w:val="FootnoteReference"/>
        </w:rPr>
        <w:footnoteRef/>
      </w:r>
      <w:r>
        <w:t xml:space="preserve"> </w:t>
      </w:r>
      <w:r w:rsidR="00F034FC">
        <w:t xml:space="preserve">Flaherty, </w:t>
      </w:r>
      <w:r w:rsidR="005370F8">
        <w:t>M.P, Samenow, J., and Rein, L. “</w:t>
      </w:r>
      <w:r w:rsidR="00EE4C54" w:rsidRPr="00EE4C54">
        <w:t>Chinese hack U.S. weather systems, satellite network</w:t>
      </w:r>
      <w:r w:rsidR="00EE4C54">
        <w:t>”</w:t>
      </w:r>
      <w:r w:rsidR="00FB0BDA">
        <w:t xml:space="preserve"> </w:t>
      </w:r>
      <w:r w:rsidR="00FB0BDA">
        <w:rPr>
          <w:i/>
        </w:rPr>
        <w:t>Washington Post</w:t>
      </w:r>
      <w:r w:rsidR="00FB0BDA">
        <w:t xml:space="preserve"> </w:t>
      </w:r>
      <w:r w:rsidR="00512981">
        <w:t>(November 12, 2014). Available at &lt;</w:t>
      </w:r>
      <w:r w:rsidR="00E03F8E" w:rsidRPr="00E03F8E">
        <w:t>https://www.washingtonpost.com/local/chinese-hack-us-weather-systems-satellite-network/2014/11/12/bef1206a-68e9-11e4-b053-65cea7903f2e_story.html</w:t>
      </w:r>
      <w:r w:rsidR="00E03F8E">
        <w:t>&gt;</w:t>
      </w:r>
    </w:p>
  </w:footnote>
  <w:footnote w:id="12">
    <w:p w14:paraId="2EE18C68" w14:textId="77777777" w:rsidR="00FD5701" w:rsidRPr="00056326" w:rsidRDefault="00FD5701" w:rsidP="00FD5701">
      <w:pPr>
        <w:pStyle w:val="FootnoteText"/>
        <w:ind w:left="0" w:firstLine="0"/>
      </w:pPr>
      <w:r>
        <w:rPr>
          <w:rStyle w:val="FootnoteReference"/>
        </w:rPr>
        <w:footnoteRef/>
      </w:r>
      <w:r>
        <w:t xml:space="preserve"> O’Donnell, L. “RSA Conference 2019: The Sky’s the Limit for Satellite Hacks” </w:t>
      </w:r>
      <w:proofErr w:type="spellStart"/>
      <w:r>
        <w:rPr>
          <w:i/>
        </w:rPr>
        <w:t>Threatpost</w:t>
      </w:r>
      <w:proofErr w:type="spellEnd"/>
      <w:r>
        <w:t xml:space="preserve"> (March 6, 2019). Available at &lt;</w:t>
      </w:r>
      <w:r w:rsidRPr="002D4BA2">
        <w:t>https://threatpost.com/rsa-conference-2019-the-skys-the-limit-for-satellite-hacks/142541/</w:t>
      </w:r>
      <w:r>
        <w:t xml:space="preserve">&gt; </w:t>
      </w:r>
    </w:p>
  </w:footnote>
  <w:footnote w:id="13">
    <w:p w14:paraId="2F981BA7" w14:textId="6EB249E2" w:rsidR="008540EE" w:rsidRPr="000B1B5A" w:rsidRDefault="008540EE" w:rsidP="007A4E82">
      <w:pPr>
        <w:pStyle w:val="FootnoteText"/>
        <w:ind w:left="0" w:firstLine="0"/>
      </w:pPr>
      <w:r>
        <w:rPr>
          <w:rStyle w:val="FootnoteReference"/>
        </w:rPr>
        <w:footnoteRef/>
      </w:r>
      <w:r>
        <w:t xml:space="preserve"> One important Internet standard is the Tra</w:t>
      </w:r>
      <w:r w:rsidR="00554FDE">
        <w:t>nsport Layer Security (TLS) Protocol 1.3 of the Internet Engineering Task Force</w:t>
      </w:r>
      <w:r w:rsidR="0058546F">
        <w:t>, commonly known as RFC</w:t>
      </w:r>
      <w:r w:rsidR="004555D3">
        <w:t xml:space="preserve"> 8446. </w:t>
      </w:r>
      <w:r w:rsidR="00AF7C6C">
        <w:t xml:space="preserve">TLS is </w:t>
      </w:r>
      <w:r w:rsidR="00ED76F7">
        <w:t>a</w:t>
      </w:r>
      <w:r w:rsidR="00AF7C6C">
        <w:t xml:space="preserve"> protocol that uses asymmetric encryption to secure devices </w:t>
      </w:r>
      <w:r w:rsidR="00021AED">
        <w:t xml:space="preserve">through a chain of trust (i.e., ultimately relying on one or more shared root certificate authorities). </w:t>
      </w:r>
      <w:r w:rsidR="000B1B5A">
        <w:t xml:space="preserve">This is appropriate for the Internet of Things, but overly complex for most satellite applications. </w:t>
      </w:r>
      <w:r w:rsidR="00021AED">
        <w:t>Today, t</w:t>
      </w:r>
      <w:r w:rsidR="00AD43F9">
        <w:t xml:space="preserve">ypical satellite encryption products generally </w:t>
      </w:r>
      <w:r w:rsidR="00021AED">
        <w:t xml:space="preserve">implement FIPS-197, the Advanced Encryption Standard, using pre-shared </w:t>
      </w:r>
      <w:r w:rsidR="000B1B5A">
        <w:t>256-bit Cipher K</w:t>
      </w:r>
      <w:r w:rsidR="00021AED">
        <w:t xml:space="preserve">eys (i.e., the satellite owner loads keys into the spacecraft and ground control systems prior to launch). </w:t>
      </w:r>
      <w:r w:rsidR="000B1B5A">
        <w:t xml:space="preserve"> </w:t>
      </w:r>
      <w:r w:rsidR="000B1B5A">
        <w:rPr>
          <w:i/>
        </w:rPr>
        <w:t>See</w:t>
      </w:r>
      <w:r w:rsidR="000B1B5A">
        <w:t xml:space="preserve"> </w:t>
      </w:r>
      <w:r w:rsidR="000B1B5A" w:rsidRPr="000B1B5A">
        <w:t>https://nvlpubs.nist.gov/nistpubs/FIPS/NIST.FIPS.197.pdf</w:t>
      </w:r>
    </w:p>
  </w:footnote>
  <w:footnote w:id="14">
    <w:p w14:paraId="6173C62D" w14:textId="6FDB2A69" w:rsidR="00D5002E" w:rsidRDefault="00D5002E">
      <w:pPr>
        <w:pStyle w:val="FootnoteText"/>
      </w:pPr>
      <w:r>
        <w:rPr>
          <w:rStyle w:val="FootnoteReference"/>
        </w:rPr>
        <w:footnoteRef/>
      </w:r>
      <w:r>
        <w:t xml:space="preserve"> NPRM Appendix A at ¶ 9.</w:t>
      </w:r>
    </w:p>
  </w:footnote>
  <w:footnote w:id="15">
    <w:p w14:paraId="368C1AD3" w14:textId="6108E386" w:rsidR="00011D84" w:rsidRDefault="00011D84" w:rsidP="007503ED">
      <w:pPr>
        <w:pStyle w:val="FootnoteText"/>
        <w:ind w:left="0" w:firstLine="0"/>
      </w:pPr>
      <w:r>
        <w:rPr>
          <w:rStyle w:val="FootnoteReference"/>
        </w:rPr>
        <w:footnoteRef/>
      </w:r>
      <w:r>
        <w:t xml:space="preserve"> GSO satellite operators typically use an earth station to communicate continuously with the satellite’s command receiver, even when not actually sending the satellite commands. This prevents some attempts </w:t>
      </w:r>
      <w:r w:rsidR="00D7748E">
        <w:t xml:space="preserve">to transmit unauthorized commands via RF to the satellite as the command receiver is already locked to the signal from the operator ground station. In the case of NGSO systems it is quite foreseeable that an operator may design the satellites to be </w:t>
      </w:r>
      <w:r w:rsidR="003D4785">
        <w:t>accessed from the ground command/telemetry station(s) periodically, rather than continuously – making it easier for an unauthorized user to transmit to the command receiver of the satellite, provided they can track its orbit and keep the earth station correctly oriented.</w:t>
      </w:r>
    </w:p>
  </w:footnote>
  <w:footnote w:id="16">
    <w:p w14:paraId="2157B725" w14:textId="3006A0FE" w:rsidR="00DE34E0" w:rsidRDefault="00DE34E0" w:rsidP="007A4E82">
      <w:pPr>
        <w:pStyle w:val="FootnoteText"/>
        <w:ind w:left="0" w:firstLine="0"/>
      </w:pPr>
      <w:r>
        <w:rPr>
          <w:rStyle w:val="FootnoteReference"/>
        </w:rPr>
        <w:footnoteRef/>
      </w:r>
      <w:r>
        <w:t xml:space="preserve"> For example, the Commission could specify that the encryption must be reasonably designed to protect the </w:t>
      </w:r>
      <w:r w:rsidR="00AC45F2">
        <w:t>confidentiality, integrity</w:t>
      </w:r>
      <w:r>
        <w:t xml:space="preserve"> and </w:t>
      </w:r>
      <w:r w:rsidR="00AC45F2">
        <w:t>availability</w:t>
      </w:r>
      <w:r>
        <w:t xml:space="preserve"> of </w:t>
      </w:r>
      <w:r w:rsidR="00AC45F2">
        <w:t xml:space="preserve">the </w:t>
      </w:r>
      <w:r>
        <w:t>satellite command</w:t>
      </w:r>
      <w:r w:rsidR="00AC45F2">
        <w:t xml:space="preserve"> </w:t>
      </w:r>
      <w:r>
        <w:t>and telemetry</w:t>
      </w:r>
      <w:r w:rsidR="00AC45F2">
        <w:t xml:space="preserve"> links</w:t>
      </w:r>
      <w:r>
        <w:t>.</w:t>
      </w:r>
      <w:r w:rsidR="00AC45F2">
        <w:t xml:space="preserve"> Typical security objectives include protecting the confidentiality, integrity, and availability of a system or the data it contains.</w:t>
      </w:r>
      <w:r w:rsidR="00100764">
        <w:t xml:space="preserve"> Encryption provides confidentiality, properly designed and implemented </w:t>
      </w:r>
      <w:r w:rsidR="00FD3494">
        <w:t xml:space="preserve">cryptologic approaches can offer integrity, and availability can be engineered using a variety of cryptographic and other techniques (e.g., encoding to </w:t>
      </w:r>
      <w:r w:rsidR="007503ED">
        <w:t>protect against bit errors).</w:t>
      </w:r>
    </w:p>
  </w:footnote>
  <w:footnote w:id="17">
    <w:p w14:paraId="372B74C1" w14:textId="1EC30DE8" w:rsidR="0047129F" w:rsidRDefault="0047129F" w:rsidP="001F61E6">
      <w:pPr>
        <w:pStyle w:val="FootnoteText"/>
        <w:ind w:left="0" w:firstLine="0"/>
      </w:pPr>
      <w:r>
        <w:rPr>
          <w:rStyle w:val="FootnoteReference"/>
        </w:rPr>
        <w:footnoteRef/>
      </w:r>
      <w:r>
        <w:t xml:space="preserve"> </w:t>
      </w:r>
      <w:r w:rsidRPr="0047129F">
        <w:t>Schneier, Bruce. "Cryptography: The importance of not being different." Computer 32.3 (1999): 108-109.</w:t>
      </w:r>
      <w:r>
        <w:t xml:space="preserve"> Available at </w:t>
      </w:r>
      <w:r w:rsidR="001F61E6">
        <w:t>&lt;</w:t>
      </w:r>
      <w:r w:rsidR="001F61E6" w:rsidRPr="001F61E6">
        <w:t>https://www.schneier.com/essays/archives/1999/03/cryptography_the_imp.html</w:t>
      </w:r>
      <w:r w:rsidR="001F61E6">
        <w:t>&gt;</w:t>
      </w:r>
    </w:p>
  </w:footnote>
  <w:footnote w:id="18">
    <w:p w14:paraId="21968AAB" w14:textId="653FEC93" w:rsidR="00DF6B10" w:rsidRDefault="00DF6B10" w:rsidP="007A4E82">
      <w:pPr>
        <w:pStyle w:val="FootnoteText"/>
        <w:ind w:left="0" w:firstLine="0"/>
      </w:pPr>
      <w:r>
        <w:rPr>
          <w:rStyle w:val="FootnoteReference"/>
        </w:rPr>
        <w:footnoteRef/>
      </w:r>
      <w:r>
        <w:t xml:space="preserve"> </w:t>
      </w:r>
      <w:r w:rsidR="000D28C1">
        <w:t>Herzog, Ben and Balmas, Yaniv. “Great Crypto Failures</w:t>
      </w:r>
      <w:r w:rsidR="00A84B5E">
        <w:t>.</w:t>
      </w:r>
      <w:r w:rsidR="000D28C1">
        <w:t>” Weblog (May 23, 2016): p. 5. Available at &lt;</w:t>
      </w:r>
      <w:r w:rsidR="000D28C1" w:rsidRPr="000D28C1">
        <w:t>https://blog.checkpoint.com/wp-content/uploads/2016/10/GreatCryptoFailuresWhitepaper_Draft2.pdf</w:t>
      </w:r>
      <w:r w:rsidR="000D28C1">
        <w:t>&gt;</w:t>
      </w:r>
    </w:p>
  </w:footnote>
  <w:footnote w:id="19">
    <w:p w14:paraId="7AB27541" w14:textId="714E057A" w:rsidR="000E7EBA" w:rsidRPr="00091A1C" w:rsidRDefault="000E7EBA" w:rsidP="00E151EC">
      <w:pPr>
        <w:pStyle w:val="FootnoteText"/>
        <w:ind w:left="0" w:firstLine="0"/>
      </w:pPr>
      <w:r>
        <w:rPr>
          <w:rStyle w:val="FootnoteReference"/>
        </w:rPr>
        <w:footnoteRef/>
      </w:r>
      <w:r>
        <w:t xml:space="preserve"> Not all encryption is s</w:t>
      </w:r>
      <w:r w:rsidR="00091A1C">
        <w:t>trong, and none remains strong forever</w:t>
      </w:r>
      <w:r w:rsidR="00E96314">
        <w:t>; cryptosystems have a lifecycle</w:t>
      </w:r>
      <w:r w:rsidR="00091A1C">
        <w:t xml:space="preserve">. Systems </w:t>
      </w:r>
      <w:r w:rsidR="00DD1211">
        <w:t xml:space="preserve">like the M-94 </w:t>
      </w:r>
      <w:r w:rsidR="00091A1C">
        <w:t xml:space="preserve">used by the U.S. Army </w:t>
      </w:r>
      <w:r w:rsidR="00DD1211">
        <w:t xml:space="preserve">from 1923 </w:t>
      </w:r>
      <w:r w:rsidR="003E4DD9">
        <w:t>–</w:t>
      </w:r>
      <w:r w:rsidR="00DD1211">
        <w:t xml:space="preserve"> 1942</w:t>
      </w:r>
      <w:r w:rsidR="003E4DD9">
        <w:t xml:space="preserve"> (</w:t>
      </w:r>
      <w:r w:rsidR="00E151EC">
        <w:t xml:space="preserve">an implementation of the Jefferson Disk wheel cipher) are prone to rapid “breaks” using modern cryptanalysis techniques and computers. </w:t>
      </w:r>
      <w:r w:rsidR="00E151EC" w:rsidRPr="00E96314">
        <w:rPr>
          <w:i/>
        </w:rPr>
        <w:t>See</w:t>
      </w:r>
      <w:r w:rsidR="00E151EC">
        <w:t xml:space="preserve"> </w:t>
      </w:r>
      <w:r w:rsidR="00E151EC" w:rsidRPr="00E151EC">
        <w:t>https://en.wikipedia.org/wiki/Jefferson_disk</w:t>
      </w:r>
      <w:r w:rsidR="00E151EC">
        <w:t>.</w:t>
      </w:r>
    </w:p>
  </w:footnote>
  <w:footnote w:id="20">
    <w:p w14:paraId="4DF7C890" w14:textId="04DAF532" w:rsidR="00F900D0" w:rsidRDefault="00F900D0" w:rsidP="001F61E6">
      <w:pPr>
        <w:pStyle w:val="FootnoteText"/>
        <w:ind w:left="0" w:firstLine="0"/>
      </w:pPr>
      <w:r>
        <w:rPr>
          <w:rStyle w:val="FootnoteReference"/>
        </w:rPr>
        <w:footnoteRef/>
      </w:r>
      <w:r>
        <w:t xml:space="preserve"> CNSS “</w:t>
      </w:r>
      <w:r w:rsidRPr="00F900D0">
        <w:t>provides a forum for the discussion of policy issues and is responsible for setting national-level cybersecurity policies, directives, instructions, operational procedures, guidance and advisories for U.S. Government (USG) departments and agencies for the security of National Security Systems (NSS) through the CNSS Issuance System. The CNSS is directed to assure the security of NSS against technical exploitation by providing: reliable and continuing assessments of threats and vulnerabilities and implementation of effective countermeasures; a technical base within the USG to achieve this security; and support from the private sector to enhance that technical base assuring that information systems security products are available to secure NSS.</w:t>
      </w:r>
      <w:r w:rsidR="00BF57B7">
        <w:t>”</w:t>
      </w:r>
      <w:r w:rsidR="007229D8">
        <w:t xml:space="preserve"> A</w:t>
      </w:r>
      <w:r w:rsidR="001F61E6">
        <w:t>vailable at</w:t>
      </w:r>
      <w:r w:rsidR="00BF57B7">
        <w:t xml:space="preserve"> </w:t>
      </w:r>
      <w:r w:rsidR="007229D8">
        <w:t>&lt;</w:t>
      </w:r>
      <w:r w:rsidR="007229D8" w:rsidRPr="007229D8">
        <w:t>https://www.cnss.gov/CNSS/about/about.cfm</w:t>
      </w:r>
      <w:r w:rsidR="001F61E6">
        <w:t>&gt;</w:t>
      </w:r>
    </w:p>
  </w:footnote>
  <w:footnote w:id="21">
    <w:p w14:paraId="1DCCB264" w14:textId="4FDB34F5" w:rsidR="00167B61" w:rsidRDefault="00167B61" w:rsidP="007F5E8F">
      <w:pPr>
        <w:pStyle w:val="FootnoteText"/>
        <w:ind w:left="0" w:firstLine="0"/>
      </w:pPr>
      <w:r>
        <w:rPr>
          <w:rStyle w:val="FootnoteReference"/>
        </w:rPr>
        <w:footnoteRef/>
      </w:r>
      <w:r>
        <w:t xml:space="preserve"> Available at </w:t>
      </w:r>
      <w:r w:rsidR="003A0867">
        <w:t>&lt;</w:t>
      </w:r>
      <w:r w:rsidR="003A0867" w:rsidRPr="003A0867">
        <w:t>https://www.cnss.gov/CNSS/issuances/Policies.cfm</w:t>
      </w:r>
      <w:r w:rsidR="003A0867">
        <w:t>&gt;</w:t>
      </w:r>
      <w:r w:rsidR="00FB1147">
        <w:t xml:space="preserve">. CNSSP-12 replaced </w:t>
      </w:r>
      <w:r w:rsidR="00FB1147" w:rsidRPr="00FB1147">
        <w:t>NSTISSP-12</w:t>
      </w:r>
      <w:r w:rsidR="00FB1147">
        <w:t xml:space="preserve"> (2001) which required NSA-approved cryptography for domestic satellite operators to protect the satellite command uplinks, but not the telemetry. </w:t>
      </w:r>
    </w:p>
  </w:footnote>
  <w:footnote w:id="22">
    <w:p w14:paraId="62B1E7C4" w14:textId="13697C34" w:rsidR="00222287" w:rsidRDefault="00222287" w:rsidP="007F793E">
      <w:pPr>
        <w:pStyle w:val="FootnoteText"/>
        <w:ind w:left="0" w:firstLine="0"/>
      </w:pPr>
      <w:r>
        <w:rPr>
          <w:rStyle w:val="FootnoteReference"/>
        </w:rPr>
        <w:footnoteRef/>
      </w:r>
      <w:r>
        <w:t xml:space="preserve"> For example, the NSA previously approved a command security solution called Caribou but </w:t>
      </w:r>
      <w:r w:rsidR="0093602D">
        <w:t>since January 2015</w:t>
      </w:r>
      <w:r>
        <w:t xml:space="preserve"> longer issues new CNSSP-12 approval letters for </w:t>
      </w:r>
      <w:r w:rsidR="0093602D">
        <w:t>new satellites which would use it</w:t>
      </w:r>
      <w:r w:rsidR="005F4342">
        <w:t>, moving instead to implementations using AES-256.</w:t>
      </w:r>
      <w:r w:rsidR="00785527">
        <w:t xml:space="preserve"> </w:t>
      </w:r>
      <w:r w:rsidR="005F4342" w:rsidRPr="005F4342">
        <w:t>Information Assurance Advisory No IAA-007-2012 “(U//FOUO) National Security Agency (NSA) Position on the Use of the Advanced Encryption Standard (AES) for Space Systems”, November 15, 2012</w:t>
      </w:r>
      <w:r w:rsidR="005F4342">
        <w:t>.</w:t>
      </w:r>
    </w:p>
  </w:footnote>
  <w:footnote w:id="23">
    <w:p w14:paraId="64D42DD8" w14:textId="74678A5C" w:rsidR="00C46B49" w:rsidRDefault="00C46B49" w:rsidP="001F09FA">
      <w:pPr>
        <w:pStyle w:val="FootnoteText"/>
        <w:ind w:left="0" w:firstLine="0"/>
      </w:pPr>
      <w:r>
        <w:rPr>
          <w:rStyle w:val="FootnoteReference"/>
        </w:rPr>
        <w:footnoteRef/>
      </w:r>
      <w:r>
        <w:t xml:space="preserve"> </w:t>
      </w:r>
      <w:r w:rsidR="007545B8">
        <w:t xml:space="preserve">Space COMSEC products </w:t>
      </w:r>
      <w:r w:rsidR="001F09FA">
        <w:t xml:space="preserve">including those approved by NSA for commercial/civil use </w:t>
      </w:r>
      <w:r w:rsidR="007545B8">
        <w:t xml:space="preserve">are </w:t>
      </w:r>
      <w:r>
        <w:t xml:space="preserve">available from </w:t>
      </w:r>
      <w:r w:rsidR="007F793E">
        <w:t xml:space="preserve">multiple suppliers including </w:t>
      </w:r>
      <w:r>
        <w:t>L3</w:t>
      </w:r>
      <w:r w:rsidR="000C19C1">
        <w:t xml:space="preserve"> Technologies Inc</w:t>
      </w:r>
      <w:r w:rsidR="007F5E8F">
        <w:t>.</w:t>
      </w:r>
      <w:r w:rsidR="000C19C1">
        <w:t>, (</w:t>
      </w:r>
      <w:r w:rsidR="000C19C1" w:rsidRPr="000C19C1">
        <w:t>https://www2.l3t.com/trf/products/space_mission_assurance.htm</w:t>
      </w:r>
      <w:r w:rsidR="000C19C1">
        <w:t>)</w:t>
      </w:r>
      <w:r w:rsidR="007545B8">
        <w:t xml:space="preserve">, </w:t>
      </w:r>
      <w:proofErr w:type="spellStart"/>
      <w:r w:rsidR="00557257">
        <w:t>Innoflight</w:t>
      </w:r>
      <w:proofErr w:type="spellEnd"/>
      <w:r w:rsidR="00557257">
        <w:t xml:space="preserve"> (</w:t>
      </w:r>
      <w:r w:rsidR="00031352" w:rsidRPr="003A0867">
        <w:t>https://www.innoflight.com/product-overview/modern-space-comsec/</w:t>
      </w:r>
      <w:r w:rsidR="00557257">
        <w:t>)</w:t>
      </w:r>
      <w:r w:rsidR="00031352">
        <w:t>, and Raytheon (</w:t>
      </w:r>
      <w:r w:rsidR="00031352" w:rsidRPr="003A0867">
        <w:t>https://www.raytheon.com/capabilities/products/space_encryption</w:t>
      </w:r>
      <w:r w:rsidR="00031352">
        <w:t xml:space="preserve">). </w:t>
      </w:r>
    </w:p>
  </w:footnote>
  <w:footnote w:id="24">
    <w:p w14:paraId="47BFF545" w14:textId="026C9C67" w:rsidR="001D1BCD" w:rsidRDefault="001D1BCD">
      <w:pPr>
        <w:pStyle w:val="FootnoteText"/>
      </w:pPr>
      <w:r>
        <w:rPr>
          <w:rStyle w:val="FootnoteReference"/>
        </w:rPr>
        <w:footnoteRef/>
      </w:r>
      <w:r>
        <w:t xml:space="preserve"> The NSA routinely provides CNSSP-12 approvals to non-</w:t>
      </w:r>
      <w:r w:rsidR="00885153">
        <w:t>U.S., non-</w:t>
      </w:r>
      <w:r>
        <w:t>FCC license</w:t>
      </w:r>
      <w:r w:rsidR="00885153">
        <w:t>d satellite operators.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03E80"/>
    <w:multiLevelType w:val="hybridMultilevel"/>
    <w:tmpl w:val="1DFCD552"/>
    <w:lvl w:ilvl="0" w:tplc="4992C96E">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AFD"/>
    <w:rsid w:val="00001C9F"/>
    <w:rsid w:val="00011D84"/>
    <w:rsid w:val="0001723A"/>
    <w:rsid w:val="00021AED"/>
    <w:rsid w:val="00023C31"/>
    <w:rsid w:val="00031352"/>
    <w:rsid w:val="00031DB8"/>
    <w:rsid w:val="0003205D"/>
    <w:rsid w:val="00045FE5"/>
    <w:rsid w:val="000550DE"/>
    <w:rsid w:val="00056326"/>
    <w:rsid w:val="000735CD"/>
    <w:rsid w:val="00080622"/>
    <w:rsid w:val="000808D4"/>
    <w:rsid w:val="00091A1C"/>
    <w:rsid w:val="0009244A"/>
    <w:rsid w:val="000A4BBB"/>
    <w:rsid w:val="000A6829"/>
    <w:rsid w:val="000B1B5A"/>
    <w:rsid w:val="000C19C1"/>
    <w:rsid w:val="000C1A91"/>
    <w:rsid w:val="000C229D"/>
    <w:rsid w:val="000C7991"/>
    <w:rsid w:val="000D28C1"/>
    <w:rsid w:val="000E0475"/>
    <w:rsid w:val="000E7EBA"/>
    <w:rsid w:val="00100764"/>
    <w:rsid w:val="00123125"/>
    <w:rsid w:val="001320FF"/>
    <w:rsid w:val="00167B61"/>
    <w:rsid w:val="00171FBF"/>
    <w:rsid w:val="00172E72"/>
    <w:rsid w:val="00194BF1"/>
    <w:rsid w:val="001A5E88"/>
    <w:rsid w:val="001B7F3B"/>
    <w:rsid w:val="001D09F0"/>
    <w:rsid w:val="001D1BCD"/>
    <w:rsid w:val="001F09FA"/>
    <w:rsid w:val="001F0F01"/>
    <w:rsid w:val="001F1869"/>
    <w:rsid w:val="001F61E6"/>
    <w:rsid w:val="00213FF3"/>
    <w:rsid w:val="00214BA1"/>
    <w:rsid w:val="002204DA"/>
    <w:rsid w:val="002208CC"/>
    <w:rsid w:val="00222287"/>
    <w:rsid w:val="00232EF7"/>
    <w:rsid w:val="0024006E"/>
    <w:rsid w:val="00240247"/>
    <w:rsid w:val="00245341"/>
    <w:rsid w:val="00256C2C"/>
    <w:rsid w:val="00270C19"/>
    <w:rsid w:val="00277A8F"/>
    <w:rsid w:val="00294734"/>
    <w:rsid w:val="0029616E"/>
    <w:rsid w:val="002D4BA2"/>
    <w:rsid w:val="00301FAF"/>
    <w:rsid w:val="003224E5"/>
    <w:rsid w:val="00334831"/>
    <w:rsid w:val="00350F7B"/>
    <w:rsid w:val="00360444"/>
    <w:rsid w:val="0036266E"/>
    <w:rsid w:val="00363409"/>
    <w:rsid w:val="00385F31"/>
    <w:rsid w:val="003A0867"/>
    <w:rsid w:val="003A716F"/>
    <w:rsid w:val="003C2250"/>
    <w:rsid w:val="003C629F"/>
    <w:rsid w:val="003D4785"/>
    <w:rsid w:val="003E4DD9"/>
    <w:rsid w:val="003E5581"/>
    <w:rsid w:val="003E7299"/>
    <w:rsid w:val="003F4386"/>
    <w:rsid w:val="00425C52"/>
    <w:rsid w:val="00426563"/>
    <w:rsid w:val="00435D2F"/>
    <w:rsid w:val="004555D3"/>
    <w:rsid w:val="00463DB0"/>
    <w:rsid w:val="0047129F"/>
    <w:rsid w:val="00476FAD"/>
    <w:rsid w:val="004834AF"/>
    <w:rsid w:val="00493687"/>
    <w:rsid w:val="00496AD7"/>
    <w:rsid w:val="004D5825"/>
    <w:rsid w:val="004F021A"/>
    <w:rsid w:val="00510B16"/>
    <w:rsid w:val="00512981"/>
    <w:rsid w:val="005241C7"/>
    <w:rsid w:val="00530A82"/>
    <w:rsid w:val="005370F8"/>
    <w:rsid w:val="00540DF1"/>
    <w:rsid w:val="00554FDE"/>
    <w:rsid w:val="00557257"/>
    <w:rsid w:val="00575A2A"/>
    <w:rsid w:val="0058546F"/>
    <w:rsid w:val="00592B43"/>
    <w:rsid w:val="00595BF0"/>
    <w:rsid w:val="005A20D4"/>
    <w:rsid w:val="005B1AC6"/>
    <w:rsid w:val="005B4489"/>
    <w:rsid w:val="005C22E8"/>
    <w:rsid w:val="005C37D6"/>
    <w:rsid w:val="005D40B9"/>
    <w:rsid w:val="005D734D"/>
    <w:rsid w:val="005D7E28"/>
    <w:rsid w:val="005F4342"/>
    <w:rsid w:val="00603FF1"/>
    <w:rsid w:val="00620D94"/>
    <w:rsid w:val="00630716"/>
    <w:rsid w:val="00640009"/>
    <w:rsid w:val="00661051"/>
    <w:rsid w:val="00667412"/>
    <w:rsid w:val="006802E0"/>
    <w:rsid w:val="00685CC7"/>
    <w:rsid w:val="00695FBD"/>
    <w:rsid w:val="006A04F1"/>
    <w:rsid w:val="006B0B0D"/>
    <w:rsid w:val="006C2C3C"/>
    <w:rsid w:val="006C5E61"/>
    <w:rsid w:val="006F2661"/>
    <w:rsid w:val="007026DA"/>
    <w:rsid w:val="00717026"/>
    <w:rsid w:val="007229D8"/>
    <w:rsid w:val="00725612"/>
    <w:rsid w:val="00731AFD"/>
    <w:rsid w:val="00743246"/>
    <w:rsid w:val="007503ED"/>
    <w:rsid w:val="007545B8"/>
    <w:rsid w:val="00755BA9"/>
    <w:rsid w:val="00764CB6"/>
    <w:rsid w:val="007679BA"/>
    <w:rsid w:val="0078081B"/>
    <w:rsid w:val="00785527"/>
    <w:rsid w:val="007963BF"/>
    <w:rsid w:val="007A4E82"/>
    <w:rsid w:val="007B4829"/>
    <w:rsid w:val="007C5B3D"/>
    <w:rsid w:val="007D06BA"/>
    <w:rsid w:val="007F5E8F"/>
    <w:rsid w:val="007F614A"/>
    <w:rsid w:val="007F793E"/>
    <w:rsid w:val="008057CF"/>
    <w:rsid w:val="008117E5"/>
    <w:rsid w:val="00817EC2"/>
    <w:rsid w:val="00820016"/>
    <w:rsid w:val="0082786B"/>
    <w:rsid w:val="00831434"/>
    <w:rsid w:val="00842469"/>
    <w:rsid w:val="00842DC4"/>
    <w:rsid w:val="008504F4"/>
    <w:rsid w:val="00852373"/>
    <w:rsid w:val="008540EE"/>
    <w:rsid w:val="00867E9A"/>
    <w:rsid w:val="008722D2"/>
    <w:rsid w:val="008834EF"/>
    <w:rsid w:val="00885153"/>
    <w:rsid w:val="00895A95"/>
    <w:rsid w:val="008B3E16"/>
    <w:rsid w:val="008B6282"/>
    <w:rsid w:val="008C026B"/>
    <w:rsid w:val="008C48A1"/>
    <w:rsid w:val="008E1D0F"/>
    <w:rsid w:val="008F699E"/>
    <w:rsid w:val="00912010"/>
    <w:rsid w:val="0093602D"/>
    <w:rsid w:val="00952663"/>
    <w:rsid w:val="00975718"/>
    <w:rsid w:val="0098263A"/>
    <w:rsid w:val="00996872"/>
    <w:rsid w:val="009A0270"/>
    <w:rsid w:val="009C5646"/>
    <w:rsid w:val="009D33A2"/>
    <w:rsid w:val="009E2A5F"/>
    <w:rsid w:val="009E4746"/>
    <w:rsid w:val="009F1D72"/>
    <w:rsid w:val="009F2E10"/>
    <w:rsid w:val="009F6292"/>
    <w:rsid w:val="00A06A8F"/>
    <w:rsid w:val="00A162BE"/>
    <w:rsid w:val="00A27788"/>
    <w:rsid w:val="00A3628E"/>
    <w:rsid w:val="00A3777D"/>
    <w:rsid w:val="00A44851"/>
    <w:rsid w:val="00A5263D"/>
    <w:rsid w:val="00A545D9"/>
    <w:rsid w:val="00A63B2B"/>
    <w:rsid w:val="00A71FD7"/>
    <w:rsid w:val="00A80899"/>
    <w:rsid w:val="00A84B5E"/>
    <w:rsid w:val="00A87E56"/>
    <w:rsid w:val="00AA35E2"/>
    <w:rsid w:val="00AA4AD5"/>
    <w:rsid w:val="00AA751D"/>
    <w:rsid w:val="00AB6531"/>
    <w:rsid w:val="00AC0809"/>
    <w:rsid w:val="00AC45F2"/>
    <w:rsid w:val="00AD43F9"/>
    <w:rsid w:val="00AD5C4E"/>
    <w:rsid w:val="00AE0964"/>
    <w:rsid w:val="00AF639C"/>
    <w:rsid w:val="00AF7C6C"/>
    <w:rsid w:val="00B01576"/>
    <w:rsid w:val="00B052B1"/>
    <w:rsid w:val="00B40EE9"/>
    <w:rsid w:val="00B47FCE"/>
    <w:rsid w:val="00B51EF8"/>
    <w:rsid w:val="00B76E10"/>
    <w:rsid w:val="00B946FD"/>
    <w:rsid w:val="00BA4185"/>
    <w:rsid w:val="00BA4C7F"/>
    <w:rsid w:val="00BA536B"/>
    <w:rsid w:val="00BB188A"/>
    <w:rsid w:val="00BB327E"/>
    <w:rsid w:val="00BB7A9E"/>
    <w:rsid w:val="00BC1D59"/>
    <w:rsid w:val="00BF2D7B"/>
    <w:rsid w:val="00BF3D64"/>
    <w:rsid w:val="00BF57B7"/>
    <w:rsid w:val="00BF5C09"/>
    <w:rsid w:val="00BF7128"/>
    <w:rsid w:val="00C16704"/>
    <w:rsid w:val="00C21A9F"/>
    <w:rsid w:val="00C232DE"/>
    <w:rsid w:val="00C27D3A"/>
    <w:rsid w:val="00C31AF2"/>
    <w:rsid w:val="00C36F91"/>
    <w:rsid w:val="00C40219"/>
    <w:rsid w:val="00C46B49"/>
    <w:rsid w:val="00C52190"/>
    <w:rsid w:val="00C66A87"/>
    <w:rsid w:val="00C70BA9"/>
    <w:rsid w:val="00C8630F"/>
    <w:rsid w:val="00C96687"/>
    <w:rsid w:val="00CA2DCF"/>
    <w:rsid w:val="00CB1433"/>
    <w:rsid w:val="00CC51B0"/>
    <w:rsid w:val="00CD24C4"/>
    <w:rsid w:val="00CE02EB"/>
    <w:rsid w:val="00CE0B39"/>
    <w:rsid w:val="00CE0F8D"/>
    <w:rsid w:val="00CF28CD"/>
    <w:rsid w:val="00D05178"/>
    <w:rsid w:val="00D10774"/>
    <w:rsid w:val="00D24500"/>
    <w:rsid w:val="00D25B78"/>
    <w:rsid w:val="00D5002E"/>
    <w:rsid w:val="00D518FE"/>
    <w:rsid w:val="00D53DCB"/>
    <w:rsid w:val="00D555AD"/>
    <w:rsid w:val="00D646BC"/>
    <w:rsid w:val="00D7748E"/>
    <w:rsid w:val="00D8518A"/>
    <w:rsid w:val="00D8530E"/>
    <w:rsid w:val="00D90D44"/>
    <w:rsid w:val="00DA3171"/>
    <w:rsid w:val="00DA60CE"/>
    <w:rsid w:val="00DC2A2A"/>
    <w:rsid w:val="00DD1211"/>
    <w:rsid w:val="00DD5D9A"/>
    <w:rsid w:val="00DD75DE"/>
    <w:rsid w:val="00DE2A17"/>
    <w:rsid w:val="00DE34E0"/>
    <w:rsid w:val="00DE70F9"/>
    <w:rsid w:val="00DF58FA"/>
    <w:rsid w:val="00DF6A26"/>
    <w:rsid w:val="00DF6B10"/>
    <w:rsid w:val="00E03F8E"/>
    <w:rsid w:val="00E040D3"/>
    <w:rsid w:val="00E151EC"/>
    <w:rsid w:val="00E345A7"/>
    <w:rsid w:val="00E350CA"/>
    <w:rsid w:val="00E37966"/>
    <w:rsid w:val="00E4140F"/>
    <w:rsid w:val="00E66767"/>
    <w:rsid w:val="00E76F87"/>
    <w:rsid w:val="00E84A90"/>
    <w:rsid w:val="00E918B8"/>
    <w:rsid w:val="00E96314"/>
    <w:rsid w:val="00EC140F"/>
    <w:rsid w:val="00EC6EBA"/>
    <w:rsid w:val="00ED76F7"/>
    <w:rsid w:val="00EE4C54"/>
    <w:rsid w:val="00F01B5A"/>
    <w:rsid w:val="00F02D72"/>
    <w:rsid w:val="00F034FC"/>
    <w:rsid w:val="00F05C5B"/>
    <w:rsid w:val="00F15BEF"/>
    <w:rsid w:val="00F34AFF"/>
    <w:rsid w:val="00F60865"/>
    <w:rsid w:val="00F71797"/>
    <w:rsid w:val="00F900D0"/>
    <w:rsid w:val="00F9582D"/>
    <w:rsid w:val="00FA4754"/>
    <w:rsid w:val="00FB0BDA"/>
    <w:rsid w:val="00FB1147"/>
    <w:rsid w:val="00FC1949"/>
    <w:rsid w:val="00FC5265"/>
    <w:rsid w:val="00FD3494"/>
    <w:rsid w:val="00FD5701"/>
    <w:rsid w:val="00FE0CB7"/>
    <w:rsid w:val="00FE0FD3"/>
    <w:rsid w:val="00FF1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8A7F"/>
  <w15:chartTrackingRefBased/>
  <w15:docId w15:val="{B839D09F-43CF-491C-BF5C-4DABC183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AFD"/>
    <w:pPr>
      <w:suppressAutoHyphens/>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1AFD"/>
    <w:rPr>
      <w:color w:val="0563C1" w:themeColor="hyperlink"/>
      <w:u w:val="single"/>
    </w:rPr>
  </w:style>
  <w:style w:type="paragraph" w:customStyle="1" w:styleId="Normal0">
    <w:name w:val="@Normal"/>
    <w:rsid w:val="00731AFD"/>
    <w:pPr>
      <w:suppressAutoHyphens/>
      <w:spacing w:after="0" w:line="240" w:lineRule="auto"/>
    </w:pPr>
    <w:rPr>
      <w:rFonts w:ascii="Times New Roman" w:eastAsia="SimSun" w:hAnsi="Times New Roman" w:cs="Times New Roman"/>
      <w:sz w:val="24"/>
      <w:szCs w:val="20"/>
    </w:rPr>
  </w:style>
  <w:style w:type="character" w:styleId="FootnoteReference">
    <w:name w:val="footnote reference"/>
    <w:aliases w:val="Appel note de bas de p,Footnote Reference/"/>
    <w:basedOn w:val="DefaultParagraphFont"/>
    <w:uiPriority w:val="99"/>
    <w:semiHidden/>
    <w:unhideWhenUsed/>
    <w:rsid w:val="00731AFD"/>
    <w:rPr>
      <w:vertAlign w:val="superscript"/>
    </w:rPr>
  </w:style>
  <w:style w:type="paragraph" w:styleId="FootnoteText">
    <w:name w:val="footnote text"/>
    <w:basedOn w:val="Normal0"/>
    <w:link w:val="FootnoteTextChar"/>
    <w:semiHidden/>
    <w:unhideWhenUsed/>
    <w:rsid w:val="00731AFD"/>
    <w:pPr>
      <w:ind w:left="720" w:hanging="720"/>
    </w:pPr>
    <w:rPr>
      <w:sz w:val="20"/>
    </w:rPr>
  </w:style>
  <w:style w:type="character" w:customStyle="1" w:styleId="FootnoteTextChar">
    <w:name w:val="Footnote Text Char"/>
    <w:basedOn w:val="DefaultParagraphFont"/>
    <w:link w:val="FootnoteText"/>
    <w:semiHidden/>
    <w:rsid w:val="00731AFD"/>
    <w:rPr>
      <w:rFonts w:ascii="Times New Roman" w:eastAsia="SimSun" w:hAnsi="Times New Roman" w:cs="Times New Roman"/>
      <w:sz w:val="20"/>
      <w:szCs w:val="20"/>
    </w:rPr>
  </w:style>
  <w:style w:type="character" w:customStyle="1" w:styleId="Hyperlink1">
    <w:name w:val="Hyperlink1"/>
    <w:basedOn w:val="DefaultParagraphFont"/>
    <w:uiPriority w:val="99"/>
    <w:rsid w:val="00731AFD"/>
    <w:rPr>
      <w:color w:val="0563C1"/>
      <w:u w:val="single"/>
    </w:rPr>
  </w:style>
  <w:style w:type="character" w:styleId="UnresolvedMention">
    <w:name w:val="Unresolved Mention"/>
    <w:basedOn w:val="DefaultParagraphFont"/>
    <w:uiPriority w:val="99"/>
    <w:semiHidden/>
    <w:unhideWhenUsed/>
    <w:rsid w:val="00731AFD"/>
    <w:rPr>
      <w:color w:val="605E5C"/>
      <w:shd w:val="clear" w:color="auto" w:fill="E1DFDD"/>
    </w:rPr>
  </w:style>
  <w:style w:type="paragraph" w:styleId="ListParagraph">
    <w:name w:val="List Paragraph"/>
    <w:basedOn w:val="Normal"/>
    <w:uiPriority w:val="34"/>
    <w:qFormat/>
    <w:rsid w:val="00360444"/>
    <w:pPr>
      <w:ind w:left="720"/>
      <w:contextualSpacing/>
    </w:pPr>
  </w:style>
  <w:style w:type="paragraph" w:styleId="BalloonText">
    <w:name w:val="Balloon Text"/>
    <w:basedOn w:val="Normal"/>
    <w:link w:val="BalloonTextChar"/>
    <w:uiPriority w:val="99"/>
    <w:semiHidden/>
    <w:unhideWhenUsed/>
    <w:rsid w:val="003348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831"/>
    <w:rPr>
      <w:rFonts w:ascii="Segoe UI" w:hAnsi="Segoe UI" w:cs="Segoe UI"/>
      <w:sz w:val="18"/>
      <w:szCs w:val="18"/>
    </w:rPr>
  </w:style>
  <w:style w:type="paragraph" w:customStyle="1" w:styleId="Default">
    <w:name w:val="Default"/>
    <w:rsid w:val="007F614A"/>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5D7E28"/>
    <w:pPr>
      <w:tabs>
        <w:tab w:val="center" w:pos="4680"/>
        <w:tab w:val="right" w:pos="9360"/>
      </w:tabs>
    </w:pPr>
  </w:style>
  <w:style w:type="character" w:customStyle="1" w:styleId="FooterChar">
    <w:name w:val="Footer Char"/>
    <w:basedOn w:val="DefaultParagraphFont"/>
    <w:link w:val="Footer"/>
    <w:uiPriority w:val="99"/>
    <w:rsid w:val="005D7E28"/>
    <w:rPr>
      <w:rFonts w:ascii="Times New Roman" w:hAnsi="Times New Roman" w:cs="Times New Roman"/>
      <w:sz w:val="24"/>
    </w:rPr>
  </w:style>
  <w:style w:type="character" w:styleId="PageNumber">
    <w:name w:val="page number"/>
    <w:basedOn w:val="DefaultParagraphFont"/>
    <w:uiPriority w:val="99"/>
    <w:semiHidden/>
    <w:unhideWhenUsed/>
    <w:rsid w:val="005D7E28"/>
  </w:style>
  <w:style w:type="character" w:styleId="FollowedHyperlink">
    <w:name w:val="FollowedHyperlink"/>
    <w:basedOn w:val="DefaultParagraphFont"/>
    <w:uiPriority w:val="99"/>
    <w:semiHidden/>
    <w:unhideWhenUsed/>
    <w:rsid w:val="00AF63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925574">
      <w:bodyDiv w:val="1"/>
      <w:marLeft w:val="0"/>
      <w:marRight w:val="0"/>
      <w:marTop w:val="0"/>
      <w:marBottom w:val="0"/>
      <w:divBdr>
        <w:top w:val="none" w:sz="0" w:space="0" w:color="auto"/>
        <w:left w:val="none" w:sz="0" w:space="0" w:color="auto"/>
        <w:bottom w:val="none" w:sz="0" w:space="0" w:color="auto"/>
        <w:right w:val="none" w:sz="0" w:space="0" w:color="auto"/>
      </w:divBdr>
    </w:div>
    <w:div w:id="839390234">
      <w:bodyDiv w:val="1"/>
      <w:marLeft w:val="0"/>
      <w:marRight w:val="0"/>
      <w:marTop w:val="0"/>
      <w:marBottom w:val="0"/>
      <w:divBdr>
        <w:top w:val="none" w:sz="0" w:space="0" w:color="auto"/>
        <w:left w:val="none" w:sz="0" w:space="0" w:color="auto"/>
        <w:bottom w:val="none" w:sz="0" w:space="0" w:color="auto"/>
        <w:right w:val="none" w:sz="0" w:space="0" w:color="auto"/>
      </w:divBdr>
    </w:div>
    <w:div w:id="1005859814">
      <w:bodyDiv w:val="1"/>
      <w:marLeft w:val="0"/>
      <w:marRight w:val="0"/>
      <w:marTop w:val="0"/>
      <w:marBottom w:val="0"/>
      <w:divBdr>
        <w:top w:val="none" w:sz="0" w:space="0" w:color="auto"/>
        <w:left w:val="none" w:sz="0" w:space="0" w:color="auto"/>
        <w:bottom w:val="none" w:sz="0" w:space="0" w:color="auto"/>
        <w:right w:val="none" w:sz="0" w:space="0" w:color="auto"/>
      </w:divBdr>
    </w:div>
    <w:div w:id="19930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media.defense.gov/2019/Jan/16/2002080386/-1/-1/1/190115-F-NV711-0002.PDF" TargetMode="External"/><Relationship Id="rId1" Type="http://schemas.openxmlformats.org/officeDocument/2006/relationships/hyperlink" Target="http://www.providence-acc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1D8029F392A34886E799953D2FC818" ma:contentTypeVersion="9" ma:contentTypeDescription="Create a new document." ma:contentTypeScope="" ma:versionID="8e4a1b53d4e33059e5a3b6f7515713a0">
  <xsd:schema xmlns:xsd="http://www.w3.org/2001/XMLSchema" xmlns:xs="http://www.w3.org/2001/XMLSchema" xmlns:p="http://schemas.microsoft.com/office/2006/metadata/properties" xmlns:ns2="6f73ecec-f4f7-4d64-9634-181f69de64a2" xmlns:ns3="610b4dc1-0ff2-4dec-8c1b-1c2e10b32b5e" targetNamespace="http://schemas.microsoft.com/office/2006/metadata/properties" ma:root="true" ma:fieldsID="cb7ce0d9415a6a9e506cc9e5607292c8" ns2:_="" ns3:_="">
    <xsd:import namespace="6f73ecec-f4f7-4d64-9634-181f69de64a2"/>
    <xsd:import namespace="610b4dc1-0ff2-4dec-8c1b-1c2e10b32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EventHashCode" minOccurs="0"/>
                <xsd:element ref="ns3:MediaServiceGenerationTim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3ecec-f4f7-4d64-9634-181f69de64a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0b4dc1-0ff2-4dec-8c1b-1c2e10b32b5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B8E3B-F672-474E-8F7E-BC95E8506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3ecec-f4f7-4d64-9634-181f69de64a2"/>
    <ds:schemaRef ds:uri="610b4dc1-0ff2-4dec-8c1b-1c2e10b32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9EEE37-EBEE-4770-A61B-4256FE447A7A}">
  <ds:schemaRefs>
    <ds:schemaRef ds:uri="http://schemas.microsoft.com/sharepoint/v3/contenttype/forms"/>
  </ds:schemaRefs>
</ds:datastoreItem>
</file>

<file path=customXml/itemProps3.xml><?xml version="1.0" encoding="utf-8"?>
<ds:datastoreItem xmlns:ds="http://schemas.openxmlformats.org/officeDocument/2006/customXml" ds:itemID="{40BB664A-3B0C-4228-89F6-5CABC2CEC213}">
  <ds:schemaRefs>
    <ds:schemaRef ds:uri="http://www.w3.org/XML/1998/namespace"/>
    <ds:schemaRef ds:uri="http://purl.org/dc/terms/"/>
    <ds:schemaRef ds:uri="610b4dc1-0ff2-4dec-8c1b-1c2e10b32b5e"/>
    <ds:schemaRef ds:uri="6f73ecec-f4f7-4d64-9634-181f69de64a2"/>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11B6830-64C4-48D3-8BB9-EEB1C0C1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2027</Words>
  <Characters>11559</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I.	A CONTROLLED ORBITAL ENVIRONMENT IS CRITICAL FOR THE SUCCESS OF THE COMMERCIA</vt:lpstr>
      <vt:lpstr/>
      <vt:lpstr>II.	SATELLITES ARE SUBJECT TO CYBERSECURITY RISKS INCLUDING COMMAND INTRUSION</vt:lpstr>
      <vt:lpstr/>
      <vt:lpstr>Unfortunately, the fact that satellites are located in space does not make them</vt:lpstr>
      <vt:lpstr/>
      <vt:lpstr>/</vt:lpstr>
      <vt:lpstr/>
      <vt:lpstr>The graphic [above] indicates possible cyber threats to each of a space system’s</vt:lpstr>
      <vt:lpstr/>
      <vt:lpstr>As the unclassified NASIC Report shows, U.S. Government experts are concerned a</vt:lpstr>
      <vt:lpstr>Even more than a decade ago there were reports of potential satellite space segm</vt:lpstr>
      <vt:lpstr>Clearly, no defense is impenetrable but making no attempt at defense is uncons</vt:lpstr>
      <vt:lpstr>III.	THE COMMISSION’S PROPOSED RULE FOR ENCRYPTION SHOULD BE CLARIFIED BECAUSE D</vt:lpstr>
      <vt:lpstr/>
      <vt:lpstr>Bruce Schneier, a recognized world-class expert in applied cryptography, has no</vt:lpstr>
      <vt:lpstr/>
      <vt:lpstr>IV.	THE UNITED STATES HAS REQUIRED ALL GOVERNMENT AND COMMERCIAL FOREIGN AND DOM</vt:lpstr>
      <vt:lpstr/>
      <vt:lpstr>VI.	CONCLUSION</vt:lpstr>
      <vt:lpstr/>
      <vt:lpstr>As space becomes more congested, contested, and competitive it is more importan</vt:lpstr>
    </vt:vector>
  </TitlesOfParts>
  <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D'Uva</dc:creator>
  <cp:keywords/>
  <dc:description/>
  <cp:lastModifiedBy>Andrew D'Uva</cp:lastModifiedBy>
  <cp:revision>2</cp:revision>
  <dcterms:created xsi:type="dcterms:W3CDTF">2019-04-05T17:30:00Z</dcterms:created>
  <dcterms:modified xsi:type="dcterms:W3CDTF">2019-04-05T17:30:00Z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0x010100DA1D8029F392A34886E799953D2FC818</vt:lpwstr>
  </property>
</Properties>
</file>