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94A5F"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April 13, 2019</w:t>
      </w:r>
    </w:p>
    <w:p w14:paraId="76B6F577" w14:textId="77777777" w:rsidR="00B92CD6" w:rsidRDefault="00B92CD6" w:rsidP="00B92CD6">
      <w:pPr>
        <w:pStyle w:val="Normal1"/>
        <w:spacing w:line="264" w:lineRule="auto"/>
        <w:jc w:val="both"/>
        <w:rPr>
          <w:rFonts w:ascii="Calibri" w:eastAsia="Calibri" w:hAnsi="Calibri" w:cs="Calibri"/>
          <w:sz w:val="24"/>
          <w:szCs w:val="24"/>
        </w:rPr>
      </w:pPr>
    </w:p>
    <w:p w14:paraId="63F3BB62"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Marlene H. Dortch, </w:t>
      </w:r>
    </w:p>
    <w:p w14:paraId="186880D6"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Secretary </w:t>
      </w:r>
    </w:p>
    <w:p w14:paraId="7C234A3C"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Federal Communications Commission </w:t>
      </w:r>
    </w:p>
    <w:p w14:paraId="70E3DE59"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445 12th Street, S.W. </w:t>
      </w:r>
    </w:p>
    <w:p w14:paraId="70D5F497"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Washington, DC 20554</w:t>
      </w:r>
    </w:p>
    <w:p w14:paraId="5B153339" w14:textId="77777777" w:rsidR="00B92CD6" w:rsidRDefault="00B92CD6" w:rsidP="00B92CD6">
      <w:pPr>
        <w:pStyle w:val="Normal1"/>
        <w:spacing w:line="264" w:lineRule="auto"/>
        <w:jc w:val="both"/>
        <w:rPr>
          <w:rFonts w:ascii="Calibri" w:eastAsia="Calibri" w:hAnsi="Calibri" w:cs="Calibri"/>
          <w:sz w:val="24"/>
          <w:szCs w:val="24"/>
        </w:rPr>
      </w:pPr>
    </w:p>
    <w:p w14:paraId="575B00F9" w14:textId="40068FF4" w:rsidR="00B92CD6" w:rsidRDefault="00B92CD6" w:rsidP="00B92CD6">
      <w:pPr>
        <w:pStyle w:val="Normal1"/>
        <w:spacing w:line="264" w:lineRule="auto"/>
        <w:jc w:val="both"/>
        <w:rPr>
          <w:rFonts w:ascii="Calibri" w:eastAsia="Calibri" w:hAnsi="Calibri" w:cs="Calibri"/>
          <w:b/>
          <w:sz w:val="24"/>
          <w:szCs w:val="24"/>
        </w:rPr>
      </w:pPr>
      <w:r>
        <w:rPr>
          <w:rFonts w:ascii="Calibri" w:eastAsia="Calibri" w:hAnsi="Calibri" w:cs="Calibri"/>
          <w:sz w:val="24"/>
          <w:szCs w:val="24"/>
        </w:rPr>
        <w:t xml:space="preserve">Re: Comments in Support of Massachusetts Institute of Technology Request for Waiver of the UWB Operation Rules described in </w:t>
      </w:r>
      <w:r>
        <w:rPr>
          <w:rFonts w:ascii="Calibri" w:eastAsia="Calibri" w:hAnsi="Calibri" w:cs="Calibri"/>
          <w:b/>
          <w:sz w:val="24"/>
          <w:szCs w:val="24"/>
        </w:rPr>
        <w:t>ET Docket No DA 19-</w:t>
      </w:r>
      <w:r w:rsidR="00931321">
        <w:rPr>
          <w:rFonts w:ascii="Calibri" w:eastAsia="Calibri" w:hAnsi="Calibri" w:cs="Calibri"/>
          <w:b/>
          <w:sz w:val="24"/>
          <w:szCs w:val="24"/>
        </w:rPr>
        <w:t>89</w:t>
      </w:r>
      <w:bookmarkStart w:id="0" w:name="_GoBack"/>
      <w:bookmarkEnd w:id="0"/>
    </w:p>
    <w:p w14:paraId="5941468B" w14:textId="77777777" w:rsidR="00B92CD6" w:rsidRDefault="00B92CD6" w:rsidP="00B92CD6">
      <w:pPr>
        <w:pStyle w:val="Normal1"/>
        <w:spacing w:line="264" w:lineRule="auto"/>
        <w:jc w:val="both"/>
        <w:rPr>
          <w:rFonts w:ascii="Calibri" w:eastAsia="Calibri" w:hAnsi="Calibri" w:cs="Calibri"/>
          <w:b/>
          <w:sz w:val="24"/>
          <w:szCs w:val="24"/>
        </w:rPr>
      </w:pPr>
    </w:p>
    <w:p w14:paraId="383C2687"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Dear Ms. Dortch,</w:t>
      </w:r>
    </w:p>
    <w:p w14:paraId="769ECF53" w14:textId="77777777" w:rsidR="00B92CD6" w:rsidRDefault="00B92CD6" w:rsidP="00B92CD6">
      <w:pPr>
        <w:pStyle w:val="Normal1"/>
        <w:spacing w:line="264" w:lineRule="auto"/>
        <w:jc w:val="both"/>
        <w:rPr>
          <w:rFonts w:ascii="Calibri" w:eastAsia="Calibri" w:hAnsi="Calibri" w:cs="Calibri"/>
          <w:sz w:val="24"/>
          <w:szCs w:val="24"/>
        </w:rPr>
      </w:pPr>
    </w:p>
    <w:p w14:paraId="45848B87" w14:textId="71F8196A" w:rsidR="00B92CD6" w:rsidRDefault="00B92CD6" w:rsidP="00B92CD6">
      <w:pPr>
        <w:pStyle w:val="Normal1"/>
        <w:spacing w:line="264" w:lineRule="auto"/>
        <w:jc w:val="both"/>
        <w:rPr>
          <w:rFonts w:ascii="Calibri" w:eastAsia="Calibri" w:hAnsi="Calibri" w:cs="Calibri"/>
          <w:color w:val="25292C"/>
          <w:sz w:val="24"/>
          <w:szCs w:val="24"/>
        </w:rPr>
      </w:pPr>
      <w:r>
        <w:rPr>
          <w:rFonts w:ascii="Calibri" w:eastAsia="Calibri" w:hAnsi="Calibri" w:cs="Calibri"/>
          <w:color w:val="25292C"/>
          <w:sz w:val="24"/>
          <w:szCs w:val="24"/>
        </w:rPr>
        <w:t xml:space="preserve">Allow me to present my credentials, as it is from this vantage point that I can attest to the benefits of the Witrack device in changing healthcare, especially for the elderly. I am the chief of the Division of Geriatric Psychiatry at McLean Hospital and medical director for Behavioral Health </w:t>
      </w:r>
      <w:r w:rsidR="00EB793C">
        <w:rPr>
          <w:rFonts w:ascii="Calibri" w:eastAsia="Calibri" w:hAnsi="Calibri" w:cs="Calibri"/>
          <w:color w:val="25292C"/>
          <w:sz w:val="24"/>
          <w:szCs w:val="24"/>
        </w:rPr>
        <w:t xml:space="preserve">at </w:t>
      </w:r>
      <w:r>
        <w:rPr>
          <w:rFonts w:ascii="Calibri" w:eastAsia="Calibri" w:hAnsi="Calibri" w:cs="Calibri"/>
          <w:color w:val="25292C"/>
          <w:sz w:val="24"/>
          <w:szCs w:val="24"/>
        </w:rPr>
        <w:t xml:space="preserve">Partners </w:t>
      </w:r>
      <w:r w:rsidR="00EB793C">
        <w:rPr>
          <w:rFonts w:ascii="Calibri" w:eastAsia="Calibri" w:hAnsi="Calibri" w:cs="Calibri"/>
          <w:color w:val="25292C"/>
          <w:sz w:val="24"/>
          <w:szCs w:val="24"/>
        </w:rPr>
        <w:t>Population Health</w:t>
      </w:r>
      <w:r>
        <w:rPr>
          <w:rFonts w:ascii="Calibri" w:eastAsia="Calibri" w:hAnsi="Calibri" w:cs="Calibri"/>
          <w:color w:val="25292C"/>
          <w:sz w:val="24"/>
          <w:szCs w:val="24"/>
        </w:rPr>
        <w:t xml:space="preserve">. I am an expert in geriatric psychiatry, specializing in the treatment of older adults with depression, bipolar disorder, and </w:t>
      </w:r>
      <w:r w:rsidR="00EB793C">
        <w:rPr>
          <w:rFonts w:ascii="Calibri" w:eastAsia="Calibri" w:hAnsi="Calibri" w:cs="Calibri"/>
          <w:color w:val="25292C"/>
          <w:sz w:val="24"/>
          <w:szCs w:val="24"/>
        </w:rPr>
        <w:t xml:space="preserve">the </w:t>
      </w:r>
      <w:r>
        <w:rPr>
          <w:rFonts w:ascii="Calibri" w:eastAsia="Calibri" w:hAnsi="Calibri" w:cs="Calibri"/>
          <w:color w:val="25292C"/>
          <w:sz w:val="24"/>
          <w:szCs w:val="24"/>
        </w:rPr>
        <w:t xml:space="preserve">behavioral complications of Alzheimer’s disease and related dementias. I </w:t>
      </w:r>
      <w:r w:rsidR="004033C7">
        <w:rPr>
          <w:rFonts w:ascii="Calibri" w:eastAsia="Calibri" w:hAnsi="Calibri" w:cs="Calibri"/>
          <w:color w:val="25292C"/>
          <w:sz w:val="24"/>
          <w:szCs w:val="24"/>
        </w:rPr>
        <w:t xml:space="preserve">am currently President-elect of the American Association for Geriatric Psychiatry, </w:t>
      </w:r>
      <w:r>
        <w:rPr>
          <w:rFonts w:ascii="Calibri" w:eastAsia="Calibri" w:hAnsi="Calibri" w:cs="Calibri"/>
          <w:color w:val="25292C"/>
          <w:sz w:val="24"/>
          <w:szCs w:val="24"/>
        </w:rPr>
        <w:t>distinguished fellow of the American Psychiatric Association and have previously served on the board</w:t>
      </w:r>
      <w:r w:rsidR="004033C7">
        <w:rPr>
          <w:rFonts w:ascii="Calibri" w:eastAsia="Calibri" w:hAnsi="Calibri" w:cs="Calibri"/>
          <w:color w:val="25292C"/>
          <w:sz w:val="24"/>
          <w:szCs w:val="24"/>
        </w:rPr>
        <w:t xml:space="preserve"> of director</w:t>
      </w:r>
      <w:r>
        <w:rPr>
          <w:rFonts w:ascii="Calibri" w:eastAsia="Calibri" w:hAnsi="Calibri" w:cs="Calibri"/>
          <w:color w:val="25292C"/>
          <w:sz w:val="24"/>
          <w:szCs w:val="24"/>
        </w:rPr>
        <w:t>s of the American Association for Geriatric Psychiatry and the Alzheimer’s Association of Massachusetts/New Hampshire.</w:t>
      </w:r>
    </w:p>
    <w:p w14:paraId="08E994EF" w14:textId="77777777" w:rsidR="00B92CD6" w:rsidRDefault="00B92CD6" w:rsidP="00B92CD6">
      <w:pPr>
        <w:pStyle w:val="Normal1"/>
        <w:spacing w:line="264" w:lineRule="auto"/>
        <w:jc w:val="both"/>
        <w:rPr>
          <w:rFonts w:ascii="Calibri" w:eastAsia="Calibri" w:hAnsi="Calibri" w:cs="Calibri"/>
          <w:sz w:val="24"/>
          <w:szCs w:val="24"/>
        </w:rPr>
      </w:pPr>
    </w:p>
    <w:p w14:paraId="040354F8" w14:textId="6D540BE2"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Driven by advances in medicine and </w:t>
      </w:r>
      <w:r w:rsidR="0007365B">
        <w:rPr>
          <w:rFonts w:ascii="Calibri" w:eastAsia="Calibri" w:hAnsi="Calibri" w:cs="Calibri"/>
          <w:sz w:val="24"/>
          <w:szCs w:val="24"/>
        </w:rPr>
        <w:t>an increased lifespan</w:t>
      </w:r>
      <w:r>
        <w:rPr>
          <w:rFonts w:ascii="Calibri" w:eastAsia="Calibri" w:hAnsi="Calibri" w:cs="Calibri"/>
          <w:sz w:val="24"/>
          <w:szCs w:val="24"/>
        </w:rPr>
        <w:t xml:space="preserve">, societies are now aging at an alarming rate. This fact presents societies with a host of new challenges - many seniors live alone and are subject to falls, accidental injuries, chronic disease exacerbations, and depression. In the United States, 13 million seniors live alone, vulnerable to all of these complications. Moreover, the aging population is only projected to grow – by 2030, one in every five Americans will be of retirement age. Health challenges associated with aging already place an alarming burden on our health care system and society more generally. </w:t>
      </w:r>
      <w:r>
        <w:rPr>
          <w:rFonts w:ascii="Calibri" w:eastAsia="Calibri" w:hAnsi="Calibri" w:cs="Calibri"/>
          <w:sz w:val="24"/>
          <w:szCs w:val="24"/>
        </w:rPr>
        <w:lastRenderedPageBreak/>
        <w:t>Chronic diseases account for two thirds of the current $3 trillion dollars of annual health care costs in the United States. The overwhelming majority of these costs are incurred by seniors, with over 90% of seniors suffering from one or more chronic diseases.</w:t>
      </w:r>
    </w:p>
    <w:p w14:paraId="4C58D583" w14:textId="77777777" w:rsidR="0007365B" w:rsidRDefault="0007365B" w:rsidP="00B92CD6">
      <w:pPr>
        <w:pStyle w:val="Normal1"/>
        <w:spacing w:line="264" w:lineRule="auto"/>
        <w:jc w:val="both"/>
        <w:rPr>
          <w:rFonts w:ascii="Calibri" w:eastAsia="Calibri" w:hAnsi="Calibri" w:cs="Calibri"/>
          <w:sz w:val="24"/>
          <w:szCs w:val="24"/>
        </w:rPr>
      </w:pPr>
    </w:p>
    <w:p w14:paraId="0703D889" w14:textId="0BDA4E36" w:rsidR="0007365B" w:rsidRDefault="0007365B"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Furthermore, Alzheimer’s disease and related dementias currently affect 5.8 million Americans with prevalence numbers expeted to nearly triple by the year 2050. The behavioral symtpoms of dementia, including agitation, aggression, depression and psychosis, are nearly universal over the course of illness</w:t>
      </w:r>
      <w:r w:rsidR="00EB793C">
        <w:rPr>
          <w:rFonts w:ascii="Calibri" w:eastAsia="Calibri" w:hAnsi="Calibri" w:cs="Calibri"/>
          <w:sz w:val="24"/>
          <w:szCs w:val="24"/>
        </w:rPr>
        <w:t>,</w:t>
      </w:r>
      <w:r>
        <w:rPr>
          <w:rFonts w:ascii="Calibri" w:eastAsia="Calibri" w:hAnsi="Calibri" w:cs="Calibri"/>
          <w:sz w:val="24"/>
          <w:szCs w:val="24"/>
        </w:rPr>
        <w:t xml:space="preserve"> drive morbidity and mortality associated with dementia, increase long term care placement and hospitalizations and contribute greatly to caregiver burden and stress.</w:t>
      </w:r>
    </w:p>
    <w:p w14:paraId="0EDF4DCB" w14:textId="77777777" w:rsidR="00B92CD6" w:rsidRDefault="00B92CD6" w:rsidP="00B92CD6">
      <w:pPr>
        <w:pStyle w:val="Normal1"/>
        <w:spacing w:line="264" w:lineRule="auto"/>
        <w:jc w:val="both"/>
        <w:rPr>
          <w:rFonts w:ascii="Calibri" w:eastAsia="Calibri" w:hAnsi="Calibri" w:cs="Calibri"/>
          <w:sz w:val="24"/>
          <w:szCs w:val="24"/>
        </w:rPr>
      </w:pPr>
    </w:p>
    <w:p w14:paraId="27B811DB"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color w:val="25292C"/>
          <w:sz w:val="24"/>
          <w:szCs w:val="24"/>
        </w:rPr>
        <w:t>In Witrack, MIT has developed a revolutionary technology</w:t>
      </w:r>
      <w:r>
        <w:rPr>
          <w:rFonts w:ascii="Calibri" w:eastAsia="Calibri" w:hAnsi="Calibri" w:cs="Calibri"/>
          <w:sz w:val="24"/>
          <w:szCs w:val="24"/>
        </w:rPr>
        <w:t xml:space="preserve"> for in-home health monitoring, which cuts across science, engineering and medicine. By creating a first–of-its-kind touchless monitoring system, Witrack directly improves patient monitoring, particularly for older patients, since traditional monitoring methods, which often require the patient to regularly charge and wear one or more devices on their body, are ill suited to their needs. </w:t>
      </w:r>
    </w:p>
    <w:p w14:paraId="5B91BF5F" w14:textId="77777777" w:rsidR="00B92CD6" w:rsidRDefault="00B92CD6" w:rsidP="00B92CD6">
      <w:pPr>
        <w:pStyle w:val="Normal1"/>
        <w:spacing w:line="264" w:lineRule="auto"/>
        <w:jc w:val="both"/>
        <w:rPr>
          <w:rFonts w:ascii="Calibri" w:eastAsia="Calibri" w:hAnsi="Calibri" w:cs="Calibri"/>
          <w:sz w:val="24"/>
          <w:szCs w:val="24"/>
        </w:rPr>
      </w:pPr>
    </w:p>
    <w:p w14:paraId="01677DED" w14:textId="53EC78D0"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With my colleagues at Harvard Medical School, and in collaboration with the Witrack team, we have explored the use of the Witrack device in monitoring patients with advanced dementia. In our studies, we were able to use Witrack’s passive measurement to detect and quantify repetitive pacing which is associated with anxiety and agitation, commonly exhibited </w:t>
      </w:r>
      <w:r w:rsidR="0007365B">
        <w:rPr>
          <w:rFonts w:ascii="Calibri" w:eastAsia="Calibri" w:hAnsi="Calibri" w:cs="Calibri"/>
          <w:sz w:val="24"/>
          <w:szCs w:val="24"/>
        </w:rPr>
        <w:t xml:space="preserve">in </w:t>
      </w:r>
      <w:r>
        <w:rPr>
          <w:rFonts w:ascii="Calibri" w:eastAsia="Calibri" w:hAnsi="Calibri" w:cs="Calibri"/>
          <w:sz w:val="24"/>
          <w:szCs w:val="24"/>
        </w:rPr>
        <w:t>patients with dementia and Alzheimer’s. We are looking further into the potential use of this device in improving care for such patients.</w:t>
      </w:r>
    </w:p>
    <w:p w14:paraId="7A569B7A" w14:textId="77777777" w:rsidR="00B92CD6" w:rsidRDefault="00B92CD6" w:rsidP="00B92CD6">
      <w:pPr>
        <w:pStyle w:val="Normal1"/>
        <w:spacing w:line="264" w:lineRule="auto"/>
        <w:jc w:val="both"/>
        <w:rPr>
          <w:rFonts w:ascii="Calibri" w:eastAsia="Calibri" w:hAnsi="Calibri" w:cs="Calibri"/>
          <w:sz w:val="24"/>
          <w:szCs w:val="24"/>
        </w:rPr>
      </w:pPr>
    </w:p>
    <w:p w14:paraId="679781DE" w14:textId="2660B1B5"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 xml:space="preserve">Witrack fills a crucial gap in treatment and care for </w:t>
      </w:r>
      <w:r w:rsidR="0007365B">
        <w:rPr>
          <w:rFonts w:ascii="Calibri" w:eastAsia="Calibri" w:hAnsi="Calibri" w:cs="Calibri"/>
          <w:sz w:val="24"/>
          <w:szCs w:val="24"/>
        </w:rPr>
        <w:t>older adults with</w:t>
      </w:r>
      <w:r>
        <w:rPr>
          <w:rFonts w:ascii="Calibri" w:eastAsia="Calibri" w:hAnsi="Calibri" w:cs="Calibri"/>
          <w:sz w:val="24"/>
          <w:szCs w:val="24"/>
        </w:rPr>
        <w:t xml:space="preserve"> psychiatric </w:t>
      </w:r>
      <w:r w:rsidR="0007365B">
        <w:rPr>
          <w:rFonts w:ascii="Calibri" w:eastAsia="Calibri" w:hAnsi="Calibri" w:cs="Calibri"/>
          <w:sz w:val="24"/>
          <w:szCs w:val="24"/>
        </w:rPr>
        <w:t>illness and neurodegnerative diseases</w:t>
      </w:r>
      <w:r>
        <w:rPr>
          <w:rFonts w:ascii="Calibri" w:eastAsia="Calibri" w:hAnsi="Calibri" w:cs="Calibri"/>
          <w:sz w:val="24"/>
          <w:szCs w:val="24"/>
        </w:rPr>
        <w:t>. A key difficulty in providing care for such patients is getting reliable information about their health status and activities to understand their condition and progress. Today, doctors have to rely on incomplete, and often inaccurate, information from patients and caregivers. Witrack’s ability to provide accurate and objective measurements without encumbering patients in any way will allow doctors to make more informed decisions, and ultimately improve healthcare outcomes for the U.S’s aging population.</w:t>
      </w:r>
    </w:p>
    <w:p w14:paraId="3A5E1244" w14:textId="77777777" w:rsidR="00B92CD6" w:rsidRDefault="00B92CD6" w:rsidP="00B92CD6">
      <w:pPr>
        <w:pStyle w:val="Normal1"/>
        <w:spacing w:line="264" w:lineRule="auto"/>
        <w:jc w:val="both"/>
        <w:rPr>
          <w:rFonts w:ascii="Calibri" w:eastAsia="Calibri" w:hAnsi="Calibri" w:cs="Calibri"/>
          <w:sz w:val="24"/>
          <w:szCs w:val="24"/>
        </w:rPr>
      </w:pPr>
    </w:p>
    <w:p w14:paraId="45EF94C4"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lastRenderedPageBreak/>
        <w:t>It is for these reasons that I strongly support MIT’s petition regarding the Witrack device.</w:t>
      </w:r>
    </w:p>
    <w:p w14:paraId="132B09C8" w14:textId="77777777" w:rsidR="00B92CD6" w:rsidRDefault="00B92CD6" w:rsidP="00B92CD6">
      <w:pPr>
        <w:pStyle w:val="Normal1"/>
        <w:spacing w:line="264" w:lineRule="auto"/>
        <w:jc w:val="both"/>
        <w:rPr>
          <w:rFonts w:ascii="Calibri" w:eastAsia="Calibri" w:hAnsi="Calibri" w:cs="Calibri"/>
          <w:sz w:val="24"/>
          <w:szCs w:val="24"/>
        </w:rPr>
      </w:pPr>
    </w:p>
    <w:p w14:paraId="75230AAE"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Sincerely,</w:t>
      </w:r>
    </w:p>
    <w:p w14:paraId="5C5DAAEC" w14:textId="77777777" w:rsidR="00B92CD6" w:rsidRDefault="00B92CD6" w:rsidP="00B92CD6">
      <w:pPr>
        <w:pStyle w:val="Normal1"/>
        <w:spacing w:line="264" w:lineRule="auto"/>
        <w:jc w:val="both"/>
        <w:rPr>
          <w:rFonts w:ascii="Calibri" w:eastAsia="Calibri" w:hAnsi="Calibri" w:cs="Calibri"/>
          <w:sz w:val="24"/>
          <w:szCs w:val="24"/>
        </w:rPr>
      </w:pPr>
    </w:p>
    <w:p w14:paraId="1073075D" w14:textId="77777777" w:rsidR="00B92CD6" w:rsidRDefault="00B92CD6" w:rsidP="00B92CD6">
      <w:pPr>
        <w:pStyle w:val="Normal1"/>
        <w:spacing w:line="264" w:lineRule="auto"/>
        <w:jc w:val="both"/>
        <w:rPr>
          <w:rFonts w:ascii="Calibri" w:eastAsia="Calibri" w:hAnsi="Calibri" w:cs="Calibri"/>
          <w:sz w:val="24"/>
          <w:szCs w:val="24"/>
        </w:rPr>
      </w:pPr>
    </w:p>
    <w:p w14:paraId="27EE3648" w14:textId="77777777" w:rsidR="00B92CD6" w:rsidRDefault="00B92CD6" w:rsidP="00B92CD6">
      <w:pPr>
        <w:pStyle w:val="Normal1"/>
        <w:spacing w:line="264" w:lineRule="auto"/>
        <w:jc w:val="both"/>
        <w:rPr>
          <w:rFonts w:ascii="Calibri" w:eastAsia="Calibri" w:hAnsi="Calibri" w:cs="Calibri"/>
          <w:sz w:val="24"/>
          <w:szCs w:val="24"/>
        </w:rPr>
      </w:pPr>
    </w:p>
    <w:p w14:paraId="78A5242C" w14:textId="1FBB8926" w:rsidR="00B92CD6" w:rsidRDefault="0007365B" w:rsidP="00B92CD6">
      <w:pPr>
        <w:pStyle w:val="Normal1"/>
        <w:spacing w:line="264" w:lineRule="auto"/>
        <w:jc w:val="both"/>
        <w:rPr>
          <w:rFonts w:ascii="Calibri" w:eastAsia="Calibri" w:hAnsi="Calibri" w:cs="Calibri"/>
          <w:sz w:val="24"/>
          <w:szCs w:val="24"/>
        </w:rPr>
      </w:pPr>
      <w:r w:rsidRPr="00394E54">
        <w:rPr>
          <w:noProof/>
        </w:rPr>
        <w:drawing>
          <wp:inline distT="0" distB="0" distL="0" distR="0" wp14:anchorId="7889319F" wp14:editId="42419128">
            <wp:extent cx="238950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9505" cy="865505"/>
                    </a:xfrm>
                    <a:prstGeom prst="rect">
                      <a:avLst/>
                    </a:prstGeom>
                    <a:noFill/>
                    <a:ln>
                      <a:noFill/>
                    </a:ln>
                  </pic:spPr>
                </pic:pic>
              </a:graphicData>
            </a:graphic>
          </wp:inline>
        </w:drawing>
      </w:r>
    </w:p>
    <w:p w14:paraId="726998C7" w14:textId="77777777" w:rsidR="00B92CD6" w:rsidRDefault="00B92CD6" w:rsidP="00B92CD6">
      <w:pPr>
        <w:pStyle w:val="Normal1"/>
        <w:spacing w:line="264" w:lineRule="auto"/>
        <w:jc w:val="both"/>
        <w:rPr>
          <w:rFonts w:ascii="Calibri" w:eastAsia="Calibri" w:hAnsi="Calibri" w:cs="Calibri"/>
          <w:sz w:val="24"/>
          <w:szCs w:val="24"/>
        </w:rPr>
      </w:pPr>
    </w:p>
    <w:p w14:paraId="5817009B"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Brent P. Forester, MD, MSc.</w:t>
      </w:r>
    </w:p>
    <w:p w14:paraId="057F0CF5" w14:textId="77777777" w:rsidR="00B92CD6" w:rsidRDefault="00B92CD6" w:rsidP="00B92CD6">
      <w:pPr>
        <w:pStyle w:val="Normal1"/>
        <w:spacing w:line="264" w:lineRule="auto"/>
        <w:jc w:val="both"/>
        <w:rPr>
          <w:rFonts w:ascii="Calibri" w:eastAsia="Calibri" w:hAnsi="Calibri" w:cs="Calibri"/>
          <w:color w:val="25292C"/>
          <w:sz w:val="24"/>
          <w:szCs w:val="24"/>
        </w:rPr>
      </w:pPr>
      <w:r>
        <w:rPr>
          <w:rFonts w:ascii="Calibri" w:eastAsia="Calibri" w:hAnsi="Calibri" w:cs="Calibri"/>
          <w:color w:val="25292C"/>
          <w:sz w:val="24"/>
          <w:szCs w:val="24"/>
        </w:rPr>
        <w:t>Associate Professor of Psychiatry, Harvard Medical School</w:t>
      </w:r>
    </w:p>
    <w:p w14:paraId="7620D3E4"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color w:val="25292C"/>
          <w:sz w:val="24"/>
          <w:szCs w:val="24"/>
        </w:rPr>
        <w:t xml:space="preserve">Chief, </w:t>
      </w:r>
      <w:hyperlink r:id="rId8">
        <w:r>
          <w:rPr>
            <w:rFonts w:ascii="Calibri" w:eastAsia="Calibri" w:hAnsi="Calibri" w:cs="Calibri"/>
            <w:sz w:val="24"/>
            <w:szCs w:val="24"/>
          </w:rPr>
          <w:t>Division of Geriatric Psychiatry, McLean Hospital</w:t>
        </w:r>
      </w:hyperlink>
    </w:p>
    <w:p w14:paraId="646DB734"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115 Mill Street</w:t>
      </w:r>
    </w:p>
    <w:p w14:paraId="601A3CF3" w14:textId="77777777" w:rsidR="00B92CD6" w:rsidRDefault="00B92CD6" w:rsidP="00B92CD6">
      <w:pPr>
        <w:pStyle w:val="Normal1"/>
        <w:spacing w:line="264" w:lineRule="auto"/>
        <w:jc w:val="both"/>
        <w:rPr>
          <w:rFonts w:ascii="Calibri" w:eastAsia="Calibri" w:hAnsi="Calibri" w:cs="Calibri"/>
          <w:sz w:val="24"/>
          <w:szCs w:val="24"/>
        </w:rPr>
      </w:pPr>
      <w:r>
        <w:rPr>
          <w:rFonts w:ascii="Calibri" w:eastAsia="Calibri" w:hAnsi="Calibri" w:cs="Calibri"/>
          <w:sz w:val="24"/>
          <w:szCs w:val="24"/>
        </w:rPr>
        <w:t>Belmont, MA 02478</w:t>
      </w:r>
    </w:p>
    <w:p w14:paraId="69A1282B" w14:textId="77777777" w:rsidR="00B92CD6" w:rsidRDefault="00B92CD6" w:rsidP="00B92CD6">
      <w:pPr>
        <w:pStyle w:val="Normal1"/>
        <w:spacing w:before="240" w:after="240" w:line="378" w:lineRule="auto"/>
        <w:jc w:val="both"/>
        <w:rPr>
          <w:rFonts w:ascii="Calibri" w:eastAsia="Calibri" w:hAnsi="Calibri" w:cs="Calibri"/>
          <w:sz w:val="24"/>
          <w:szCs w:val="24"/>
        </w:rPr>
      </w:pPr>
      <w:r>
        <w:fldChar w:fldCharType="begin"/>
      </w:r>
      <w:r>
        <w:instrText xml:space="preserve"> HYPERLINK "https://www.mcleanhospital.org/older-adult-mental-health" </w:instrText>
      </w:r>
      <w:r>
        <w:fldChar w:fldCharType="separate"/>
      </w:r>
    </w:p>
    <w:p w14:paraId="2C07F090" w14:textId="763DA02E" w:rsidR="00813486" w:rsidRPr="00394E54" w:rsidRDefault="00B92CD6" w:rsidP="0007365B">
      <w:pPr>
        <w:pStyle w:val="Normal1"/>
        <w:spacing w:before="240" w:after="240" w:line="378" w:lineRule="auto"/>
        <w:jc w:val="both"/>
      </w:pPr>
      <w:r>
        <w:fldChar w:fldCharType="end"/>
      </w:r>
      <w:r w:rsidR="0007365B">
        <w:rPr>
          <w:color w:val="25292C"/>
          <w:sz w:val="26"/>
          <w:szCs w:val="26"/>
        </w:rPr>
        <w:t xml:space="preserve"> </w:t>
      </w:r>
    </w:p>
    <w:p w14:paraId="3E738AEC" w14:textId="567202E0" w:rsidR="009304FB" w:rsidRPr="00394E54" w:rsidRDefault="0007365B" w:rsidP="00453B77">
      <w:pPr>
        <w:tabs>
          <w:tab w:val="num" w:pos="1080"/>
        </w:tabs>
        <w:autoSpaceDE w:val="0"/>
        <w:autoSpaceDN w:val="0"/>
        <w:adjustRightInd w:val="0"/>
        <w:jc w:val="both"/>
        <w:rPr>
          <w:rFonts w:ascii="Arial" w:hAnsi="Arial" w:cs="Arial"/>
          <w:sz w:val="22"/>
          <w:szCs w:val="22"/>
        </w:rPr>
      </w:pPr>
      <w:r>
        <w:rPr>
          <w:rFonts w:ascii="Arial" w:hAnsi="Arial" w:cs="Arial"/>
          <w:sz w:val="22"/>
          <w:szCs w:val="22"/>
        </w:rPr>
        <w:t xml:space="preserve"> </w:t>
      </w:r>
    </w:p>
    <w:sectPr w:rsidR="009304FB" w:rsidRPr="00394E54" w:rsidSect="009304FB">
      <w:headerReference w:type="first" r:id="rId9"/>
      <w:footerReference w:type="first" r:id="rId10"/>
      <w:pgSz w:w="12240" w:h="15840"/>
      <w:pgMar w:top="3787" w:right="1627" w:bottom="1440" w:left="1714" w:header="0" w:footer="60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239E6" w14:textId="77777777" w:rsidR="00353E74" w:rsidRDefault="00353E74" w:rsidP="00C26927">
      <w:pPr>
        <w:spacing w:after="0"/>
      </w:pPr>
      <w:r>
        <w:separator/>
      </w:r>
    </w:p>
  </w:endnote>
  <w:endnote w:type="continuationSeparator" w:id="0">
    <w:p w14:paraId="15F96FF7" w14:textId="77777777" w:rsidR="00353E74" w:rsidRDefault="00353E74" w:rsidP="00C269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3C690" w14:textId="77777777" w:rsidR="00353E74" w:rsidRPr="004A77AB" w:rsidRDefault="00353E74" w:rsidP="004A77AB">
    <w:pPr>
      <w:pStyle w:val="Footer"/>
      <w:rPr>
        <w:rFonts w:ascii="Times New Roman" w:hAnsi="Times New Roman" w:cs="TimesNewRomanPSMT"/>
        <w:noProof/>
        <w:color w:val="000000"/>
        <w:sz w:val="20"/>
        <w:szCs w:val="20"/>
      </w:rPr>
    </w:pPr>
    <w:r>
      <w:rPr>
        <w:rFonts w:ascii="Times New Roman" w:hAnsi="Times New Roman" w:cs="TimesNewRomanPSMT"/>
        <w:noProof/>
        <w:color w:val="000000"/>
        <w:sz w:val="20"/>
        <w:szCs w:val="20"/>
      </w:rPr>
      <w:drawing>
        <wp:anchor distT="0" distB="0" distL="114300" distR="114300" simplePos="0" relativeHeight="251660288" behindDoc="1" locked="0" layoutInCell="1" allowOverlap="1" wp14:anchorId="0B464668" wp14:editId="2207BB88">
          <wp:simplePos x="0" y="0"/>
          <wp:positionH relativeFrom="column">
            <wp:align>center</wp:align>
          </wp:positionH>
          <wp:positionV relativeFrom="paragraph">
            <wp:posOffset>73660</wp:posOffset>
          </wp:positionV>
          <wp:extent cx="7772400" cy="736600"/>
          <wp:effectExtent l="19050" t="0" r="0" b="0"/>
          <wp:wrapNone/>
          <wp:docPr id="5" name="Picture 1" descr="McLean_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Lean_Footer.png"/>
                  <pic:cNvPicPr>
                    <a:picLocks noChangeAspect="1" noChangeArrowheads="1"/>
                  </pic:cNvPicPr>
                </pic:nvPicPr>
                <pic:blipFill>
                  <a:blip r:embed="rId1"/>
                  <a:srcRect/>
                  <a:stretch>
                    <a:fillRect/>
                  </a:stretch>
                </pic:blipFill>
                <pic:spPr bwMode="auto">
                  <a:xfrm>
                    <a:off x="0" y="0"/>
                    <a:ext cx="7772400" cy="736600"/>
                  </a:xfrm>
                  <a:prstGeom prst="rect">
                    <a:avLst/>
                  </a:prstGeom>
                  <a:noFill/>
                  <a:ln w="9525">
                    <a:noFill/>
                    <a:miter lim="800000"/>
                    <a:headEnd/>
                    <a:tailEnd/>
                  </a:ln>
                </pic:spPr>
              </pic:pic>
            </a:graphicData>
          </a:graphic>
        </wp:anchor>
      </w:drawing>
    </w:r>
    <w:r w:rsidRPr="004A77AB">
      <w:rPr>
        <w:rFonts w:ascii="Times New Roman" w:hAnsi="Times New Roman" w:cs="TimesNewRomanPSMT"/>
        <w:noProof/>
        <w:color w:val="000000"/>
        <w:sz w:val="20"/>
        <w:szCs w:val="20"/>
      </w:rPr>
      <w:t xml:space="preserve">115 Mill Street, Belmont, MA 02478-1064  </w:t>
    </w:r>
    <w:r w:rsidRPr="004A77AB">
      <w:rPr>
        <w:rFonts w:ascii="Times New Roman" w:hAnsi="Times New Roman" w:cs="TimesNewRomanPSMT"/>
        <w:noProof/>
        <w:color w:val="000000"/>
        <w:sz w:val="20"/>
        <w:szCs w:val="20"/>
      </w:rPr>
      <w:br/>
      <w:t xml:space="preserve">T: </w:t>
    </w:r>
    <w:r>
      <w:rPr>
        <w:rFonts w:ascii="Times New Roman" w:hAnsi="Times New Roman" w:cs="TimesNewRomanPSMT"/>
        <w:noProof/>
        <w:color w:val="000000"/>
        <w:sz w:val="20"/>
        <w:szCs w:val="20"/>
      </w:rPr>
      <w:t>617</w:t>
    </w:r>
    <w:r w:rsidRPr="004A77AB">
      <w:rPr>
        <w:rFonts w:ascii="Times New Roman" w:hAnsi="Times New Roman" w:cs="TimesNewRomanPSMT"/>
        <w:noProof/>
        <w:color w:val="000000"/>
        <w:sz w:val="20"/>
        <w:szCs w:val="20"/>
      </w:rPr>
      <w:t>.</w:t>
    </w:r>
    <w:r>
      <w:rPr>
        <w:rFonts w:ascii="Times New Roman" w:hAnsi="Times New Roman" w:cs="TimesNewRomanPSMT"/>
        <w:noProof/>
        <w:color w:val="000000"/>
        <w:sz w:val="20"/>
        <w:szCs w:val="20"/>
      </w:rPr>
      <w:t>855</w:t>
    </w:r>
    <w:r w:rsidRPr="004A77AB">
      <w:rPr>
        <w:rFonts w:ascii="Times New Roman" w:hAnsi="Times New Roman" w:cs="TimesNewRomanPSMT"/>
        <w:noProof/>
        <w:color w:val="000000"/>
        <w:sz w:val="20"/>
        <w:szCs w:val="20"/>
      </w:rPr>
      <w:t>.</w:t>
    </w:r>
    <w:r>
      <w:rPr>
        <w:rFonts w:ascii="Times New Roman" w:hAnsi="Times New Roman" w:cs="TimesNewRomanPSMT"/>
        <w:noProof/>
        <w:color w:val="000000"/>
        <w:sz w:val="20"/>
        <w:szCs w:val="20"/>
      </w:rPr>
      <w:t>3622</w:t>
    </w:r>
    <w:r w:rsidRPr="004A77AB">
      <w:rPr>
        <w:rFonts w:ascii="Times New Roman" w:hAnsi="Times New Roman" w:cs="TimesNewRomanPSMT"/>
        <w:noProof/>
        <w:color w:val="000000"/>
        <w:sz w:val="20"/>
        <w:szCs w:val="20"/>
      </w:rPr>
      <w:t xml:space="preserve"> F: </w:t>
    </w:r>
    <w:r>
      <w:rPr>
        <w:rFonts w:ascii="Times New Roman" w:hAnsi="Times New Roman" w:cs="TimesNewRomanPSMT"/>
        <w:noProof/>
        <w:color w:val="000000"/>
        <w:sz w:val="20"/>
        <w:szCs w:val="20"/>
      </w:rPr>
      <w:t>617</w:t>
    </w:r>
    <w:r w:rsidRPr="004A77AB">
      <w:rPr>
        <w:rFonts w:ascii="Times New Roman" w:hAnsi="Times New Roman" w:cs="TimesNewRomanPSMT"/>
        <w:noProof/>
        <w:color w:val="000000"/>
        <w:sz w:val="20"/>
        <w:szCs w:val="20"/>
      </w:rPr>
      <w:t>.</w:t>
    </w:r>
    <w:r>
      <w:rPr>
        <w:rFonts w:ascii="Times New Roman" w:hAnsi="Times New Roman" w:cs="TimesNewRomanPSMT"/>
        <w:noProof/>
        <w:color w:val="000000"/>
        <w:sz w:val="20"/>
        <w:szCs w:val="20"/>
      </w:rPr>
      <w:t>855</w:t>
    </w:r>
    <w:r w:rsidRPr="004A77AB">
      <w:rPr>
        <w:rFonts w:ascii="Times New Roman" w:hAnsi="Times New Roman" w:cs="TimesNewRomanPSMT"/>
        <w:noProof/>
        <w:color w:val="000000"/>
        <w:sz w:val="20"/>
        <w:szCs w:val="20"/>
      </w:rPr>
      <w:t>.</w:t>
    </w:r>
    <w:r>
      <w:rPr>
        <w:rFonts w:ascii="Times New Roman" w:hAnsi="Times New Roman" w:cs="TimesNewRomanPSMT"/>
        <w:noProof/>
        <w:color w:val="000000"/>
        <w:sz w:val="20"/>
        <w:szCs w:val="20"/>
      </w:rPr>
      <w:t>3246</w:t>
    </w:r>
    <w:r w:rsidRPr="004A77AB">
      <w:rPr>
        <w:rFonts w:ascii="Times New Roman" w:hAnsi="Times New Roman" w:cs="TimesNewRomanPSMT"/>
        <w:noProof/>
        <w:color w:val="000000"/>
        <w:sz w:val="20"/>
        <w:szCs w:val="20"/>
      </w:rPr>
      <w:t xml:space="preserve"> E: </w:t>
    </w:r>
    <w:r>
      <w:rPr>
        <w:rFonts w:ascii="Times New Roman" w:hAnsi="Times New Roman" w:cs="TimesNewRomanPSMT"/>
        <w:noProof/>
        <w:color w:val="000000"/>
        <w:sz w:val="20"/>
        <w:szCs w:val="20"/>
      </w:rPr>
      <w:t>bforester</w:t>
    </w:r>
    <w:r w:rsidRPr="004A77AB">
      <w:rPr>
        <w:rFonts w:ascii="Times New Roman" w:hAnsi="Times New Roman" w:cs="TimesNewRomanPSMT"/>
        <w:noProof/>
        <w:color w:val="000000"/>
        <w:sz w:val="20"/>
        <w:szCs w:val="20"/>
      </w:rPr>
      <w:t>@partners.org</w:t>
    </w:r>
  </w:p>
  <w:p w14:paraId="31852216" w14:textId="77777777" w:rsidR="00353E74" w:rsidRPr="004A77AB" w:rsidRDefault="00353E74" w:rsidP="004A77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BF773" w14:textId="77777777" w:rsidR="00353E74" w:rsidRDefault="00353E74" w:rsidP="00C26927">
      <w:pPr>
        <w:spacing w:after="0"/>
      </w:pPr>
      <w:r>
        <w:separator/>
      </w:r>
    </w:p>
  </w:footnote>
  <w:footnote w:type="continuationSeparator" w:id="0">
    <w:p w14:paraId="1C37694F" w14:textId="77777777" w:rsidR="00353E74" w:rsidRDefault="00353E74" w:rsidP="00C2692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5C236" w14:textId="77777777" w:rsidR="00353E74" w:rsidRDefault="00353E74" w:rsidP="009304FB">
    <w:pPr>
      <w:pStyle w:val="Header"/>
      <w:tabs>
        <w:tab w:val="clear" w:pos="8640"/>
      </w:tabs>
    </w:pPr>
    <w:r>
      <w:rPr>
        <w:noProof/>
      </w:rPr>
      <w:drawing>
        <wp:anchor distT="0" distB="0" distL="114300" distR="114300" simplePos="0" relativeHeight="251658240" behindDoc="1" locked="0" layoutInCell="1" allowOverlap="1" wp14:anchorId="0170BF10" wp14:editId="5D5E71F2">
          <wp:simplePos x="0" y="0"/>
          <wp:positionH relativeFrom="column">
            <wp:align>center</wp:align>
          </wp:positionH>
          <wp:positionV relativeFrom="paragraph">
            <wp:posOffset>2540</wp:posOffset>
          </wp:positionV>
          <wp:extent cx="7772400" cy="1206500"/>
          <wp:effectExtent l="19050" t="0" r="0" b="0"/>
          <wp:wrapNone/>
          <wp:docPr id="4" name="Picture 2" descr="McLean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Lean_Header.png"/>
                  <pic:cNvPicPr>
                    <a:picLocks noChangeAspect="1" noChangeArrowheads="1"/>
                  </pic:cNvPicPr>
                </pic:nvPicPr>
                <pic:blipFill>
                  <a:blip r:embed="rId1"/>
                  <a:srcRect/>
                  <a:stretch>
                    <a:fillRect/>
                  </a:stretch>
                </pic:blipFill>
                <pic:spPr bwMode="auto">
                  <a:xfrm>
                    <a:off x="0" y="0"/>
                    <a:ext cx="7772400" cy="1206500"/>
                  </a:xfrm>
                  <a:prstGeom prst="rect">
                    <a:avLst/>
                  </a:prstGeom>
                  <a:noFill/>
                  <a:ln w="9525">
                    <a:noFill/>
                    <a:miter lim="800000"/>
                    <a:headEnd/>
                    <a:tailEnd/>
                  </a:ln>
                </pic:spPr>
              </pic:pic>
            </a:graphicData>
          </a:graphic>
        </wp:anchor>
      </w:drawing>
    </w:r>
  </w:p>
  <w:p w14:paraId="73086130" w14:textId="77777777" w:rsidR="00353E74" w:rsidRDefault="00353E74" w:rsidP="009304FB">
    <w:pPr>
      <w:pStyle w:val="Header"/>
      <w:tabs>
        <w:tab w:val="clear" w:pos="8640"/>
      </w:tabs>
    </w:pPr>
  </w:p>
  <w:p w14:paraId="23856AE5" w14:textId="77777777" w:rsidR="00353E74" w:rsidRDefault="00353E74" w:rsidP="009304FB">
    <w:pPr>
      <w:pStyle w:val="Header"/>
      <w:tabs>
        <w:tab w:val="clear" w:pos="8640"/>
      </w:tabs>
    </w:pPr>
  </w:p>
  <w:p w14:paraId="5062A1CA" w14:textId="77777777" w:rsidR="00353E74" w:rsidRDefault="00353E74" w:rsidP="009304FB">
    <w:pPr>
      <w:pStyle w:val="Header"/>
      <w:tabs>
        <w:tab w:val="clear" w:pos="8640"/>
      </w:tabs>
    </w:pPr>
  </w:p>
  <w:p w14:paraId="72E5B0F9" w14:textId="77777777" w:rsidR="00353E74" w:rsidRDefault="00353E74" w:rsidP="009304FB">
    <w:pPr>
      <w:pStyle w:val="Header"/>
      <w:tabs>
        <w:tab w:val="clear" w:pos="8640"/>
      </w:tabs>
    </w:pPr>
  </w:p>
  <w:p w14:paraId="70C3448E" w14:textId="77777777" w:rsidR="00353E74" w:rsidRDefault="00353E74" w:rsidP="009304FB">
    <w:pPr>
      <w:pStyle w:val="Header"/>
      <w:tabs>
        <w:tab w:val="clear" w:pos="8640"/>
      </w:tabs>
    </w:pPr>
  </w:p>
  <w:p w14:paraId="0E29DE6B" w14:textId="77777777" w:rsidR="00353E74" w:rsidRDefault="00353E74" w:rsidP="009304FB">
    <w:pPr>
      <w:pStyle w:val="Header"/>
      <w:tabs>
        <w:tab w:val="clear" w:pos="8640"/>
      </w:tabs>
    </w:pPr>
  </w:p>
  <w:p w14:paraId="774678D3" w14:textId="77777777" w:rsidR="00353E74" w:rsidRDefault="00353E74" w:rsidP="009304FB">
    <w:pPr>
      <w:pStyle w:val="Header"/>
      <w:tabs>
        <w:tab w:val="clear" w:pos="8640"/>
      </w:tabs>
    </w:pPr>
  </w:p>
  <w:tbl>
    <w:tblPr>
      <w:tblW w:w="9018" w:type="dxa"/>
      <w:tblLayout w:type="fixed"/>
      <w:tblLook w:val="00A0" w:firstRow="1" w:lastRow="0" w:firstColumn="1" w:lastColumn="0" w:noHBand="0" w:noVBand="0"/>
    </w:tblPr>
    <w:tblGrid>
      <w:gridCol w:w="1368"/>
      <w:gridCol w:w="3150"/>
      <w:gridCol w:w="900"/>
      <w:gridCol w:w="1440"/>
      <w:gridCol w:w="2160"/>
    </w:tblGrid>
    <w:tr w:rsidR="00353E74" w:rsidRPr="00C33E85" w14:paraId="43059ED7" w14:textId="77777777" w:rsidTr="007E0F56">
      <w:tc>
        <w:tcPr>
          <w:tcW w:w="1368" w:type="dxa"/>
        </w:tcPr>
        <w:p w14:paraId="65961B34" w14:textId="77777777" w:rsidR="00353E74" w:rsidRPr="00C33E85" w:rsidRDefault="00353E74" w:rsidP="009304FB">
          <w:pPr>
            <w:pStyle w:val="Header"/>
            <w:tabs>
              <w:tab w:val="clear" w:pos="8640"/>
            </w:tabs>
            <w:rPr>
              <w:rFonts w:asciiTheme="minorHAnsi" w:eastAsiaTheme="minorHAnsi" w:hAnsiTheme="minorHAnsi" w:cstheme="minorBidi"/>
            </w:rPr>
          </w:pPr>
        </w:p>
      </w:tc>
      <w:tc>
        <w:tcPr>
          <w:tcW w:w="5490" w:type="dxa"/>
          <w:gridSpan w:val="3"/>
        </w:tcPr>
        <w:p w14:paraId="4A9E911A" w14:textId="77777777" w:rsidR="00353E74" w:rsidRPr="00C33E85" w:rsidRDefault="00353E74" w:rsidP="001801F1">
          <w:pPr>
            <w:pStyle w:val="EmployeeName"/>
            <w:tabs>
              <w:tab w:val="left" w:pos="-4428"/>
            </w:tabs>
            <w:ind w:left="252"/>
            <w:rPr>
              <w:rFonts w:eastAsiaTheme="minorHAnsi" w:cstheme="minorBidi"/>
            </w:rPr>
          </w:pPr>
          <w:r>
            <w:rPr>
              <w:rFonts w:eastAsiaTheme="minorHAnsi" w:cstheme="minorBidi"/>
            </w:rPr>
            <w:t>Brent P. Forester MD, MSc.</w:t>
          </w:r>
        </w:p>
      </w:tc>
      <w:tc>
        <w:tcPr>
          <w:tcW w:w="2160" w:type="dxa"/>
        </w:tcPr>
        <w:p w14:paraId="40316BE9" w14:textId="77777777" w:rsidR="00353E74" w:rsidRPr="00C33E85" w:rsidRDefault="00353E74" w:rsidP="009304FB">
          <w:pPr>
            <w:pStyle w:val="Header"/>
            <w:tabs>
              <w:tab w:val="clear" w:pos="4320"/>
              <w:tab w:val="clear" w:pos="8640"/>
            </w:tabs>
            <w:ind w:left="-108"/>
            <w:rPr>
              <w:rFonts w:asciiTheme="minorHAnsi" w:eastAsiaTheme="minorHAnsi" w:hAnsiTheme="minorHAnsi" w:cstheme="minorBidi"/>
            </w:rPr>
          </w:pPr>
          <w:r w:rsidRPr="00C33E85">
            <w:rPr>
              <w:rFonts w:asciiTheme="minorHAnsi" w:eastAsiaTheme="minorHAnsi" w:hAnsiTheme="minorHAnsi" w:cstheme="minorBidi"/>
            </w:rPr>
            <w:tab/>
          </w:r>
          <w:r w:rsidRPr="00C33E85">
            <w:rPr>
              <w:rFonts w:asciiTheme="minorHAnsi" w:eastAsiaTheme="minorHAnsi" w:hAnsiTheme="minorHAnsi" w:cstheme="minorBidi"/>
            </w:rPr>
            <w:tab/>
          </w:r>
        </w:p>
      </w:tc>
    </w:tr>
    <w:tr w:rsidR="00353E74" w:rsidRPr="00C33E85" w14:paraId="664237DC" w14:textId="77777777" w:rsidTr="007E0F56">
      <w:tc>
        <w:tcPr>
          <w:tcW w:w="4518" w:type="dxa"/>
          <w:gridSpan w:val="2"/>
        </w:tcPr>
        <w:p w14:paraId="49AB65BD" w14:textId="78DA4D5C" w:rsidR="00353E74" w:rsidRPr="00562D93" w:rsidRDefault="00353E74" w:rsidP="00123F2A">
          <w:pPr>
            <w:widowControl w:val="0"/>
            <w:autoSpaceDE w:val="0"/>
            <w:autoSpaceDN w:val="0"/>
            <w:adjustRightInd w:val="0"/>
            <w:spacing w:after="0"/>
            <w:rPr>
              <w:rFonts w:ascii="Times New Roman" w:hAnsi="Times New Roman"/>
              <w:sz w:val="16"/>
              <w:szCs w:val="16"/>
            </w:rPr>
          </w:pPr>
          <w:r w:rsidRPr="00562D93">
            <w:rPr>
              <w:rFonts w:ascii="Times New Roman" w:hAnsi="Times New Roman"/>
              <w:sz w:val="16"/>
              <w:szCs w:val="16"/>
            </w:rPr>
            <w:t>Medical Director - Behavioral Health &amp; Evaluation and Research </w:t>
          </w:r>
        </w:p>
        <w:p w14:paraId="4F6AD003" w14:textId="111A6162" w:rsidR="00353E74" w:rsidRPr="00562D93" w:rsidRDefault="00353E74" w:rsidP="00123F2A">
          <w:pPr>
            <w:widowControl w:val="0"/>
            <w:autoSpaceDE w:val="0"/>
            <w:autoSpaceDN w:val="0"/>
            <w:adjustRightInd w:val="0"/>
            <w:spacing w:after="0"/>
            <w:rPr>
              <w:rFonts w:ascii="Times New Roman" w:hAnsi="Times New Roman"/>
              <w:sz w:val="16"/>
              <w:szCs w:val="16"/>
            </w:rPr>
          </w:pPr>
          <w:r w:rsidRPr="00562D93">
            <w:rPr>
              <w:rFonts w:ascii="Times New Roman" w:hAnsi="Times New Roman"/>
              <w:sz w:val="16"/>
              <w:szCs w:val="16"/>
            </w:rPr>
            <w:t xml:space="preserve">Partners Population Health </w:t>
          </w:r>
        </w:p>
        <w:p w14:paraId="4FBAE073" w14:textId="77777777" w:rsidR="00353E74" w:rsidRPr="00562D93" w:rsidRDefault="00353E74" w:rsidP="00123F2A">
          <w:pPr>
            <w:pStyle w:val="Titles"/>
            <w:ind w:left="0"/>
            <w:rPr>
              <w:sz w:val="16"/>
              <w:szCs w:val="16"/>
            </w:rPr>
          </w:pPr>
          <w:r w:rsidRPr="00562D93">
            <w:rPr>
              <w:sz w:val="16"/>
              <w:szCs w:val="16"/>
            </w:rPr>
            <w:t>Partners HealthCare</w:t>
          </w:r>
        </w:p>
        <w:p w14:paraId="4F41820E" w14:textId="77777777" w:rsidR="00353E74" w:rsidRPr="00562D93" w:rsidRDefault="00353E74" w:rsidP="00123F2A">
          <w:pPr>
            <w:pStyle w:val="Titles"/>
            <w:ind w:left="0"/>
            <w:rPr>
              <w:rFonts w:eastAsiaTheme="minorHAnsi" w:cstheme="minorBidi"/>
              <w:sz w:val="16"/>
              <w:szCs w:val="16"/>
            </w:rPr>
          </w:pPr>
          <w:r w:rsidRPr="00562D93">
            <w:rPr>
              <w:rFonts w:eastAsiaTheme="minorHAnsi" w:cstheme="minorBidi"/>
              <w:sz w:val="16"/>
              <w:szCs w:val="16"/>
            </w:rPr>
            <w:t xml:space="preserve"> </w:t>
          </w:r>
        </w:p>
        <w:p w14:paraId="1F272A9B" w14:textId="77777777" w:rsidR="00353E74" w:rsidRPr="00562D93" w:rsidRDefault="00353E74" w:rsidP="009304FB">
          <w:pPr>
            <w:pStyle w:val="Titles"/>
            <w:ind w:left="0"/>
            <w:rPr>
              <w:rFonts w:eastAsiaTheme="minorHAnsi" w:cstheme="minorBidi"/>
              <w:sz w:val="16"/>
              <w:szCs w:val="16"/>
            </w:rPr>
          </w:pPr>
        </w:p>
        <w:p w14:paraId="3C9A35C7" w14:textId="77777777" w:rsidR="00353E74" w:rsidRPr="00562D93" w:rsidRDefault="00353E74" w:rsidP="009304FB">
          <w:pPr>
            <w:pStyle w:val="Titles"/>
            <w:ind w:left="0"/>
            <w:rPr>
              <w:rFonts w:eastAsiaTheme="minorHAnsi" w:cstheme="minorBidi"/>
              <w:sz w:val="16"/>
              <w:szCs w:val="16"/>
            </w:rPr>
          </w:pPr>
        </w:p>
      </w:tc>
      <w:tc>
        <w:tcPr>
          <w:tcW w:w="900" w:type="dxa"/>
        </w:tcPr>
        <w:p w14:paraId="030DF959" w14:textId="77777777" w:rsidR="00353E74" w:rsidRPr="00562D93" w:rsidRDefault="00353E74" w:rsidP="009304FB">
          <w:pPr>
            <w:pStyle w:val="Header"/>
            <w:tabs>
              <w:tab w:val="clear" w:pos="8640"/>
            </w:tabs>
            <w:rPr>
              <w:rFonts w:asciiTheme="minorHAnsi" w:eastAsiaTheme="minorHAnsi" w:hAnsiTheme="minorHAnsi" w:cstheme="minorBidi"/>
              <w:sz w:val="16"/>
              <w:szCs w:val="16"/>
            </w:rPr>
          </w:pPr>
        </w:p>
      </w:tc>
      <w:tc>
        <w:tcPr>
          <w:tcW w:w="3600" w:type="dxa"/>
          <w:gridSpan w:val="2"/>
        </w:tcPr>
        <w:p w14:paraId="4A238DF1" w14:textId="77777777" w:rsidR="00353E74" w:rsidRPr="00562D93" w:rsidRDefault="00353E74" w:rsidP="00FB7765">
          <w:pPr>
            <w:pStyle w:val="Titles"/>
            <w:ind w:left="-108"/>
            <w:rPr>
              <w:rFonts w:eastAsiaTheme="minorHAnsi" w:cstheme="minorBidi"/>
              <w:sz w:val="16"/>
              <w:szCs w:val="16"/>
            </w:rPr>
          </w:pPr>
          <w:r w:rsidRPr="00562D93">
            <w:rPr>
              <w:rFonts w:eastAsiaTheme="minorHAnsi" w:cstheme="minorBidi"/>
              <w:sz w:val="16"/>
              <w:szCs w:val="16"/>
            </w:rPr>
            <w:t>Chief, Division of Geriatric Psychiatry</w:t>
          </w:r>
        </w:p>
        <w:p w14:paraId="510942C0" w14:textId="77777777" w:rsidR="00353E74" w:rsidRPr="00562D93" w:rsidRDefault="00353E74" w:rsidP="00FB7765">
          <w:pPr>
            <w:pStyle w:val="Titles"/>
            <w:ind w:left="-108"/>
            <w:rPr>
              <w:rFonts w:eastAsiaTheme="minorHAnsi" w:cstheme="minorBidi"/>
              <w:sz w:val="16"/>
              <w:szCs w:val="16"/>
            </w:rPr>
          </w:pPr>
          <w:r w:rsidRPr="00562D93">
            <w:rPr>
              <w:rFonts w:eastAsiaTheme="minorHAnsi" w:cstheme="minorBidi"/>
              <w:sz w:val="16"/>
              <w:szCs w:val="16"/>
            </w:rPr>
            <w:t>McLean Hospital</w:t>
          </w:r>
        </w:p>
        <w:p w14:paraId="6B529551" w14:textId="77777777" w:rsidR="00353E74" w:rsidRPr="00562D93" w:rsidRDefault="00353E74" w:rsidP="009304FB">
          <w:pPr>
            <w:pStyle w:val="Titles"/>
            <w:ind w:left="-108"/>
            <w:rPr>
              <w:rFonts w:eastAsiaTheme="minorHAnsi" w:cstheme="minorBidi"/>
              <w:sz w:val="16"/>
              <w:szCs w:val="16"/>
            </w:rPr>
          </w:pPr>
        </w:p>
        <w:p w14:paraId="5A372EE6" w14:textId="5DB65548" w:rsidR="00353E74" w:rsidRPr="00562D93" w:rsidRDefault="00353E74" w:rsidP="009304FB">
          <w:pPr>
            <w:pStyle w:val="Titles"/>
            <w:ind w:left="-108"/>
            <w:rPr>
              <w:rFonts w:eastAsiaTheme="minorHAnsi" w:cstheme="minorBidi"/>
              <w:sz w:val="16"/>
              <w:szCs w:val="16"/>
            </w:rPr>
          </w:pPr>
          <w:r w:rsidRPr="00562D93">
            <w:rPr>
              <w:rFonts w:eastAsiaTheme="minorHAnsi" w:cstheme="minorBidi"/>
              <w:sz w:val="16"/>
              <w:szCs w:val="16"/>
            </w:rPr>
            <w:t>Associate Professor of Psychiatry, Harvard Medical School</w:t>
          </w:r>
        </w:p>
        <w:p w14:paraId="120F0BBE" w14:textId="77777777" w:rsidR="00353E74" w:rsidRPr="00562D93" w:rsidRDefault="00353E74" w:rsidP="00FB7765">
          <w:pPr>
            <w:pStyle w:val="Titles"/>
            <w:ind w:left="-108"/>
            <w:rPr>
              <w:rFonts w:eastAsiaTheme="minorHAnsi" w:cstheme="minorBidi"/>
              <w:sz w:val="16"/>
              <w:szCs w:val="16"/>
            </w:rPr>
          </w:pPr>
        </w:p>
      </w:tc>
    </w:tr>
  </w:tbl>
  <w:p w14:paraId="1565E9D6" w14:textId="77777777" w:rsidR="00353E74" w:rsidRDefault="00353E74" w:rsidP="009304FB">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87664E"/>
    <w:multiLevelType w:val="hybridMultilevel"/>
    <w:tmpl w:val="07269FA8"/>
    <w:lvl w:ilvl="0" w:tplc="F8E0508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7181FE5"/>
    <w:multiLevelType w:val="hybridMultilevel"/>
    <w:tmpl w:val="795AF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5222DE"/>
    <w:multiLevelType w:val="hybridMultilevel"/>
    <w:tmpl w:val="B61AB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58FF546-7696-40F9-BCDB-ACBC4F64872D}"/>
    <w:docVar w:name="dgnword-eventsink" w:val="251874856"/>
  </w:docVars>
  <w:rsids>
    <w:rsidRoot w:val="001801F1"/>
    <w:rsid w:val="00040314"/>
    <w:rsid w:val="00051837"/>
    <w:rsid w:val="000643EC"/>
    <w:rsid w:val="0007365B"/>
    <w:rsid w:val="00084521"/>
    <w:rsid w:val="000961A9"/>
    <w:rsid w:val="000A70BE"/>
    <w:rsid w:val="000B77D2"/>
    <w:rsid w:val="000C5EAA"/>
    <w:rsid w:val="00107116"/>
    <w:rsid w:val="00123F2A"/>
    <w:rsid w:val="00141AB4"/>
    <w:rsid w:val="00144245"/>
    <w:rsid w:val="001801F1"/>
    <w:rsid w:val="001A3461"/>
    <w:rsid w:val="001A5DE0"/>
    <w:rsid w:val="001E4C74"/>
    <w:rsid w:val="001E57D5"/>
    <w:rsid w:val="001E6633"/>
    <w:rsid w:val="00294444"/>
    <w:rsid w:val="002D36F7"/>
    <w:rsid w:val="002D74BB"/>
    <w:rsid w:val="00353E74"/>
    <w:rsid w:val="00380BFD"/>
    <w:rsid w:val="00394E54"/>
    <w:rsid w:val="003B0ECC"/>
    <w:rsid w:val="003D67CF"/>
    <w:rsid w:val="004033C7"/>
    <w:rsid w:val="00407ACA"/>
    <w:rsid w:val="004276A9"/>
    <w:rsid w:val="0045166A"/>
    <w:rsid w:val="00453B77"/>
    <w:rsid w:val="00471C21"/>
    <w:rsid w:val="00486BBF"/>
    <w:rsid w:val="004A77AB"/>
    <w:rsid w:val="004B5C0E"/>
    <w:rsid w:val="004C587A"/>
    <w:rsid w:val="004E6871"/>
    <w:rsid w:val="00505C89"/>
    <w:rsid w:val="00517B01"/>
    <w:rsid w:val="00527340"/>
    <w:rsid w:val="00535904"/>
    <w:rsid w:val="00545015"/>
    <w:rsid w:val="00562D93"/>
    <w:rsid w:val="00571A43"/>
    <w:rsid w:val="005B5791"/>
    <w:rsid w:val="005B64E2"/>
    <w:rsid w:val="005C0A5F"/>
    <w:rsid w:val="005F60D8"/>
    <w:rsid w:val="00605FFC"/>
    <w:rsid w:val="00610FD4"/>
    <w:rsid w:val="00635D17"/>
    <w:rsid w:val="006A66C4"/>
    <w:rsid w:val="006A7409"/>
    <w:rsid w:val="006D0376"/>
    <w:rsid w:val="00722581"/>
    <w:rsid w:val="00755633"/>
    <w:rsid w:val="00772C7C"/>
    <w:rsid w:val="007866E8"/>
    <w:rsid w:val="007C3A68"/>
    <w:rsid w:val="007E0F56"/>
    <w:rsid w:val="008004FA"/>
    <w:rsid w:val="00813486"/>
    <w:rsid w:val="00820CF3"/>
    <w:rsid w:val="0082366D"/>
    <w:rsid w:val="008814B0"/>
    <w:rsid w:val="008848B1"/>
    <w:rsid w:val="008A5C40"/>
    <w:rsid w:val="008B4D6D"/>
    <w:rsid w:val="008B4D6E"/>
    <w:rsid w:val="008C15D0"/>
    <w:rsid w:val="008D4C06"/>
    <w:rsid w:val="00920235"/>
    <w:rsid w:val="009304FB"/>
    <w:rsid w:val="00931321"/>
    <w:rsid w:val="0096467E"/>
    <w:rsid w:val="009A1A02"/>
    <w:rsid w:val="009E00DC"/>
    <w:rsid w:val="00A622C3"/>
    <w:rsid w:val="00A82DFB"/>
    <w:rsid w:val="00A86D02"/>
    <w:rsid w:val="00AA1FBB"/>
    <w:rsid w:val="00AC1B40"/>
    <w:rsid w:val="00AF1621"/>
    <w:rsid w:val="00B04B22"/>
    <w:rsid w:val="00B07B83"/>
    <w:rsid w:val="00B1068C"/>
    <w:rsid w:val="00B26691"/>
    <w:rsid w:val="00B278F0"/>
    <w:rsid w:val="00B27F68"/>
    <w:rsid w:val="00B40BAF"/>
    <w:rsid w:val="00B57861"/>
    <w:rsid w:val="00B86F34"/>
    <w:rsid w:val="00B92CD6"/>
    <w:rsid w:val="00BB486B"/>
    <w:rsid w:val="00BF3C8B"/>
    <w:rsid w:val="00BF7C70"/>
    <w:rsid w:val="00C26927"/>
    <w:rsid w:val="00C61AA0"/>
    <w:rsid w:val="00CB134E"/>
    <w:rsid w:val="00CB5801"/>
    <w:rsid w:val="00CD24D5"/>
    <w:rsid w:val="00CE4351"/>
    <w:rsid w:val="00D071D0"/>
    <w:rsid w:val="00D25BEE"/>
    <w:rsid w:val="00D61CE5"/>
    <w:rsid w:val="00D705F6"/>
    <w:rsid w:val="00D859E8"/>
    <w:rsid w:val="00D9140B"/>
    <w:rsid w:val="00D91A50"/>
    <w:rsid w:val="00DF1902"/>
    <w:rsid w:val="00DF6216"/>
    <w:rsid w:val="00E53615"/>
    <w:rsid w:val="00E55411"/>
    <w:rsid w:val="00E554A3"/>
    <w:rsid w:val="00E63223"/>
    <w:rsid w:val="00E800AE"/>
    <w:rsid w:val="00E9354D"/>
    <w:rsid w:val="00EB34F6"/>
    <w:rsid w:val="00EB5ABD"/>
    <w:rsid w:val="00EB793C"/>
    <w:rsid w:val="00EE37AF"/>
    <w:rsid w:val="00EF532F"/>
    <w:rsid w:val="00F05CAF"/>
    <w:rsid w:val="00F32EC9"/>
    <w:rsid w:val="00F54079"/>
    <w:rsid w:val="00F546F8"/>
    <w:rsid w:val="00F9076C"/>
    <w:rsid w:val="00FB77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21ABD76"/>
  <w15:docId w15:val="{108E7F2F-A7EE-49CE-B66F-79CA588D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73FD"/>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D49A0"/>
    <w:rPr>
      <w:rFonts w:ascii="Lucida Grande" w:hAnsi="Lucida Grande"/>
      <w:sz w:val="18"/>
      <w:szCs w:val="18"/>
    </w:rPr>
  </w:style>
  <w:style w:type="paragraph" w:styleId="Header">
    <w:name w:val="header"/>
    <w:basedOn w:val="Normal"/>
    <w:link w:val="HeaderChar"/>
    <w:uiPriority w:val="99"/>
    <w:unhideWhenUsed/>
    <w:rsid w:val="00A01531"/>
    <w:pPr>
      <w:tabs>
        <w:tab w:val="center" w:pos="4320"/>
        <w:tab w:val="right" w:pos="8640"/>
      </w:tabs>
      <w:spacing w:after="0"/>
    </w:pPr>
  </w:style>
  <w:style w:type="character" w:customStyle="1" w:styleId="HeaderChar">
    <w:name w:val="Header Char"/>
    <w:basedOn w:val="DefaultParagraphFont"/>
    <w:link w:val="Header"/>
    <w:uiPriority w:val="99"/>
    <w:rsid w:val="00A01531"/>
    <w:rPr>
      <w:sz w:val="24"/>
      <w:szCs w:val="24"/>
    </w:rPr>
  </w:style>
  <w:style w:type="paragraph" w:styleId="Footer">
    <w:name w:val="footer"/>
    <w:basedOn w:val="Normal"/>
    <w:link w:val="FooterChar"/>
    <w:uiPriority w:val="99"/>
    <w:unhideWhenUsed/>
    <w:rsid w:val="00A01531"/>
    <w:pPr>
      <w:tabs>
        <w:tab w:val="center" w:pos="4320"/>
        <w:tab w:val="right" w:pos="8640"/>
      </w:tabs>
      <w:spacing w:after="0"/>
    </w:pPr>
  </w:style>
  <w:style w:type="character" w:customStyle="1" w:styleId="FooterChar">
    <w:name w:val="Footer Char"/>
    <w:basedOn w:val="DefaultParagraphFont"/>
    <w:link w:val="Footer"/>
    <w:uiPriority w:val="99"/>
    <w:rsid w:val="00A01531"/>
    <w:rPr>
      <w:sz w:val="24"/>
      <w:szCs w:val="24"/>
    </w:rPr>
  </w:style>
  <w:style w:type="table" w:styleId="TableGrid">
    <w:name w:val="Table Grid"/>
    <w:basedOn w:val="TableNormal"/>
    <w:uiPriority w:val="59"/>
    <w:rsid w:val="00A01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 Paragraph]"/>
    <w:basedOn w:val="Normal"/>
    <w:uiPriority w:val="99"/>
    <w:rsid w:val="005E06F0"/>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customStyle="1" w:styleId="EmployeeName">
    <w:name w:val="Employee Name"/>
    <w:basedOn w:val="Normal"/>
    <w:qFormat/>
    <w:rsid w:val="00A01531"/>
    <w:pPr>
      <w:spacing w:after="0"/>
      <w:jc w:val="center"/>
    </w:pPr>
    <w:rPr>
      <w:rFonts w:ascii="Times New Roman" w:hAnsi="Times New Roman"/>
      <w:b/>
      <w:sz w:val="20"/>
    </w:rPr>
  </w:style>
  <w:style w:type="paragraph" w:customStyle="1" w:styleId="Titles">
    <w:name w:val="Titles"/>
    <w:basedOn w:val="Header"/>
    <w:qFormat/>
    <w:rsid w:val="00A01531"/>
    <w:pPr>
      <w:tabs>
        <w:tab w:val="clear" w:pos="8640"/>
      </w:tabs>
      <w:spacing w:line="240" w:lineRule="exact"/>
      <w:ind w:left="1714"/>
    </w:pPr>
    <w:rPr>
      <w:rFonts w:ascii="Times New Roman" w:hAnsi="Times New Roman"/>
      <w:sz w:val="18"/>
    </w:rPr>
  </w:style>
  <w:style w:type="paragraph" w:customStyle="1" w:styleId="BodyCopy">
    <w:name w:val="Body Copy"/>
    <w:basedOn w:val="Normal"/>
    <w:qFormat/>
    <w:rsid w:val="005E06F0"/>
    <w:pPr>
      <w:spacing w:line="320" w:lineRule="exact"/>
      <w:ind w:left="1714" w:right="1627"/>
    </w:pPr>
    <w:rPr>
      <w:rFonts w:ascii="Times New Roman" w:hAnsi="Times New Roman"/>
    </w:rPr>
  </w:style>
  <w:style w:type="paragraph" w:customStyle="1" w:styleId="AddressType">
    <w:name w:val="Address Type"/>
    <w:basedOn w:val="BasicParagraph"/>
    <w:qFormat/>
    <w:rsid w:val="008F6E22"/>
    <w:pPr>
      <w:suppressAutoHyphens/>
      <w:spacing w:line="360" w:lineRule="auto"/>
      <w:ind w:left="1800"/>
    </w:pPr>
    <w:rPr>
      <w:rFonts w:ascii="Times New Roman" w:hAnsi="Times New Roman" w:cs="TimesNewRomanPSMT"/>
      <w:noProof/>
      <w:sz w:val="20"/>
      <w:szCs w:val="20"/>
    </w:rPr>
  </w:style>
  <w:style w:type="paragraph" w:customStyle="1" w:styleId="inline">
    <w:name w:val="inline"/>
    <w:basedOn w:val="Normal"/>
    <w:rsid w:val="00B04B22"/>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B04B22"/>
    <w:pPr>
      <w:spacing w:after="0"/>
      <w:ind w:left="720"/>
      <w:contextualSpacing/>
    </w:pPr>
    <w:rPr>
      <w:rFonts w:asciiTheme="minorHAnsi" w:eastAsiaTheme="minorEastAsia" w:hAnsiTheme="minorHAnsi" w:cstheme="minorBidi"/>
    </w:rPr>
  </w:style>
  <w:style w:type="paragraph" w:customStyle="1" w:styleId="Normal1">
    <w:name w:val="Normal1"/>
    <w:rsid w:val="00B92CD6"/>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leanhospital.org/older-adult-mental-health"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r1\AppData\Local\Microsoft\Windows\Temporary%20Internet%20Files\Content.Outlook\Z547STW1\McLean_Jointly_Appointed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McLean_Jointly_Appointed_Letterhead.dotx</Template>
  <TotalTime>0</TotalTime>
  <Pages>3</Pages>
  <Words>602</Words>
  <Characters>3917</Characters>
  <Application>Microsoft Office Word</Application>
  <DocSecurity>4</DocSecurity>
  <Lines>178</Lines>
  <Paragraphs>196</Paragraphs>
  <ScaleCrop>false</ScaleCrop>
  <HeadingPairs>
    <vt:vector size="2" baseType="variant">
      <vt:variant>
        <vt:lpstr>Title</vt:lpstr>
      </vt:variant>
      <vt:variant>
        <vt:i4>1</vt:i4>
      </vt:variant>
    </vt:vector>
  </HeadingPairs>
  <TitlesOfParts>
    <vt:vector size="1" baseType="lpstr">
      <vt:lpstr/>
    </vt:vector>
  </TitlesOfParts>
  <Company>Winsor Cobb Design, Inc.</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Partners Information Systems</dc:creator>
  <cp:lastModifiedBy>Romano, Bruce</cp:lastModifiedBy>
  <cp:revision>2</cp:revision>
  <cp:lastPrinted>2017-03-05T21:30:00Z</cp:lastPrinted>
  <dcterms:created xsi:type="dcterms:W3CDTF">2019-04-15T15:55:00Z</dcterms:created>
  <dcterms:modified xsi:type="dcterms:W3CDTF">2019-04-15T15:55:00Z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