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561E" w:rsidRPr="008F7BEE" w:rsidRDefault="006F561E" w:rsidP="006F561E">
      <w:pPr>
        <w:ind w:left="1440" w:firstLine="634"/>
        <w:jc w:val="right"/>
        <w:outlineLvl w:val="0"/>
        <w:rPr>
          <w:b/>
          <w:color w:val="2E2763"/>
          <w:spacing w:val="-2"/>
          <w:sz w:val="24"/>
          <w:szCs w:val="24"/>
        </w:rPr>
      </w:pPr>
      <w:r w:rsidRPr="008F7BEE">
        <w:rPr>
          <w:noProof/>
          <w:color w:val="2E2763"/>
          <w:spacing w:val="12"/>
          <w:sz w:val="24"/>
          <w:szCs w:val="24"/>
        </w:rPr>
        <w:drawing>
          <wp:anchor distT="0" distB="0" distL="114300" distR="114300" simplePos="0" relativeHeight="251659264" behindDoc="0" locked="0" layoutInCell="1" allowOverlap="1" wp14:anchorId="4B29B9C2" wp14:editId="1AC828A9">
            <wp:simplePos x="0" y="0"/>
            <wp:positionH relativeFrom="column">
              <wp:posOffset>-59503</wp:posOffset>
            </wp:positionH>
            <wp:positionV relativeFrom="page">
              <wp:posOffset>460375</wp:posOffset>
            </wp:positionV>
            <wp:extent cx="3583940" cy="833120"/>
            <wp:effectExtent l="0" t="0" r="0" b="5080"/>
            <wp:wrapNone/>
            <wp:docPr id="2" name="Picture 2" title="AC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blogo"/>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3583940" cy="8331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F7BEE">
        <w:rPr>
          <w:color w:val="2E2763"/>
          <w:spacing w:val="-2"/>
          <w:sz w:val="24"/>
          <w:szCs w:val="24"/>
        </w:rPr>
        <w:t xml:space="preserve">1703 N. Beauregard St., Suite 420 </w:t>
      </w:r>
    </w:p>
    <w:p w:rsidR="006F561E" w:rsidRPr="008F7BEE" w:rsidRDefault="006F561E" w:rsidP="006F561E">
      <w:pPr>
        <w:ind w:left="1440" w:firstLine="634"/>
        <w:jc w:val="right"/>
        <w:outlineLvl w:val="0"/>
        <w:rPr>
          <w:b/>
          <w:color w:val="2E2763"/>
          <w:spacing w:val="-2"/>
          <w:sz w:val="24"/>
          <w:szCs w:val="24"/>
        </w:rPr>
      </w:pPr>
      <w:r w:rsidRPr="008F7BEE">
        <w:rPr>
          <w:color w:val="2E2763"/>
          <w:spacing w:val="-2"/>
          <w:sz w:val="24"/>
          <w:szCs w:val="24"/>
        </w:rPr>
        <w:t xml:space="preserve">Alexandria, VA 22311 </w:t>
      </w:r>
    </w:p>
    <w:p w:rsidR="006F561E" w:rsidRPr="008F7BEE" w:rsidRDefault="006F561E" w:rsidP="006F561E">
      <w:pPr>
        <w:ind w:left="1440" w:firstLine="634"/>
        <w:jc w:val="right"/>
        <w:outlineLvl w:val="0"/>
        <w:rPr>
          <w:b/>
          <w:color w:val="2E2763"/>
          <w:spacing w:val="-2"/>
          <w:sz w:val="24"/>
          <w:szCs w:val="24"/>
        </w:rPr>
      </w:pPr>
      <w:r w:rsidRPr="008F7BEE">
        <w:rPr>
          <w:color w:val="2E2763"/>
          <w:spacing w:val="-2"/>
          <w:sz w:val="24"/>
          <w:szCs w:val="24"/>
        </w:rPr>
        <w:t xml:space="preserve">Tel: (202) 467-5081 </w:t>
      </w:r>
    </w:p>
    <w:p w:rsidR="006F561E" w:rsidRPr="008F7BEE" w:rsidRDefault="006F561E" w:rsidP="006F561E">
      <w:pPr>
        <w:ind w:left="1440" w:firstLine="634"/>
        <w:jc w:val="right"/>
        <w:outlineLvl w:val="0"/>
        <w:rPr>
          <w:b/>
          <w:color w:val="2E2763"/>
          <w:spacing w:val="12"/>
          <w:sz w:val="24"/>
          <w:szCs w:val="24"/>
        </w:rPr>
      </w:pPr>
      <w:r w:rsidRPr="008F7BEE">
        <w:rPr>
          <w:color w:val="2E2763"/>
          <w:spacing w:val="-2"/>
          <w:sz w:val="24"/>
          <w:szCs w:val="24"/>
        </w:rPr>
        <w:t>Fax: (703) 465-5085</w:t>
      </w:r>
    </w:p>
    <w:p w:rsidR="006F561E" w:rsidRDefault="006F561E" w:rsidP="006F561E">
      <w:pPr>
        <w:spacing w:before="240" w:line="360" w:lineRule="auto"/>
        <w:rPr>
          <w:rFonts w:ascii="Arial Narrow" w:hAnsi="Arial Narrow"/>
          <w:b/>
        </w:rPr>
      </w:pPr>
      <w:r>
        <w:rPr>
          <w:rFonts w:cs="Tahoma"/>
          <w:b/>
          <w:noProof/>
        </w:rPr>
        <mc:AlternateContent>
          <mc:Choice Requires="wps">
            <w:drawing>
              <wp:anchor distT="0" distB="0" distL="114300" distR="114300" simplePos="0" relativeHeight="251660288" behindDoc="0" locked="0" layoutInCell="1" allowOverlap="1" wp14:anchorId="0BCCA56D" wp14:editId="44F30BC2">
                <wp:simplePos x="0" y="0"/>
                <wp:positionH relativeFrom="column">
                  <wp:posOffset>-17145</wp:posOffset>
                </wp:positionH>
                <wp:positionV relativeFrom="paragraph">
                  <wp:posOffset>151167</wp:posOffset>
                </wp:positionV>
                <wp:extent cx="6514278" cy="0"/>
                <wp:effectExtent l="0" t="25400" r="39370" b="25400"/>
                <wp:wrapNone/>
                <wp:docPr id="3" name="Straight Connector 3"/>
                <wp:cNvGraphicFramePr/>
                <a:graphic xmlns:a="http://schemas.openxmlformats.org/drawingml/2006/main">
                  <a:graphicData uri="http://schemas.microsoft.com/office/word/2010/wordprocessingShape">
                    <wps:wsp>
                      <wps:cNvCnPr/>
                      <wps:spPr>
                        <a:xfrm flipV="1">
                          <a:off x="0" y="0"/>
                          <a:ext cx="6514278" cy="0"/>
                        </a:xfrm>
                        <a:prstGeom prst="line">
                          <a:avLst/>
                        </a:prstGeom>
                        <a:ln w="38100">
                          <a:solidFill>
                            <a:srgbClr val="2E276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E4BDF7" id="Straight Connector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11.9pt" to="511.6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" strokecolor="#2e2763" strokeweight="3pt">
                <v:stroke joinstyle="miter"/>
              </v:line>
            </w:pict>
          </mc:Fallback>
        </mc:AlternateContent>
      </w:r>
      <w:r>
        <w:rPr>
          <w:rFonts w:ascii="Arial Narrow" w:hAnsi="Arial Narrow"/>
        </w:rPr>
        <w:softHyphen/>
      </w:r>
    </w:p>
    <w:p w:rsidR="006F561E" w:rsidRPr="008E3887" w:rsidRDefault="006F561E" w:rsidP="006F561E">
      <w:pPr>
        <w:rPr>
          <w:rFonts w:cs="Tahoma"/>
          <w:b/>
        </w:rPr>
      </w:pPr>
      <w:r>
        <w:rPr>
          <w:rFonts w:cs="Tahoma"/>
        </w:rPr>
        <w:softHyphen/>
      </w:r>
    </w:p>
    <w:p w:rsidR="006F561E" w:rsidRDefault="006F561E" w:rsidP="006F561E">
      <w:pPr>
        <w:rPr>
          <w:spacing w:val="12"/>
          <w:sz w:val="54"/>
          <w:szCs w:val="54"/>
        </w:rPr>
      </w:pPr>
    </w:p>
    <w:p w:rsidR="006F561E" w:rsidRPr="002349EB" w:rsidRDefault="006F561E" w:rsidP="00F86E85">
      <w:pPr>
        <w:spacing w:line="240" w:lineRule="auto"/>
        <w:rPr>
          <w:rFonts w:ascii="Arial" w:hAnsi="Arial"/>
          <w:szCs w:val="24"/>
        </w:rPr>
      </w:pPr>
      <w:r w:rsidRPr="002349EB">
        <w:rPr>
          <w:rFonts w:ascii="Arial" w:hAnsi="Arial"/>
        </w:rPr>
        <w:t>May 1</w:t>
      </w:r>
      <w:r w:rsidRPr="002349EB">
        <w:rPr>
          <w:rFonts w:ascii="Arial" w:hAnsi="Arial"/>
          <w:szCs w:val="24"/>
        </w:rPr>
        <w:t>, 2019</w:t>
      </w:r>
    </w:p>
    <w:p w:rsidR="006F561E" w:rsidRPr="002349EB" w:rsidRDefault="006F561E" w:rsidP="00F86E85">
      <w:pPr>
        <w:pStyle w:val="NoSpacing"/>
        <w:rPr>
          <w:rFonts w:ascii="Arial" w:eastAsia="Arial" w:hAnsi="Arial" w:cs="Arial"/>
          <w:color w:val="auto"/>
          <w:szCs w:val="24"/>
        </w:rPr>
      </w:pPr>
    </w:p>
    <w:p w:rsidR="006F561E" w:rsidRPr="002349EB" w:rsidRDefault="006F561E" w:rsidP="00F86E85">
      <w:pPr>
        <w:pStyle w:val="NoSpacing"/>
        <w:rPr>
          <w:rFonts w:ascii="Arial" w:eastAsia="Arial" w:hAnsi="Arial" w:cs="Arial"/>
          <w:color w:val="auto"/>
          <w:szCs w:val="24"/>
        </w:rPr>
      </w:pPr>
      <w:r w:rsidRPr="002349EB">
        <w:rPr>
          <w:rFonts w:ascii="Arial" w:hAnsi="Arial"/>
          <w:color w:val="auto"/>
          <w:szCs w:val="24"/>
        </w:rPr>
        <w:t>Honorable Ajit Pai, Chairman</w:t>
      </w:r>
    </w:p>
    <w:p w:rsidR="006F561E" w:rsidRPr="002349EB" w:rsidRDefault="006F561E" w:rsidP="00F86E85">
      <w:pPr>
        <w:pStyle w:val="NoSpacing"/>
        <w:rPr>
          <w:rFonts w:ascii="Arial" w:eastAsia="Arial" w:hAnsi="Arial" w:cs="Arial"/>
          <w:color w:val="auto"/>
          <w:szCs w:val="24"/>
        </w:rPr>
      </w:pPr>
      <w:r w:rsidRPr="002349EB">
        <w:rPr>
          <w:rFonts w:ascii="Arial" w:hAnsi="Arial"/>
          <w:color w:val="auto"/>
          <w:szCs w:val="24"/>
        </w:rPr>
        <w:t>Federal Communications Commission</w:t>
      </w:r>
    </w:p>
    <w:p w:rsidR="006F561E" w:rsidRPr="002349EB" w:rsidRDefault="006F561E" w:rsidP="00F86E85">
      <w:pPr>
        <w:pStyle w:val="NoSpacing"/>
        <w:rPr>
          <w:rFonts w:ascii="Arial" w:eastAsia="Arial" w:hAnsi="Arial" w:cs="Arial"/>
          <w:color w:val="auto"/>
          <w:szCs w:val="24"/>
        </w:rPr>
      </w:pPr>
      <w:r w:rsidRPr="002349EB">
        <w:rPr>
          <w:rFonts w:ascii="Arial" w:hAnsi="Arial"/>
          <w:color w:val="auto"/>
          <w:szCs w:val="24"/>
        </w:rPr>
        <w:t>445 12th Street SE</w:t>
      </w:r>
    </w:p>
    <w:p w:rsidR="006F561E" w:rsidRPr="002349EB" w:rsidRDefault="006F561E" w:rsidP="00F86E85">
      <w:pPr>
        <w:pStyle w:val="NoSpacing"/>
        <w:rPr>
          <w:rFonts w:ascii="Arial" w:eastAsia="Arial" w:hAnsi="Arial" w:cs="Arial"/>
          <w:color w:val="auto"/>
          <w:szCs w:val="24"/>
        </w:rPr>
      </w:pPr>
      <w:r w:rsidRPr="002349EB">
        <w:rPr>
          <w:rFonts w:ascii="Arial" w:hAnsi="Arial"/>
          <w:color w:val="auto"/>
          <w:szCs w:val="24"/>
        </w:rPr>
        <w:t>Washington, DC 20554</w:t>
      </w:r>
    </w:p>
    <w:p w:rsidR="006F561E" w:rsidRPr="002349EB" w:rsidRDefault="006F561E" w:rsidP="00F86E85">
      <w:pPr>
        <w:pStyle w:val="NoSpacing"/>
        <w:rPr>
          <w:rFonts w:ascii="Arial" w:eastAsia="Arial" w:hAnsi="Arial" w:cs="Arial"/>
          <w:color w:val="auto"/>
          <w:szCs w:val="24"/>
        </w:rPr>
      </w:pPr>
    </w:p>
    <w:p w:rsidR="006F561E" w:rsidRPr="002349EB" w:rsidRDefault="006F561E" w:rsidP="00F86E85">
      <w:pPr>
        <w:pStyle w:val="NoSpacing"/>
        <w:rPr>
          <w:rFonts w:ascii="Arial" w:eastAsia="Arial" w:hAnsi="Arial" w:cs="Arial"/>
          <w:color w:val="auto"/>
        </w:rPr>
      </w:pPr>
      <w:r w:rsidRPr="002349EB">
        <w:rPr>
          <w:rFonts w:ascii="Arial" w:hAnsi="Arial"/>
          <w:color w:val="auto"/>
          <w:szCs w:val="24"/>
        </w:rPr>
        <w:t>Re: Reply Comments to Media Bureau on Video Description Marketplace Improvements (DA 19-40)</w:t>
      </w:r>
    </w:p>
    <w:p w:rsidR="006F561E" w:rsidRPr="002349EB" w:rsidRDefault="006F561E" w:rsidP="00F86E85">
      <w:pPr>
        <w:pStyle w:val="NoSpacing"/>
        <w:rPr>
          <w:rFonts w:ascii="Arial" w:eastAsia="Arial" w:hAnsi="Arial" w:cs="Arial"/>
          <w:color w:val="auto"/>
        </w:rPr>
      </w:pPr>
    </w:p>
    <w:p w:rsidR="006F561E" w:rsidRPr="002349EB" w:rsidRDefault="006F561E" w:rsidP="00F86E85">
      <w:pPr>
        <w:pStyle w:val="NoSpacing"/>
        <w:rPr>
          <w:rFonts w:ascii="Arial" w:eastAsia="Arial" w:hAnsi="Arial" w:cs="Arial"/>
          <w:color w:val="auto"/>
          <w:szCs w:val="24"/>
        </w:rPr>
      </w:pPr>
      <w:r w:rsidRPr="002349EB">
        <w:rPr>
          <w:rFonts w:ascii="Arial" w:hAnsi="Arial"/>
          <w:color w:val="auto"/>
          <w:szCs w:val="24"/>
        </w:rPr>
        <w:t xml:space="preserve">Dear </w:t>
      </w:r>
      <w:proofErr w:type="gramStart"/>
      <w:r w:rsidRPr="002349EB">
        <w:rPr>
          <w:rFonts w:ascii="Arial" w:hAnsi="Arial"/>
          <w:color w:val="auto"/>
          <w:szCs w:val="24"/>
        </w:rPr>
        <w:t>Chairman</w:t>
      </w:r>
      <w:proofErr w:type="gramEnd"/>
      <w:r w:rsidRPr="002349EB">
        <w:rPr>
          <w:rFonts w:ascii="Arial" w:hAnsi="Arial"/>
          <w:color w:val="auto"/>
          <w:szCs w:val="24"/>
        </w:rPr>
        <w:t xml:space="preserve"> Pai:</w:t>
      </w:r>
    </w:p>
    <w:p w:rsidR="006F561E" w:rsidRPr="002349EB" w:rsidRDefault="006F561E" w:rsidP="00F86E85">
      <w:pPr>
        <w:pStyle w:val="NoSpacing"/>
        <w:rPr>
          <w:rFonts w:ascii="Arial" w:eastAsia="Arial" w:hAnsi="Arial" w:cs="Arial"/>
          <w:color w:val="auto"/>
        </w:rPr>
      </w:pPr>
    </w:p>
    <w:p w:rsidR="00D34FC9" w:rsidRPr="002349EB" w:rsidRDefault="006F561E" w:rsidP="00F86E85">
      <w:pPr>
        <w:pStyle w:val="NoSpacing"/>
        <w:rPr>
          <w:rFonts w:ascii="Arial" w:hAnsi="Arial"/>
          <w:color w:val="auto"/>
          <w:szCs w:val="24"/>
        </w:rPr>
      </w:pPr>
      <w:r w:rsidRPr="002349EB">
        <w:rPr>
          <w:rFonts w:ascii="Arial" w:hAnsi="Arial"/>
          <w:color w:val="auto"/>
          <w:szCs w:val="24"/>
        </w:rPr>
        <w:t xml:space="preserve">The American Council of the Blind (ACB) </w:t>
      </w:r>
      <w:r w:rsidR="005B0C6F" w:rsidRPr="002349EB">
        <w:rPr>
          <w:rFonts w:ascii="Arial" w:hAnsi="Arial"/>
          <w:color w:val="auto"/>
          <w:szCs w:val="24"/>
        </w:rPr>
        <w:t xml:space="preserve">thanks </w:t>
      </w:r>
      <w:r w:rsidRPr="002349EB">
        <w:rPr>
          <w:rFonts w:ascii="Arial" w:hAnsi="Arial"/>
          <w:color w:val="auto"/>
          <w:szCs w:val="24"/>
        </w:rPr>
        <w:t>the Federal Co</w:t>
      </w:r>
      <w:bookmarkStart w:id="0" w:name="_GoBack"/>
      <w:bookmarkEnd w:id="0"/>
      <w:r w:rsidRPr="002349EB">
        <w:rPr>
          <w:rFonts w:ascii="Arial" w:hAnsi="Arial"/>
          <w:color w:val="auto"/>
          <w:szCs w:val="24"/>
        </w:rPr>
        <w:t xml:space="preserve">mmunications Commission (Commission) for </w:t>
      </w:r>
      <w:r w:rsidR="00B00A19" w:rsidRPr="002349EB">
        <w:rPr>
          <w:rFonts w:ascii="Arial" w:hAnsi="Arial"/>
          <w:color w:val="auto"/>
          <w:szCs w:val="24"/>
        </w:rPr>
        <w:t xml:space="preserve">continuing </w:t>
      </w:r>
      <w:r w:rsidR="005B0C6F" w:rsidRPr="002349EB">
        <w:rPr>
          <w:rFonts w:ascii="Arial" w:hAnsi="Arial"/>
          <w:color w:val="auto"/>
          <w:szCs w:val="24"/>
        </w:rPr>
        <w:t xml:space="preserve">this dialog </w:t>
      </w:r>
      <w:r w:rsidRPr="002349EB">
        <w:rPr>
          <w:rFonts w:ascii="Arial" w:hAnsi="Arial"/>
          <w:color w:val="auto"/>
          <w:szCs w:val="24"/>
        </w:rPr>
        <w:t>on improvements to the video description marketplace covered under the 21st Century Communications &amp; Video Accessibility Act (CVAA</w:t>
      </w:r>
      <w:proofErr w:type="gramStart"/>
      <w:r w:rsidRPr="002349EB">
        <w:rPr>
          <w:rFonts w:ascii="Arial" w:hAnsi="Arial"/>
          <w:color w:val="auto"/>
          <w:szCs w:val="24"/>
        </w:rPr>
        <w:t>)( PL</w:t>
      </w:r>
      <w:proofErr w:type="gramEnd"/>
      <w:r w:rsidRPr="002349EB">
        <w:rPr>
          <w:rFonts w:ascii="Arial" w:hAnsi="Arial"/>
          <w:color w:val="auto"/>
          <w:szCs w:val="24"/>
        </w:rPr>
        <w:t xml:space="preserve"> 111-260). ACB believes the comments </w:t>
      </w:r>
      <w:r w:rsidR="00D34FC9" w:rsidRPr="002349EB">
        <w:rPr>
          <w:rFonts w:ascii="Arial" w:hAnsi="Arial"/>
          <w:color w:val="auto"/>
          <w:szCs w:val="24"/>
        </w:rPr>
        <w:t xml:space="preserve">filed </w:t>
      </w:r>
      <w:r w:rsidRPr="002349EB">
        <w:rPr>
          <w:rFonts w:ascii="Arial" w:hAnsi="Arial"/>
          <w:color w:val="auto"/>
          <w:szCs w:val="24"/>
        </w:rPr>
        <w:t xml:space="preserve">under this request demonstrate the success that has come through the CVAA toward making a key part of American life accessible for individuals who are blind and visually impaired. At the same time, we believe </w:t>
      </w:r>
      <w:r w:rsidR="00D34FC9" w:rsidRPr="002349EB">
        <w:rPr>
          <w:rFonts w:ascii="Arial" w:hAnsi="Arial"/>
          <w:color w:val="auto"/>
          <w:szCs w:val="24"/>
        </w:rPr>
        <w:t xml:space="preserve">the comments received by the Commission demonstrate a clear need and desire for increased availability and </w:t>
      </w:r>
      <w:r w:rsidR="005B0C6F" w:rsidRPr="002349EB">
        <w:rPr>
          <w:rFonts w:ascii="Arial" w:hAnsi="Arial"/>
          <w:color w:val="auto"/>
          <w:szCs w:val="24"/>
        </w:rPr>
        <w:t>usability</w:t>
      </w:r>
      <w:r w:rsidR="00D34FC9" w:rsidRPr="002349EB">
        <w:rPr>
          <w:rFonts w:ascii="Arial" w:hAnsi="Arial"/>
          <w:color w:val="auto"/>
          <w:szCs w:val="24"/>
        </w:rPr>
        <w:t xml:space="preserve"> of video described programming.</w:t>
      </w:r>
    </w:p>
    <w:p w:rsidR="006F561E" w:rsidRPr="002349EB" w:rsidRDefault="006F561E" w:rsidP="00F86E85">
      <w:pPr>
        <w:pStyle w:val="NoSpacing"/>
        <w:rPr>
          <w:rFonts w:ascii="Arial" w:eastAsia="Arial" w:hAnsi="Arial" w:cs="Arial"/>
          <w:color w:val="auto"/>
          <w:szCs w:val="24"/>
        </w:rPr>
      </w:pPr>
    </w:p>
    <w:p w:rsidR="009D0F47" w:rsidRPr="002349EB" w:rsidRDefault="0070025A" w:rsidP="00F86E85">
      <w:pPr>
        <w:spacing w:line="240" w:lineRule="auto"/>
        <w:rPr>
          <w:rFonts w:ascii="Arial" w:hAnsi="Arial"/>
        </w:rPr>
      </w:pPr>
      <w:r w:rsidRPr="002349EB">
        <w:rPr>
          <w:rFonts w:ascii="Arial" w:hAnsi="Arial"/>
        </w:rPr>
        <w:t xml:space="preserve">In the comments filed for this proceeding, </w:t>
      </w:r>
      <w:r w:rsidR="005B0C6F" w:rsidRPr="002349EB">
        <w:rPr>
          <w:rFonts w:ascii="Arial" w:hAnsi="Arial"/>
        </w:rPr>
        <w:t xml:space="preserve">ACB believes that consumers have clearly demonstrated </w:t>
      </w:r>
      <w:r w:rsidR="00362776" w:rsidRPr="002349EB">
        <w:rPr>
          <w:rFonts w:ascii="Arial" w:hAnsi="Arial"/>
        </w:rPr>
        <w:t xml:space="preserve">the demand for </w:t>
      </w:r>
      <w:r w:rsidR="009D0F47" w:rsidRPr="002349EB">
        <w:rPr>
          <w:rFonts w:ascii="Arial" w:hAnsi="Arial"/>
        </w:rPr>
        <w:t xml:space="preserve">and the benefits of video described programming. Consumers with access to video described programming report being more integrated in their community and less isolated. These benefits of video description should not remain limited </w:t>
      </w:r>
      <w:r w:rsidR="0080420A" w:rsidRPr="002349EB">
        <w:rPr>
          <w:rFonts w:ascii="Arial" w:hAnsi="Arial"/>
        </w:rPr>
        <w:t xml:space="preserve">to Americans in certain </w:t>
      </w:r>
      <w:r w:rsidR="00F674D5" w:rsidRPr="002349EB">
        <w:rPr>
          <w:rFonts w:ascii="Arial" w:hAnsi="Arial"/>
        </w:rPr>
        <w:t xml:space="preserve">designated </w:t>
      </w:r>
      <w:r w:rsidR="0080420A" w:rsidRPr="002349EB">
        <w:rPr>
          <w:rFonts w:ascii="Arial" w:hAnsi="Arial"/>
        </w:rPr>
        <w:t>market</w:t>
      </w:r>
      <w:r w:rsidR="00F674D5" w:rsidRPr="002349EB">
        <w:rPr>
          <w:rFonts w:ascii="Arial" w:hAnsi="Arial"/>
        </w:rPr>
        <w:t xml:space="preserve"> areas</w:t>
      </w:r>
      <w:r w:rsidR="0080420A" w:rsidRPr="002349EB">
        <w:rPr>
          <w:rFonts w:ascii="Arial" w:hAnsi="Arial"/>
        </w:rPr>
        <w:t>. ACB recommends that the Commission use its existing authority “</w:t>
      </w:r>
      <w:r w:rsidR="0080420A" w:rsidRPr="002349EB">
        <w:rPr>
          <w:rStyle w:val="chapeau"/>
          <w:rFonts w:ascii="Arial" w:hAnsi="Arial" w:cs="Helvetica"/>
          <w:szCs w:val="21"/>
          <w:lang w:val="en"/>
        </w:rPr>
        <w:t>to phase in the video description regulations for up to an additional 10 designated market areas each year</w:t>
      </w:r>
      <w:r w:rsidR="00F674D5" w:rsidRPr="002349EB">
        <w:rPr>
          <w:rStyle w:val="chapeau"/>
          <w:rFonts w:ascii="Arial" w:hAnsi="Arial" w:cs="Helvetica"/>
          <w:szCs w:val="21"/>
          <w:lang w:val="en"/>
        </w:rPr>
        <w:t>,</w:t>
      </w:r>
      <w:r w:rsidR="0080420A" w:rsidRPr="002349EB">
        <w:rPr>
          <w:rFonts w:ascii="Arial" w:hAnsi="Arial"/>
        </w:rPr>
        <w:t>”</w:t>
      </w:r>
      <w:r w:rsidR="00F674D5" w:rsidRPr="002349EB">
        <w:rPr>
          <w:rFonts w:ascii="Arial" w:hAnsi="Arial"/>
        </w:rPr>
        <w:t xml:space="preserve"> beginning in 202</w:t>
      </w:r>
      <w:r w:rsidR="0089163E" w:rsidRPr="002349EB">
        <w:rPr>
          <w:rFonts w:ascii="Arial" w:hAnsi="Arial"/>
        </w:rPr>
        <w:t>0.</w:t>
      </w:r>
      <w:r w:rsidR="0089163E" w:rsidRPr="002349EB">
        <w:rPr>
          <w:rStyle w:val="FootnoteReference"/>
          <w:rFonts w:ascii="Arial" w:hAnsi="Arial"/>
        </w:rPr>
        <w:footnoteReference w:id="1"/>
      </w:r>
    </w:p>
    <w:p w:rsidR="009D0F47" w:rsidRPr="002349EB" w:rsidRDefault="009D0F47" w:rsidP="00F86E85">
      <w:pPr>
        <w:spacing w:line="240" w:lineRule="auto"/>
        <w:rPr>
          <w:rFonts w:ascii="Arial" w:hAnsi="Arial"/>
        </w:rPr>
      </w:pPr>
    </w:p>
    <w:p w:rsidR="00247C4D" w:rsidRPr="002349EB" w:rsidRDefault="00A139C4" w:rsidP="00F86E85">
      <w:pPr>
        <w:spacing w:line="240" w:lineRule="auto"/>
        <w:rPr>
          <w:rFonts w:ascii="Arial" w:hAnsi="Arial"/>
        </w:rPr>
      </w:pPr>
      <w:r w:rsidRPr="002349EB">
        <w:rPr>
          <w:rFonts w:ascii="Arial" w:hAnsi="Arial"/>
        </w:rPr>
        <w:t xml:space="preserve">As stated in the comments filed by </w:t>
      </w:r>
      <w:r w:rsidR="0005359A" w:rsidRPr="002349EB">
        <w:rPr>
          <w:rFonts w:ascii="Arial" w:hAnsi="Arial"/>
        </w:rPr>
        <w:t>Litton Entertainment</w:t>
      </w:r>
      <w:r w:rsidRPr="002349EB">
        <w:rPr>
          <w:rFonts w:ascii="Arial" w:hAnsi="Arial"/>
        </w:rPr>
        <w:t>, ACB agrees</w:t>
      </w:r>
      <w:r w:rsidR="001239D0" w:rsidRPr="002349EB">
        <w:rPr>
          <w:rFonts w:ascii="Arial" w:hAnsi="Arial"/>
        </w:rPr>
        <w:t xml:space="preserve"> </w:t>
      </w:r>
      <w:r w:rsidR="0005359A" w:rsidRPr="002349EB">
        <w:rPr>
          <w:rFonts w:ascii="Arial" w:hAnsi="Arial"/>
        </w:rPr>
        <w:t xml:space="preserve">that video described educational programming plays a vital role in the development of disabled children, as well as of children with disabled </w:t>
      </w:r>
      <w:r w:rsidR="000158B6" w:rsidRPr="002349EB">
        <w:rPr>
          <w:rFonts w:ascii="Arial" w:hAnsi="Arial"/>
        </w:rPr>
        <w:t>family members and friends</w:t>
      </w:r>
      <w:r w:rsidR="0005359A" w:rsidRPr="002349EB">
        <w:rPr>
          <w:rFonts w:ascii="Arial" w:hAnsi="Arial"/>
        </w:rPr>
        <w:t xml:space="preserve">, because the programming increases the </w:t>
      </w:r>
      <w:r w:rsidR="0005359A" w:rsidRPr="002349EB">
        <w:rPr>
          <w:rFonts w:ascii="Arial" w:hAnsi="Arial"/>
        </w:rPr>
        <w:lastRenderedPageBreak/>
        <w:t>level of engagement by the viewer</w:t>
      </w:r>
      <w:r w:rsidR="000158B6" w:rsidRPr="002349EB">
        <w:rPr>
          <w:rFonts w:ascii="Arial" w:hAnsi="Arial"/>
        </w:rPr>
        <w:t>s</w:t>
      </w:r>
      <w:r w:rsidR="0005359A" w:rsidRPr="002349EB">
        <w:rPr>
          <w:rFonts w:ascii="Arial" w:hAnsi="Arial"/>
        </w:rPr>
        <w:t xml:space="preserve"> and allows for more in-depth interaction by all audience members. </w:t>
      </w:r>
      <w:r w:rsidR="000158B6" w:rsidRPr="002349EB">
        <w:rPr>
          <w:rFonts w:ascii="Arial" w:hAnsi="Arial"/>
        </w:rPr>
        <w:t>As the Commission</w:t>
      </w:r>
      <w:r w:rsidR="002E3730" w:rsidRPr="002349EB">
        <w:rPr>
          <w:rFonts w:ascii="Arial" w:hAnsi="Arial"/>
        </w:rPr>
        <w:t xml:space="preserve"> analyzes the benefits of video described programming</w:t>
      </w:r>
      <w:r w:rsidR="000158B6" w:rsidRPr="002349EB">
        <w:rPr>
          <w:rFonts w:ascii="Arial" w:hAnsi="Arial"/>
        </w:rPr>
        <w:t xml:space="preserve">, ACB recommends the Commission </w:t>
      </w:r>
      <w:r w:rsidR="001239D0" w:rsidRPr="002349EB">
        <w:rPr>
          <w:rFonts w:ascii="Arial" w:hAnsi="Arial"/>
        </w:rPr>
        <w:t xml:space="preserve">use its existing authority to increase the amount of </w:t>
      </w:r>
      <w:r w:rsidR="00F86E85" w:rsidRPr="002349EB">
        <w:rPr>
          <w:rFonts w:ascii="Arial" w:hAnsi="Arial"/>
        </w:rPr>
        <w:t xml:space="preserve">video described </w:t>
      </w:r>
      <w:r w:rsidR="001239D0" w:rsidRPr="002349EB">
        <w:rPr>
          <w:rFonts w:ascii="Arial" w:hAnsi="Arial"/>
        </w:rPr>
        <w:t>programming by an additional 75 percent</w:t>
      </w:r>
      <w:r w:rsidR="00F86E85" w:rsidRPr="002349EB">
        <w:rPr>
          <w:rFonts w:ascii="Arial" w:hAnsi="Arial"/>
        </w:rPr>
        <w:t xml:space="preserve">, with </w:t>
      </w:r>
      <w:r w:rsidRPr="002349EB">
        <w:rPr>
          <w:rFonts w:ascii="Arial" w:hAnsi="Arial"/>
        </w:rPr>
        <w:t xml:space="preserve">continued </w:t>
      </w:r>
      <w:r w:rsidR="00F86E85" w:rsidRPr="002349EB">
        <w:rPr>
          <w:rFonts w:ascii="Arial" w:hAnsi="Arial"/>
        </w:rPr>
        <w:t>consideration given to highly valued content, such as primetime and children’s programming</w:t>
      </w:r>
      <w:r w:rsidR="001239D0" w:rsidRPr="002349EB">
        <w:rPr>
          <w:rFonts w:ascii="Arial" w:hAnsi="Arial"/>
        </w:rPr>
        <w:t>.</w:t>
      </w:r>
      <w:r w:rsidR="0089163E" w:rsidRPr="002349EB">
        <w:rPr>
          <w:rStyle w:val="FootnoteReference"/>
          <w:rFonts w:ascii="Arial" w:hAnsi="Arial"/>
        </w:rPr>
        <w:footnoteReference w:id="2"/>
      </w:r>
    </w:p>
    <w:p w:rsidR="00247C4D" w:rsidRPr="002349EB" w:rsidRDefault="00247C4D" w:rsidP="00F86E85">
      <w:pPr>
        <w:spacing w:line="240" w:lineRule="auto"/>
        <w:rPr>
          <w:rFonts w:ascii="Arial" w:hAnsi="Arial"/>
        </w:rPr>
      </w:pPr>
    </w:p>
    <w:p w:rsidR="00F86E85" w:rsidRPr="002349EB" w:rsidRDefault="009E4770" w:rsidP="00F86E85">
      <w:pPr>
        <w:spacing w:line="240" w:lineRule="auto"/>
        <w:rPr>
          <w:rFonts w:ascii="Arial" w:hAnsi="Arial"/>
        </w:rPr>
      </w:pPr>
      <w:r w:rsidRPr="002349EB">
        <w:rPr>
          <w:rFonts w:ascii="Arial" w:hAnsi="Arial"/>
        </w:rPr>
        <w:t xml:space="preserve">ACB is thankful for the </w:t>
      </w:r>
      <w:r w:rsidR="000247DC" w:rsidRPr="002349EB">
        <w:rPr>
          <w:rFonts w:ascii="Arial" w:hAnsi="Arial"/>
        </w:rPr>
        <w:t>Multichannel Video P</w:t>
      </w:r>
      <w:r w:rsidRPr="002349EB">
        <w:rPr>
          <w:rFonts w:ascii="Arial" w:hAnsi="Arial"/>
        </w:rPr>
        <w:t>ro</w:t>
      </w:r>
      <w:r w:rsidR="000247DC" w:rsidRPr="002349EB">
        <w:rPr>
          <w:rFonts w:ascii="Arial" w:hAnsi="Arial"/>
        </w:rPr>
        <w:t>gramming Distributers (MVPDs) and</w:t>
      </w:r>
      <w:r w:rsidRPr="002349EB">
        <w:rPr>
          <w:rFonts w:ascii="Arial" w:hAnsi="Arial"/>
        </w:rPr>
        <w:t xml:space="preserve"> broadcasters who make available television listings of available </w:t>
      </w:r>
      <w:r w:rsidR="00A139C4" w:rsidRPr="002349EB">
        <w:rPr>
          <w:rFonts w:ascii="Arial" w:hAnsi="Arial"/>
        </w:rPr>
        <w:t xml:space="preserve">video </w:t>
      </w:r>
      <w:r w:rsidRPr="002349EB">
        <w:rPr>
          <w:rFonts w:ascii="Arial" w:hAnsi="Arial"/>
        </w:rPr>
        <w:t xml:space="preserve">described content. Currently, the ACB Audio Description Project </w:t>
      </w:r>
      <w:r w:rsidR="00172D67" w:rsidRPr="002349EB">
        <w:rPr>
          <w:rFonts w:ascii="Arial" w:hAnsi="Arial"/>
        </w:rPr>
        <w:t xml:space="preserve">(ADP) </w:t>
      </w:r>
      <w:r w:rsidRPr="002349EB">
        <w:rPr>
          <w:rFonts w:ascii="Arial" w:hAnsi="Arial"/>
        </w:rPr>
        <w:t>website is one of the few aggregated sources of all available video described content in the U.S. Th</w:t>
      </w:r>
      <w:r w:rsidR="00172D67" w:rsidRPr="002349EB">
        <w:rPr>
          <w:rFonts w:ascii="Arial" w:hAnsi="Arial"/>
        </w:rPr>
        <w:t>e ADP</w:t>
      </w:r>
      <w:r w:rsidRPr="002349EB">
        <w:rPr>
          <w:rFonts w:ascii="Arial" w:hAnsi="Arial"/>
        </w:rPr>
        <w:t xml:space="preserve"> listing is compiled by manually </w:t>
      </w:r>
      <w:r w:rsidR="00172D67" w:rsidRPr="002349EB">
        <w:rPr>
          <w:rFonts w:ascii="Arial" w:hAnsi="Arial"/>
        </w:rPr>
        <w:t xml:space="preserve">verifying all other </w:t>
      </w:r>
      <w:r w:rsidRPr="002349EB">
        <w:rPr>
          <w:rFonts w:ascii="Arial" w:hAnsi="Arial"/>
        </w:rPr>
        <w:t xml:space="preserve">listings of available </w:t>
      </w:r>
      <w:r w:rsidR="00A139C4" w:rsidRPr="002349EB">
        <w:rPr>
          <w:rFonts w:ascii="Arial" w:hAnsi="Arial"/>
        </w:rPr>
        <w:t xml:space="preserve">video </w:t>
      </w:r>
      <w:r w:rsidRPr="002349EB">
        <w:rPr>
          <w:rFonts w:ascii="Arial" w:hAnsi="Arial"/>
        </w:rPr>
        <w:t>described content</w:t>
      </w:r>
      <w:r w:rsidR="00172D67" w:rsidRPr="002349EB">
        <w:rPr>
          <w:rFonts w:ascii="Arial" w:hAnsi="Arial"/>
        </w:rPr>
        <w:t xml:space="preserve">. This is a time intensive process performed </w:t>
      </w:r>
      <w:r w:rsidR="00C67DBB" w:rsidRPr="002349EB">
        <w:rPr>
          <w:rFonts w:ascii="Arial" w:hAnsi="Arial"/>
        </w:rPr>
        <w:t xml:space="preserve">only after </w:t>
      </w:r>
      <w:r w:rsidR="00172D67" w:rsidRPr="002349EB">
        <w:rPr>
          <w:rFonts w:ascii="Arial" w:hAnsi="Arial"/>
        </w:rPr>
        <w:t>video described programming is publicly listed.</w:t>
      </w:r>
      <w:r w:rsidRPr="002349EB">
        <w:rPr>
          <w:rFonts w:ascii="Arial" w:hAnsi="Arial"/>
        </w:rPr>
        <w:t xml:space="preserve"> </w:t>
      </w:r>
      <w:r w:rsidR="00172D67" w:rsidRPr="002349EB">
        <w:rPr>
          <w:rFonts w:ascii="Arial" w:hAnsi="Arial"/>
        </w:rPr>
        <w:t xml:space="preserve">ACB recommends a </w:t>
      </w:r>
      <w:r w:rsidR="00936DA3" w:rsidRPr="002349EB">
        <w:rPr>
          <w:rFonts w:ascii="Arial" w:hAnsi="Arial"/>
        </w:rPr>
        <w:t xml:space="preserve">standardized digital identifier for </w:t>
      </w:r>
      <w:r w:rsidR="00172D67" w:rsidRPr="002349EB">
        <w:rPr>
          <w:rFonts w:ascii="Arial" w:hAnsi="Arial"/>
        </w:rPr>
        <w:t xml:space="preserve">content producers to designate video described programming. </w:t>
      </w:r>
      <w:r w:rsidR="000247DC" w:rsidRPr="002349EB">
        <w:rPr>
          <w:rFonts w:ascii="Arial" w:hAnsi="Arial"/>
        </w:rPr>
        <w:t xml:space="preserve">With content labeled by the producer, </w:t>
      </w:r>
      <w:r w:rsidR="00172D67" w:rsidRPr="002349EB">
        <w:rPr>
          <w:rFonts w:ascii="Arial" w:hAnsi="Arial"/>
        </w:rPr>
        <w:t xml:space="preserve">broadcasters and </w:t>
      </w:r>
      <w:r w:rsidR="000247DC" w:rsidRPr="002349EB">
        <w:rPr>
          <w:rFonts w:ascii="Arial" w:hAnsi="Arial"/>
        </w:rPr>
        <w:t>MVPDs could accurately share what programming is video described via their website and with television programming aggregators in a timely fashion.</w:t>
      </w:r>
    </w:p>
    <w:p w:rsidR="00F86E85" w:rsidRPr="002349EB" w:rsidRDefault="00F86E85" w:rsidP="00F86E85">
      <w:pPr>
        <w:spacing w:line="240" w:lineRule="auto"/>
        <w:rPr>
          <w:rFonts w:ascii="Arial" w:hAnsi="Arial"/>
        </w:rPr>
      </w:pPr>
    </w:p>
    <w:p w:rsidR="00362776" w:rsidRPr="002349EB" w:rsidRDefault="00362776" w:rsidP="00F86E85">
      <w:pPr>
        <w:spacing w:line="240" w:lineRule="auto"/>
        <w:rPr>
          <w:rFonts w:ascii="Arial" w:hAnsi="Arial"/>
        </w:rPr>
      </w:pPr>
      <w:r w:rsidRPr="002349EB">
        <w:rPr>
          <w:rFonts w:ascii="Arial" w:hAnsi="Arial"/>
        </w:rPr>
        <w:t xml:space="preserve">In our original comments filed on April 1, ACB inadvertently stated that Hulu “has begun to provide live broadcast programming with audio description.” </w:t>
      </w:r>
      <w:r w:rsidR="009E4770" w:rsidRPr="002349EB">
        <w:rPr>
          <w:rFonts w:ascii="Arial" w:hAnsi="Arial"/>
        </w:rPr>
        <w:t xml:space="preserve">Through collaboration with </w:t>
      </w:r>
      <w:r w:rsidRPr="002349EB">
        <w:rPr>
          <w:rFonts w:ascii="Arial" w:hAnsi="Arial"/>
        </w:rPr>
        <w:t xml:space="preserve">ACB, </w:t>
      </w:r>
      <w:r w:rsidR="009E4770" w:rsidRPr="002349EB">
        <w:rPr>
          <w:rFonts w:ascii="Arial" w:hAnsi="Arial"/>
        </w:rPr>
        <w:t xml:space="preserve">Hulu </w:t>
      </w:r>
      <w:r w:rsidRPr="002349EB">
        <w:rPr>
          <w:rFonts w:ascii="Arial" w:hAnsi="Arial"/>
        </w:rPr>
        <w:t>has begun to provide certain on-demand programming with audio description, including some of their most popular original content. Hulu is not currently providing audio description for live-broadcast programming</w:t>
      </w:r>
      <w:r w:rsidR="00E15654" w:rsidRPr="002349EB">
        <w:rPr>
          <w:rFonts w:ascii="Arial" w:hAnsi="Arial"/>
        </w:rPr>
        <w:t xml:space="preserve">. Hulu, Netflix and Amazon Prime are </w:t>
      </w:r>
      <w:r w:rsidR="002C4F71" w:rsidRPr="002349EB">
        <w:rPr>
          <w:rFonts w:ascii="Arial" w:hAnsi="Arial"/>
        </w:rPr>
        <w:t xml:space="preserve">industry leaders offering video described programming over internet streaming services. As </w:t>
      </w:r>
      <w:r w:rsidR="00657836" w:rsidRPr="002349EB">
        <w:rPr>
          <w:rFonts w:ascii="Arial" w:hAnsi="Arial"/>
        </w:rPr>
        <w:t xml:space="preserve">growing numbers of </w:t>
      </w:r>
      <w:r w:rsidR="002C4F71" w:rsidRPr="002349EB">
        <w:rPr>
          <w:rFonts w:ascii="Arial" w:hAnsi="Arial"/>
        </w:rPr>
        <w:t>Americans seek video programming over the internet, it will become more imperative that streaming video providers</w:t>
      </w:r>
      <w:r w:rsidR="009E4770" w:rsidRPr="002349EB">
        <w:rPr>
          <w:rFonts w:ascii="Arial" w:hAnsi="Arial"/>
        </w:rPr>
        <w:t>, broadcasters and covered entities</w:t>
      </w:r>
      <w:r w:rsidR="002C4F71" w:rsidRPr="002349EB">
        <w:rPr>
          <w:rFonts w:ascii="Arial" w:hAnsi="Arial"/>
        </w:rPr>
        <w:t xml:space="preserve"> pass through audio description, as well as create </w:t>
      </w:r>
      <w:r w:rsidR="009E4770" w:rsidRPr="002349EB">
        <w:rPr>
          <w:rFonts w:ascii="Arial" w:hAnsi="Arial"/>
        </w:rPr>
        <w:t xml:space="preserve">audio description </w:t>
      </w:r>
      <w:r w:rsidR="002C4F71" w:rsidRPr="002349EB">
        <w:rPr>
          <w:rFonts w:ascii="Arial" w:hAnsi="Arial"/>
        </w:rPr>
        <w:t>for original programming</w:t>
      </w:r>
      <w:r w:rsidR="009E4770" w:rsidRPr="002349EB">
        <w:rPr>
          <w:rFonts w:ascii="Arial" w:hAnsi="Arial"/>
        </w:rPr>
        <w:t xml:space="preserve">, </w:t>
      </w:r>
      <w:r w:rsidR="00657836" w:rsidRPr="002349EB">
        <w:rPr>
          <w:rFonts w:ascii="Arial" w:hAnsi="Arial"/>
        </w:rPr>
        <w:t xml:space="preserve">for video described content to be consumed online, </w:t>
      </w:r>
      <w:r w:rsidR="009E4770" w:rsidRPr="002349EB">
        <w:rPr>
          <w:rFonts w:ascii="Arial" w:hAnsi="Arial"/>
        </w:rPr>
        <w:t>so that people who are blind are not left behind</w:t>
      </w:r>
      <w:r w:rsidR="002C4F71" w:rsidRPr="002349EB">
        <w:rPr>
          <w:rFonts w:ascii="Arial" w:hAnsi="Arial"/>
        </w:rPr>
        <w:t>.</w:t>
      </w:r>
    </w:p>
    <w:p w:rsidR="00362776" w:rsidRPr="002349EB" w:rsidRDefault="00362776" w:rsidP="00F86E85">
      <w:pPr>
        <w:spacing w:line="240" w:lineRule="auto"/>
        <w:rPr>
          <w:rFonts w:ascii="Arial" w:hAnsi="Arial"/>
        </w:rPr>
      </w:pPr>
    </w:p>
    <w:p w:rsidR="006F561E" w:rsidRPr="002349EB" w:rsidRDefault="0000755B" w:rsidP="00F86E85">
      <w:pPr>
        <w:pStyle w:val="NoSpacing"/>
        <w:rPr>
          <w:rStyle w:val="None"/>
          <w:rFonts w:ascii="Arial" w:hAnsi="Arial"/>
          <w:color w:val="auto"/>
          <w:szCs w:val="24"/>
        </w:rPr>
      </w:pPr>
      <w:r w:rsidRPr="002349EB">
        <w:rPr>
          <w:rStyle w:val="None"/>
          <w:rFonts w:ascii="Arial" w:eastAsia="Arial" w:hAnsi="Arial" w:cs="Arial"/>
          <w:color w:val="auto"/>
          <w:szCs w:val="24"/>
        </w:rPr>
        <w:t xml:space="preserve">ACB thanks the Commission for the opportunity to weigh in on this important issue. </w:t>
      </w:r>
      <w:r w:rsidRPr="002349EB">
        <w:rPr>
          <w:rStyle w:val="None"/>
          <w:rFonts w:ascii="Arial" w:hAnsi="Arial"/>
          <w:color w:val="auto"/>
          <w:szCs w:val="24"/>
        </w:rPr>
        <w:t xml:space="preserve">If you have questions pertaining to these </w:t>
      </w:r>
      <w:r w:rsidR="00B00A19" w:rsidRPr="002349EB">
        <w:rPr>
          <w:rStyle w:val="None"/>
          <w:rFonts w:ascii="Arial" w:hAnsi="Arial"/>
          <w:color w:val="auto"/>
          <w:szCs w:val="24"/>
        </w:rPr>
        <w:t xml:space="preserve">reply </w:t>
      </w:r>
      <w:r w:rsidRPr="002349EB">
        <w:rPr>
          <w:rStyle w:val="None"/>
          <w:rFonts w:ascii="Arial" w:hAnsi="Arial"/>
          <w:color w:val="auto"/>
          <w:szCs w:val="24"/>
        </w:rPr>
        <w:t xml:space="preserve">comments, or need further information, please do not hesitate to contact ACB. </w:t>
      </w:r>
    </w:p>
    <w:p w:rsidR="0000755B" w:rsidRPr="002349EB" w:rsidRDefault="0000755B" w:rsidP="00F86E85">
      <w:pPr>
        <w:pStyle w:val="NoSpacing"/>
        <w:rPr>
          <w:rStyle w:val="None"/>
          <w:rFonts w:ascii="Arial" w:eastAsia="Arial" w:hAnsi="Arial" w:cs="Arial"/>
          <w:color w:val="auto"/>
        </w:rPr>
      </w:pPr>
    </w:p>
    <w:p w:rsidR="006F561E" w:rsidRPr="002349EB" w:rsidRDefault="006F561E" w:rsidP="00F86E85">
      <w:pPr>
        <w:pStyle w:val="NoSpacing"/>
        <w:rPr>
          <w:rStyle w:val="None"/>
          <w:rFonts w:ascii="Arial" w:eastAsia="Arial" w:hAnsi="Arial" w:cs="Arial"/>
          <w:color w:val="auto"/>
          <w:szCs w:val="24"/>
        </w:rPr>
      </w:pPr>
      <w:r w:rsidRPr="002349EB">
        <w:rPr>
          <w:rStyle w:val="None"/>
          <w:rFonts w:ascii="Arial" w:hAnsi="Arial"/>
          <w:color w:val="auto"/>
          <w:szCs w:val="24"/>
        </w:rPr>
        <w:t>Sincerely,</w:t>
      </w:r>
    </w:p>
    <w:p w:rsidR="006F561E" w:rsidRPr="002349EB" w:rsidRDefault="006F561E" w:rsidP="00F86E85">
      <w:pPr>
        <w:pStyle w:val="NoSpacing"/>
        <w:rPr>
          <w:rStyle w:val="None"/>
          <w:rFonts w:ascii="Arial" w:eastAsia="Arial" w:hAnsi="Arial" w:cs="Arial"/>
          <w:color w:val="auto"/>
          <w:szCs w:val="24"/>
        </w:rPr>
      </w:pPr>
    </w:p>
    <w:p w:rsidR="006F561E" w:rsidRDefault="006F561E" w:rsidP="00F86E85">
      <w:pPr>
        <w:pStyle w:val="NoSpacing"/>
        <w:rPr>
          <w:rStyle w:val="None"/>
          <w:rFonts w:ascii="Arial" w:eastAsia="Arial" w:hAnsi="Arial" w:cs="Arial"/>
          <w:color w:val="auto"/>
          <w:szCs w:val="24"/>
        </w:rPr>
      </w:pPr>
    </w:p>
    <w:p w:rsidR="002349EB" w:rsidRPr="002349EB" w:rsidRDefault="002349EB" w:rsidP="00F86E85">
      <w:pPr>
        <w:pStyle w:val="NoSpacing"/>
        <w:rPr>
          <w:rStyle w:val="None"/>
          <w:rFonts w:ascii="Arial" w:eastAsia="Arial" w:hAnsi="Arial" w:cs="Arial"/>
          <w:color w:val="auto"/>
          <w:szCs w:val="24"/>
        </w:rPr>
      </w:pPr>
    </w:p>
    <w:p w:rsidR="006F561E" w:rsidRPr="002349EB" w:rsidRDefault="006F561E" w:rsidP="00F86E85">
      <w:pPr>
        <w:pStyle w:val="NoSpacing"/>
        <w:rPr>
          <w:rStyle w:val="None"/>
          <w:rFonts w:ascii="Arial" w:eastAsia="Arial" w:hAnsi="Arial" w:cs="Arial"/>
          <w:color w:val="auto"/>
          <w:szCs w:val="24"/>
        </w:rPr>
      </w:pPr>
      <w:r w:rsidRPr="002349EB">
        <w:rPr>
          <w:rStyle w:val="None"/>
          <w:rFonts w:ascii="Arial" w:hAnsi="Arial"/>
          <w:color w:val="auto"/>
          <w:szCs w:val="24"/>
        </w:rPr>
        <w:t xml:space="preserve">Clark Rachfal </w:t>
      </w:r>
    </w:p>
    <w:p w:rsidR="006F561E" w:rsidRPr="002349EB" w:rsidRDefault="006F561E" w:rsidP="00F86E85">
      <w:pPr>
        <w:pStyle w:val="NoSpacing"/>
        <w:rPr>
          <w:rStyle w:val="None"/>
          <w:rFonts w:ascii="Arial" w:eastAsia="Arial" w:hAnsi="Arial" w:cs="Arial"/>
          <w:color w:val="auto"/>
          <w:szCs w:val="24"/>
        </w:rPr>
      </w:pPr>
      <w:r w:rsidRPr="002349EB">
        <w:rPr>
          <w:rStyle w:val="None"/>
          <w:rFonts w:ascii="Arial" w:hAnsi="Arial"/>
          <w:color w:val="auto"/>
          <w:szCs w:val="24"/>
        </w:rPr>
        <w:t>Director of Advocacy and Governmental Affairs</w:t>
      </w:r>
    </w:p>
    <w:p w:rsidR="00410385" w:rsidRPr="002349EB" w:rsidRDefault="006F561E" w:rsidP="00F86E85">
      <w:pPr>
        <w:pStyle w:val="NoSpacing"/>
        <w:rPr>
          <w:rFonts w:ascii="Arial" w:hAnsi="Arial"/>
          <w:color w:val="auto"/>
        </w:rPr>
      </w:pPr>
      <w:r w:rsidRPr="002349EB">
        <w:rPr>
          <w:rStyle w:val="None"/>
          <w:rFonts w:ascii="Arial" w:hAnsi="Arial"/>
          <w:color w:val="auto"/>
          <w:szCs w:val="24"/>
        </w:rPr>
        <w:t>American Council of the Blind</w:t>
      </w:r>
    </w:p>
    <w:sectPr w:rsidR="00410385" w:rsidRPr="002349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588" w:rsidRDefault="00542588" w:rsidP="0089163E">
      <w:pPr>
        <w:spacing w:after="0" w:line="240" w:lineRule="auto"/>
      </w:pPr>
      <w:r>
        <w:separator/>
      </w:r>
    </w:p>
  </w:endnote>
  <w:endnote w:type="continuationSeparator" w:id="0">
    <w:p w:rsidR="00542588" w:rsidRDefault="00542588" w:rsidP="00891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588" w:rsidRDefault="00542588" w:rsidP="0089163E">
      <w:pPr>
        <w:spacing w:after="0" w:line="240" w:lineRule="auto"/>
      </w:pPr>
      <w:r>
        <w:separator/>
      </w:r>
    </w:p>
  </w:footnote>
  <w:footnote w:type="continuationSeparator" w:id="0">
    <w:p w:rsidR="00542588" w:rsidRDefault="00542588" w:rsidP="0089163E">
      <w:pPr>
        <w:spacing w:after="0" w:line="240" w:lineRule="auto"/>
      </w:pPr>
      <w:r>
        <w:continuationSeparator/>
      </w:r>
    </w:p>
  </w:footnote>
  <w:footnote w:id="1">
    <w:p w:rsidR="0089163E" w:rsidRDefault="0089163E">
      <w:pPr>
        <w:pStyle w:val="FootnoteText"/>
      </w:pPr>
      <w:r>
        <w:rPr>
          <w:rStyle w:val="FootnoteReference"/>
        </w:rPr>
        <w:footnoteRef/>
      </w:r>
      <w:r>
        <w:t xml:space="preserve"> 47 U.S.C. </w:t>
      </w:r>
      <w:r w:rsidR="002349EB">
        <w:t>Section 613 (f)(4)(C)(iv).</w:t>
      </w:r>
    </w:p>
  </w:footnote>
  <w:footnote w:id="2">
    <w:p w:rsidR="0089163E" w:rsidRDefault="0089163E">
      <w:pPr>
        <w:pStyle w:val="FootnoteText"/>
      </w:pPr>
      <w:r>
        <w:rPr>
          <w:rStyle w:val="FootnoteReference"/>
        </w:rPr>
        <w:footnoteRef/>
      </w:r>
      <w:r>
        <w:t xml:space="preserve"> 47 U.S.C. Section 613 (f)(4)(B).</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860"/>
    <w:rsid w:val="0000755B"/>
    <w:rsid w:val="000158B6"/>
    <w:rsid w:val="000247DC"/>
    <w:rsid w:val="00037FFE"/>
    <w:rsid w:val="0004539A"/>
    <w:rsid w:val="00051E75"/>
    <w:rsid w:val="0005359A"/>
    <w:rsid w:val="000E193A"/>
    <w:rsid w:val="001239D0"/>
    <w:rsid w:val="00172D67"/>
    <w:rsid w:val="00176C08"/>
    <w:rsid w:val="0018102C"/>
    <w:rsid w:val="002349EB"/>
    <w:rsid w:val="00247C4D"/>
    <w:rsid w:val="00284B5E"/>
    <w:rsid w:val="002C4F71"/>
    <w:rsid w:val="002C5878"/>
    <w:rsid w:val="002C75AA"/>
    <w:rsid w:val="002E3730"/>
    <w:rsid w:val="00310BBA"/>
    <w:rsid w:val="00334A05"/>
    <w:rsid w:val="00362776"/>
    <w:rsid w:val="003D3B1C"/>
    <w:rsid w:val="00410385"/>
    <w:rsid w:val="004154B2"/>
    <w:rsid w:val="005267B6"/>
    <w:rsid w:val="00542588"/>
    <w:rsid w:val="005B0C6F"/>
    <w:rsid w:val="00657836"/>
    <w:rsid w:val="006966B7"/>
    <w:rsid w:val="006A308D"/>
    <w:rsid w:val="006F561E"/>
    <w:rsid w:val="0070025A"/>
    <w:rsid w:val="0080420A"/>
    <w:rsid w:val="00826797"/>
    <w:rsid w:val="0089163E"/>
    <w:rsid w:val="00936DA3"/>
    <w:rsid w:val="009A7F18"/>
    <w:rsid w:val="009D0860"/>
    <w:rsid w:val="009D0F47"/>
    <w:rsid w:val="009E4770"/>
    <w:rsid w:val="00A139C4"/>
    <w:rsid w:val="00A259A6"/>
    <w:rsid w:val="00A32D44"/>
    <w:rsid w:val="00A37FC7"/>
    <w:rsid w:val="00A9404A"/>
    <w:rsid w:val="00B00A19"/>
    <w:rsid w:val="00B15314"/>
    <w:rsid w:val="00B16825"/>
    <w:rsid w:val="00B34D91"/>
    <w:rsid w:val="00B5000E"/>
    <w:rsid w:val="00C30EEC"/>
    <w:rsid w:val="00C61C84"/>
    <w:rsid w:val="00C67DBB"/>
    <w:rsid w:val="00CF3FEC"/>
    <w:rsid w:val="00D03DE7"/>
    <w:rsid w:val="00D34FC9"/>
    <w:rsid w:val="00D8598C"/>
    <w:rsid w:val="00DB1B3C"/>
    <w:rsid w:val="00E15654"/>
    <w:rsid w:val="00F674D5"/>
    <w:rsid w:val="00F86E85"/>
    <w:rsid w:val="00F96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1FCD1"/>
  <w15:chartTrackingRefBased/>
  <w15:docId w15:val="{65BAEA35-F05A-42F2-BE24-5C83D282C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1E75"/>
    <w:rPr>
      <w:color w:val="0563C1" w:themeColor="hyperlink"/>
      <w:u w:val="single"/>
    </w:rPr>
  </w:style>
  <w:style w:type="character" w:styleId="UnresolvedMention">
    <w:name w:val="Unresolved Mention"/>
    <w:basedOn w:val="DefaultParagraphFont"/>
    <w:uiPriority w:val="99"/>
    <w:semiHidden/>
    <w:unhideWhenUsed/>
    <w:rsid w:val="00051E75"/>
    <w:rPr>
      <w:color w:val="605E5C"/>
      <w:shd w:val="clear" w:color="auto" w:fill="E1DFDD"/>
    </w:rPr>
  </w:style>
  <w:style w:type="paragraph" w:styleId="NoSpacing">
    <w:name w:val="No Spacing"/>
    <w:rsid w:val="006F561E"/>
    <w:pPr>
      <w:pBdr>
        <w:top w:val="nil"/>
        <w:left w:val="nil"/>
        <w:bottom w:val="nil"/>
        <w:right w:val="nil"/>
        <w:between w:val="nil"/>
        <w:bar w:val="nil"/>
      </w:pBdr>
      <w:spacing w:after="0" w:line="240" w:lineRule="auto"/>
    </w:pPr>
    <w:rPr>
      <w:rFonts w:ascii="Calibri" w:eastAsia="Calibri" w:hAnsi="Calibri" w:cs="Calibri"/>
      <w:color w:val="000000"/>
      <w:u w:color="000000"/>
      <w:bdr w:val="nil"/>
    </w:rPr>
  </w:style>
  <w:style w:type="character" w:customStyle="1" w:styleId="None">
    <w:name w:val="None"/>
    <w:rsid w:val="006F561E"/>
  </w:style>
  <w:style w:type="character" w:customStyle="1" w:styleId="chapeau">
    <w:name w:val="chapeau"/>
    <w:basedOn w:val="DefaultParagraphFont"/>
    <w:rsid w:val="0080420A"/>
  </w:style>
  <w:style w:type="paragraph" w:styleId="FootnoteText">
    <w:name w:val="footnote text"/>
    <w:basedOn w:val="Normal"/>
    <w:link w:val="FootnoteTextChar"/>
    <w:uiPriority w:val="99"/>
    <w:semiHidden/>
    <w:unhideWhenUsed/>
    <w:rsid w:val="008916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163E"/>
    <w:rPr>
      <w:sz w:val="20"/>
      <w:szCs w:val="20"/>
    </w:rPr>
  </w:style>
  <w:style w:type="character" w:styleId="FootnoteReference">
    <w:name w:val="footnote reference"/>
    <w:basedOn w:val="DefaultParagraphFont"/>
    <w:uiPriority w:val="99"/>
    <w:semiHidden/>
    <w:unhideWhenUsed/>
    <w:rsid w:val="008916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68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10573</TotalTime>
  <Pages>2</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 Rachfal</dc:creator>
  <cp:keywords/>
  <dc:description/>
  <cp:lastModifiedBy>Clark Rachfal</cp:lastModifiedBy>
  <cp:revision>8</cp:revision>
  <dcterms:created xsi:type="dcterms:W3CDTF">2019-04-16T20:42:00Z</dcterms:created>
  <dcterms:modified xsi:type="dcterms:W3CDTF">2019-05-01T18:47:00Z</dcterms:modified>
</cp:coreProperties>
</file>