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B7A6F" w14:textId="77777777" w:rsidR="00CB6D42" w:rsidRPr="008F7C81" w:rsidRDefault="00CB6D42" w:rsidP="00CB6D42">
      <w:pPr>
        <w:jc w:val="center"/>
        <w:rPr>
          <w:rFonts w:ascii="Arial" w:eastAsia="Times New Roman" w:hAnsi="Arial" w:cs="Times New Roman"/>
        </w:rPr>
      </w:pPr>
    </w:p>
    <w:p w14:paraId="5714E757" w14:textId="7E1D13DD" w:rsidR="00CB6D42" w:rsidRPr="008F7C81" w:rsidRDefault="0080000C" w:rsidP="00CB6D42">
      <w:pPr>
        <w:jc w:val="center"/>
        <w:rPr>
          <w:rFonts w:ascii="Arial" w:eastAsia="Times New Roman" w:hAnsi="Arial" w:cs="Times New Roman"/>
        </w:rPr>
      </w:pPr>
      <w:r w:rsidRPr="008F7C81">
        <w:rPr>
          <w:rFonts w:ascii="Arial" w:eastAsia="Times New Roman" w:hAnsi="Arial" w:cs="Times New Roman"/>
        </w:rPr>
        <w:t>May 22</w:t>
      </w:r>
      <w:r w:rsidR="00CB6D42" w:rsidRPr="008F7C81">
        <w:rPr>
          <w:rFonts w:ascii="Arial" w:eastAsia="Times New Roman" w:hAnsi="Arial" w:cs="Times New Roman"/>
        </w:rPr>
        <w:t>, 2019</w:t>
      </w:r>
    </w:p>
    <w:p w14:paraId="57FBC78D" w14:textId="77777777" w:rsidR="00CB6D42" w:rsidRPr="008F7C81" w:rsidRDefault="00CB6D42" w:rsidP="00CB6D42">
      <w:pPr>
        <w:jc w:val="center"/>
        <w:rPr>
          <w:rFonts w:ascii="Arial" w:eastAsia="Times New Roman" w:hAnsi="Arial" w:cs="Times New Roman"/>
        </w:rPr>
      </w:pPr>
    </w:p>
    <w:p w14:paraId="712348FB" w14:textId="77777777" w:rsidR="00CB6D42" w:rsidRPr="008F7C81" w:rsidRDefault="00CB6D42" w:rsidP="00CB6D42">
      <w:pPr>
        <w:rPr>
          <w:rFonts w:ascii="Arial" w:eastAsia="Times New Roman" w:hAnsi="Arial" w:cs="Times New Roman"/>
          <w:sz w:val="20"/>
          <w:szCs w:val="20"/>
        </w:rPr>
      </w:pPr>
      <w:r w:rsidRPr="008F7C81">
        <w:rPr>
          <w:rFonts w:ascii="Arial" w:eastAsia="Times New Roman" w:hAnsi="Arial" w:cs="Times New Roman"/>
          <w:sz w:val="20"/>
          <w:szCs w:val="20"/>
        </w:rPr>
        <w:t xml:space="preserve">VIA ELECTRONIC FILING </w:t>
      </w:r>
    </w:p>
    <w:p w14:paraId="71B3C070" w14:textId="77777777" w:rsidR="00CB6D42" w:rsidRPr="008F7C81" w:rsidRDefault="00CB6D42" w:rsidP="00CB6D42">
      <w:pPr>
        <w:jc w:val="center"/>
        <w:rPr>
          <w:rFonts w:ascii="Arial" w:eastAsia="Times New Roman" w:hAnsi="Arial" w:cs="Times New Roman"/>
          <w:sz w:val="20"/>
          <w:szCs w:val="20"/>
        </w:rPr>
      </w:pPr>
    </w:p>
    <w:p w14:paraId="17EA8140" w14:textId="77777777" w:rsidR="00CB6D42" w:rsidRPr="008F7C81" w:rsidRDefault="00CB6D42" w:rsidP="00CB6D42">
      <w:pPr>
        <w:jc w:val="center"/>
        <w:rPr>
          <w:rFonts w:ascii="Arial" w:eastAsia="Times New Roman" w:hAnsi="Arial" w:cs="Times New Roman"/>
          <w:sz w:val="20"/>
          <w:szCs w:val="20"/>
        </w:rPr>
      </w:pPr>
    </w:p>
    <w:p w14:paraId="1A6D31C5" w14:textId="77777777" w:rsidR="00CB6D42" w:rsidRPr="008F7C81" w:rsidRDefault="00CB6D42" w:rsidP="00CB6D42">
      <w:pPr>
        <w:rPr>
          <w:rFonts w:ascii="Arial" w:eastAsia="Times New Roman" w:hAnsi="Arial" w:cs="Times New Roman"/>
          <w:sz w:val="20"/>
          <w:szCs w:val="20"/>
        </w:rPr>
      </w:pPr>
      <w:r w:rsidRPr="008F7C81">
        <w:rPr>
          <w:rFonts w:ascii="Arial" w:eastAsia="Times New Roman" w:hAnsi="Arial" w:cs="Times New Roman"/>
          <w:sz w:val="20"/>
          <w:szCs w:val="20"/>
        </w:rPr>
        <w:t xml:space="preserve">Ms. Marlene H. Dortch, </w:t>
      </w:r>
    </w:p>
    <w:p w14:paraId="6A1B0AE9" w14:textId="77777777" w:rsidR="00CB6D42" w:rsidRPr="008F7C81" w:rsidRDefault="00CB6D42" w:rsidP="00CB6D42">
      <w:pPr>
        <w:rPr>
          <w:rFonts w:ascii="Arial" w:eastAsia="Times New Roman" w:hAnsi="Arial" w:cs="Times New Roman"/>
          <w:sz w:val="20"/>
          <w:szCs w:val="20"/>
        </w:rPr>
      </w:pPr>
      <w:r w:rsidRPr="008F7C81">
        <w:rPr>
          <w:rFonts w:ascii="Arial" w:eastAsia="Times New Roman" w:hAnsi="Arial" w:cs="Times New Roman"/>
          <w:sz w:val="20"/>
          <w:szCs w:val="20"/>
        </w:rPr>
        <w:t xml:space="preserve">Secretary </w:t>
      </w:r>
    </w:p>
    <w:p w14:paraId="2A7E7D43" w14:textId="77777777" w:rsidR="00CB6D42" w:rsidRPr="008F7C81" w:rsidRDefault="00CB6D42" w:rsidP="00CB6D42">
      <w:pPr>
        <w:rPr>
          <w:rFonts w:ascii="Arial" w:eastAsia="Times New Roman" w:hAnsi="Arial" w:cs="Times New Roman"/>
          <w:sz w:val="20"/>
          <w:szCs w:val="20"/>
        </w:rPr>
      </w:pPr>
      <w:r w:rsidRPr="008F7C81">
        <w:rPr>
          <w:rFonts w:ascii="Arial" w:eastAsia="Times New Roman" w:hAnsi="Arial" w:cs="Times New Roman"/>
          <w:sz w:val="20"/>
          <w:szCs w:val="20"/>
        </w:rPr>
        <w:t xml:space="preserve">Federal Communications Commission </w:t>
      </w:r>
    </w:p>
    <w:p w14:paraId="51984D67" w14:textId="77777777" w:rsidR="00CB6D42" w:rsidRPr="008F7C81" w:rsidRDefault="00CB6D42" w:rsidP="00CB6D42">
      <w:pPr>
        <w:rPr>
          <w:rFonts w:ascii="Arial" w:eastAsia="Times New Roman" w:hAnsi="Arial" w:cs="Times New Roman"/>
          <w:sz w:val="20"/>
          <w:szCs w:val="20"/>
        </w:rPr>
      </w:pPr>
      <w:r w:rsidRPr="008F7C81">
        <w:rPr>
          <w:rFonts w:ascii="Arial" w:eastAsia="Times New Roman" w:hAnsi="Arial" w:cs="Times New Roman"/>
          <w:sz w:val="20"/>
          <w:szCs w:val="20"/>
        </w:rPr>
        <w:t xml:space="preserve">445 12th Street, SW </w:t>
      </w:r>
    </w:p>
    <w:p w14:paraId="5ADE4EFE" w14:textId="77777777" w:rsidR="00CB6D42" w:rsidRPr="008F7C81" w:rsidRDefault="00CB6D42" w:rsidP="00CB6D42">
      <w:pPr>
        <w:rPr>
          <w:rFonts w:ascii="Arial" w:eastAsia="Times New Roman" w:hAnsi="Arial" w:cs="Times New Roman"/>
          <w:sz w:val="20"/>
          <w:szCs w:val="20"/>
        </w:rPr>
      </w:pPr>
      <w:r w:rsidRPr="008F7C81">
        <w:rPr>
          <w:rFonts w:ascii="Arial" w:eastAsia="Times New Roman" w:hAnsi="Arial" w:cs="Times New Roman"/>
          <w:sz w:val="20"/>
          <w:szCs w:val="20"/>
        </w:rPr>
        <w:t>Washington, DC 20554</w:t>
      </w:r>
    </w:p>
    <w:p w14:paraId="1D8959AA" w14:textId="77777777" w:rsidR="00CB6D42" w:rsidRPr="008F7C81" w:rsidRDefault="00CB6D42" w:rsidP="00CB6D42">
      <w:pPr>
        <w:rPr>
          <w:rFonts w:ascii="Arial" w:hAnsi="Arial"/>
          <w:sz w:val="20"/>
          <w:szCs w:val="20"/>
        </w:rPr>
      </w:pPr>
    </w:p>
    <w:p w14:paraId="39419E1C" w14:textId="77777777" w:rsidR="00CB6D42" w:rsidRPr="008F7C81" w:rsidRDefault="00CB6D42" w:rsidP="00CB6D42">
      <w:pPr>
        <w:rPr>
          <w:rFonts w:ascii="Arial" w:hAnsi="Arial"/>
          <w:sz w:val="20"/>
          <w:szCs w:val="20"/>
        </w:rPr>
      </w:pPr>
    </w:p>
    <w:p w14:paraId="136A7692" w14:textId="77777777" w:rsidR="008F7C81" w:rsidRPr="008F7C81" w:rsidRDefault="008F7C81" w:rsidP="008F7C81">
      <w:pPr>
        <w:widowControl/>
        <w:autoSpaceDE/>
        <w:autoSpaceDN/>
        <w:rPr>
          <w:rFonts w:ascii="Arial" w:eastAsia="Times New Roman" w:hAnsi="Arial" w:cs="Times New Roman"/>
          <w:sz w:val="20"/>
          <w:szCs w:val="20"/>
          <w:lang w:bidi="ar-SA"/>
        </w:rPr>
      </w:pPr>
      <w:r w:rsidRPr="008F7C81">
        <w:rPr>
          <w:rFonts w:ascii="Arial" w:eastAsia="Times New Roman" w:hAnsi="Arial" w:cs="Times New Roman"/>
          <w:sz w:val="20"/>
          <w:szCs w:val="20"/>
          <w:lang w:bidi="ar-SA"/>
        </w:rPr>
        <w:t>Re: Bridging the Digital Divide for Low Income-Consumers, WC Docket No. 17-287; Lifeline and Link Up Reform and Modernization, WC Docket No. 11-42; Telecommunications Carriers Eligible for Universal Service Support, WC Docket No. 09-197</w:t>
      </w:r>
    </w:p>
    <w:p w14:paraId="7DBE3CB2" w14:textId="77777777" w:rsidR="008F7C81" w:rsidRDefault="008F7C81" w:rsidP="008F7C81">
      <w:pPr>
        <w:widowControl/>
        <w:autoSpaceDE/>
        <w:autoSpaceDN/>
        <w:rPr>
          <w:rFonts w:ascii="Times" w:eastAsia="Times New Roman" w:hAnsi="Times" w:cs="Times New Roman"/>
          <w:sz w:val="20"/>
          <w:szCs w:val="20"/>
          <w:lang w:bidi="ar-SA"/>
        </w:rPr>
      </w:pPr>
    </w:p>
    <w:p w14:paraId="255B595D" w14:textId="76538911" w:rsidR="00CB6D42" w:rsidRPr="008F7C81" w:rsidRDefault="00CB6D42" w:rsidP="008F7C81">
      <w:pPr>
        <w:widowControl/>
        <w:autoSpaceDE/>
        <w:autoSpaceDN/>
        <w:rPr>
          <w:rFonts w:ascii="Times" w:eastAsia="Times New Roman" w:hAnsi="Times" w:cs="Times New Roman"/>
          <w:b/>
          <w:sz w:val="20"/>
          <w:szCs w:val="20"/>
          <w:lang w:bidi="ar-SA"/>
        </w:rPr>
      </w:pPr>
      <w:r w:rsidRPr="008F7C81">
        <w:rPr>
          <w:rFonts w:ascii="Arial" w:eastAsia="Times New Roman" w:hAnsi="Arial" w:cs="Times New Roman"/>
          <w:b/>
          <w:sz w:val="20"/>
          <w:szCs w:val="20"/>
        </w:rPr>
        <w:t>Notice of In Person Ex Parte Communication</w:t>
      </w:r>
    </w:p>
    <w:p w14:paraId="3C7FF94F" w14:textId="77777777" w:rsidR="00CB6D42" w:rsidRPr="008F7C81" w:rsidRDefault="00CB6D42" w:rsidP="00CB6D42">
      <w:pPr>
        <w:rPr>
          <w:rFonts w:ascii="Arial" w:eastAsia="Times New Roman" w:hAnsi="Arial" w:cs="Times New Roman"/>
          <w:sz w:val="20"/>
          <w:szCs w:val="20"/>
        </w:rPr>
      </w:pPr>
    </w:p>
    <w:p w14:paraId="616EBAF2" w14:textId="77777777" w:rsidR="00CB6D42" w:rsidRPr="008F7C81" w:rsidRDefault="00CB6D42" w:rsidP="00CB6D42">
      <w:pPr>
        <w:rPr>
          <w:rFonts w:ascii="Arial" w:hAnsi="Arial" w:cs="Times New Roman"/>
          <w:sz w:val="20"/>
          <w:szCs w:val="20"/>
        </w:rPr>
      </w:pPr>
      <w:r w:rsidRPr="008F7C81">
        <w:rPr>
          <w:rFonts w:ascii="Arial" w:hAnsi="Arial" w:cs="Times New Roman"/>
          <w:sz w:val="20"/>
          <w:szCs w:val="20"/>
        </w:rPr>
        <w:t>Dear Ms. Dortch:</w:t>
      </w:r>
    </w:p>
    <w:p w14:paraId="7006CFBF" w14:textId="77777777" w:rsidR="00CB6D42" w:rsidRPr="008F7C81" w:rsidRDefault="00CB6D42" w:rsidP="00CB6D42">
      <w:pPr>
        <w:rPr>
          <w:rFonts w:ascii="Arial" w:eastAsia="Times New Roman" w:hAnsi="Arial" w:cs="Times New Roman"/>
          <w:sz w:val="20"/>
          <w:szCs w:val="20"/>
        </w:rPr>
      </w:pPr>
    </w:p>
    <w:p w14:paraId="505CB990" w14:textId="77777777" w:rsidR="00CB6D42" w:rsidRPr="008F7C81" w:rsidRDefault="00CB6D42" w:rsidP="00CB6D42">
      <w:pPr>
        <w:rPr>
          <w:rFonts w:ascii="Arial" w:eastAsia="Times New Roman" w:hAnsi="Arial" w:cs="Times New Roman"/>
          <w:sz w:val="20"/>
          <w:szCs w:val="20"/>
        </w:rPr>
      </w:pPr>
    </w:p>
    <w:p w14:paraId="31DEDD29" w14:textId="0389304F" w:rsidR="0080000C" w:rsidRPr="008F7C81" w:rsidRDefault="00CB6D42" w:rsidP="0080000C">
      <w:pPr>
        <w:rPr>
          <w:rFonts w:ascii="Arial" w:eastAsia="Times New Roman" w:hAnsi="Arial" w:cs="Times New Roman"/>
          <w:sz w:val="20"/>
          <w:szCs w:val="20"/>
          <w:lang w:bidi="ar-SA"/>
        </w:rPr>
      </w:pPr>
      <w:r w:rsidRPr="008F7C81">
        <w:rPr>
          <w:rFonts w:ascii="Arial" w:hAnsi="Arial" w:cs="Times New Roman"/>
          <w:sz w:val="20"/>
          <w:szCs w:val="20"/>
        </w:rPr>
        <w:t xml:space="preserve">On May 20, my colleague Elizabeth Simonhoff Perez (Senior Manager of Health Care) and I met with </w:t>
      </w:r>
      <w:proofErr w:type="spellStart"/>
      <w:r w:rsidRPr="008F7C81">
        <w:rPr>
          <w:rFonts w:ascii="Arial" w:hAnsi="Arial" w:cs="Times New Roman"/>
          <w:sz w:val="20"/>
          <w:szCs w:val="20"/>
        </w:rPr>
        <w:t>Nirali</w:t>
      </w:r>
      <w:proofErr w:type="spellEnd"/>
      <w:r w:rsidRPr="008F7C81">
        <w:rPr>
          <w:rFonts w:ascii="Arial" w:hAnsi="Arial" w:cs="Times New Roman"/>
          <w:sz w:val="20"/>
          <w:szCs w:val="20"/>
        </w:rPr>
        <w:t xml:space="preserve"> Patel of Chairman </w:t>
      </w:r>
      <w:proofErr w:type="spellStart"/>
      <w:r w:rsidRPr="008F7C81">
        <w:rPr>
          <w:rFonts w:ascii="Arial" w:hAnsi="Arial" w:cs="Times New Roman"/>
          <w:sz w:val="20"/>
          <w:szCs w:val="20"/>
        </w:rPr>
        <w:t>Pai’s</w:t>
      </w:r>
      <w:proofErr w:type="spellEnd"/>
      <w:r w:rsidRPr="008F7C81">
        <w:rPr>
          <w:rFonts w:ascii="Arial" w:hAnsi="Arial" w:cs="Times New Roman"/>
          <w:sz w:val="20"/>
          <w:szCs w:val="20"/>
        </w:rPr>
        <w:t xml:space="preserve"> office.  </w:t>
      </w:r>
      <w:r w:rsidR="008F7C81">
        <w:rPr>
          <w:rFonts w:ascii="Arial" w:eastAsia="Times New Roman" w:hAnsi="Arial" w:cs="Times New Roman"/>
          <w:sz w:val="20"/>
          <w:szCs w:val="20"/>
          <w:lang w:bidi="ar-SA"/>
        </w:rPr>
        <w:t>We discussed</w:t>
      </w:r>
      <w:r w:rsidR="0080000C" w:rsidRPr="008F7C81">
        <w:rPr>
          <w:rFonts w:ascii="Arial" w:eastAsia="Times New Roman" w:hAnsi="Arial" w:cs="Times New Roman"/>
          <w:sz w:val="20"/>
          <w:szCs w:val="20"/>
          <w:lang w:bidi="ar-SA"/>
        </w:rPr>
        <w:t xml:space="preserve"> the rollout of the National Verifier and </w:t>
      </w:r>
      <w:proofErr w:type="spellStart"/>
      <w:r w:rsidR="0080000C" w:rsidRPr="008F7C81">
        <w:rPr>
          <w:rFonts w:ascii="Arial" w:eastAsia="Times New Roman" w:hAnsi="Arial" w:cs="Times New Roman"/>
          <w:sz w:val="20"/>
          <w:szCs w:val="20"/>
          <w:lang w:bidi="ar-SA"/>
        </w:rPr>
        <w:t>TracFone’s</w:t>
      </w:r>
      <w:proofErr w:type="spellEnd"/>
      <w:r w:rsidR="0080000C" w:rsidRPr="008F7C81">
        <w:rPr>
          <w:rFonts w:ascii="Arial" w:eastAsia="Times New Roman" w:hAnsi="Arial" w:cs="Times New Roman"/>
          <w:sz w:val="20"/>
          <w:szCs w:val="20"/>
          <w:lang w:bidi="ar-SA"/>
        </w:rPr>
        <w:t xml:space="preserve"> proposal to assist Universal Service Administrative Co. (“USAC”) by providing Medicaid eligibility data to confirm applicants’ Lifeline eligibility. Pursuant to </w:t>
      </w:r>
      <w:proofErr w:type="spellStart"/>
      <w:r w:rsidR="0080000C" w:rsidRPr="008F7C81">
        <w:rPr>
          <w:rFonts w:ascii="Arial" w:eastAsia="Times New Roman" w:hAnsi="Arial" w:cs="Times New Roman"/>
          <w:sz w:val="20"/>
          <w:szCs w:val="20"/>
          <w:lang w:bidi="ar-SA"/>
        </w:rPr>
        <w:t>TracFone’s</w:t>
      </w:r>
      <w:proofErr w:type="spellEnd"/>
      <w:r w:rsidR="0080000C" w:rsidRPr="008F7C81">
        <w:rPr>
          <w:rFonts w:ascii="Arial" w:eastAsia="Times New Roman" w:hAnsi="Arial" w:cs="Times New Roman"/>
          <w:sz w:val="20"/>
          <w:szCs w:val="20"/>
          <w:lang w:bidi="ar-SA"/>
        </w:rPr>
        <w:t xml:space="preserve"> Emergency Petition for an Order Directing USAC to Alter the Implementation of the National Verifier to Optimize the Automated and Manual Eligibility Verification Proc</w:t>
      </w:r>
      <w:r w:rsidR="008F7C81">
        <w:rPr>
          <w:rFonts w:ascii="Arial" w:eastAsia="Times New Roman" w:hAnsi="Arial" w:cs="Times New Roman"/>
          <w:sz w:val="20"/>
          <w:szCs w:val="20"/>
          <w:lang w:bidi="ar-SA"/>
        </w:rPr>
        <w:t>esses, filed on August 9, 2018,</w:t>
      </w:r>
      <w:r w:rsidR="0080000C" w:rsidRPr="008F7C81">
        <w:rPr>
          <w:rFonts w:ascii="Arial" w:eastAsia="Times New Roman" w:hAnsi="Arial" w:cs="Times New Roman"/>
          <w:sz w:val="20"/>
          <w:szCs w:val="20"/>
          <w:lang w:bidi="ar-SA"/>
        </w:rPr>
        <w:t xml:space="preserve"> </w:t>
      </w:r>
      <w:proofErr w:type="spellStart"/>
      <w:r w:rsidR="0080000C" w:rsidRPr="008F7C81">
        <w:rPr>
          <w:rFonts w:ascii="Arial" w:eastAsia="Times New Roman" w:hAnsi="Arial" w:cs="Times New Roman"/>
          <w:sz w:val="20"/>
          <w:szCs w:val="20"/>
          <w:lang w:bidi="ar-SA"/>
        </w:rPr>
        <w:t>TracFone</w:t>
      </w:r>
      <w:proofErr w:type="spellEnd"/>
      <w:r w:rsidR="0080000C" w:rsidRPr="008F7C81">
        <w:rPr>
          <w:rFonts w:ascii="Arial" w:eastAsia="Times New Roman" w:hAnsi="Arial" w:cs="Times New Roman"/>
          <w:sz w:val="20"/>
          <w:szCs w:val="20"/>
          <w:lang w:bidi="ar-SA"/>
        </w:rPr>
        <w:t xml:space="preserve"> reiterated its request that the Commission should direct USAC to accept documentation produced through third parties’ automated access to state databases. Under </w:t>
      </w:r>
      <w:proofErr w:type="spellStart"/>
      <w:r w:rsidR="0080000C" w:rsidRPr="008F7C81">
        <w:rPr>
          <w:rFonts w:ascii="Arial" w:eastAsia="Times New Roman" w:hAnsi="Arial" w:cs="Times New Roman"/>
          <w:sz w:val="20"/>
          <w:szCs w:val="20"/>
          <w:lang w:bidi="ar-SA"/>
        </w:rPr>
        <w:t>TracFone’s</w:t>
      </w:r>
      <w:proofErr w:type="spellEnd"/>
      <w:r w:rsidR="0080000C" w:rsidRPr="008F7C81">
        <w:rPr>
          <w:rFonts w:ascii="Arial" w:eastAsia="Times New Roman" w:hAnsi="Arial" w:cs="Times New Roman"/>
          <w:sz w:val="20"/>
          <w:szCs w:val="20"/>
          <w:lang w:bidi="ar-SA"/>
        </w:rPr>
        <w:t xml:space="preserve"> proposal, USAC’s manual eligibility verification process would accept proof of Medicaid eligibility provided on Managed Care Organization (“MCO”) letterhead. This proposal could be an interim solution and used until the National Verifier has access to the Centers for Medicare &amp; Medicaid Services database. </w:t>
      </w:r>
      <w:proofErr w:type="spellStart"/>
      <w:r w:rsidR="0080000C" w:rsidRPr="008F7C81">
        <w:rPr>
          <w:rFonts w:ascii="Arial" w:eastAsia="Times New Roman" w:hAnsi="Arial" w:cs="Times New Roman"/>
          <w:sz w:val="20"/>
          <w:szCs w:val="20"/>
          <w:lang w:bidi="ar-SA"/>
        </w:rPr>
        <w:t>TracFone</w:t>
      </w:r>
      <w:proofErr w:type="spellEnd"/>
      <w:r w:rsidR="0080000C" w:rsidRPr="008F7C81">
        <w:rPr>
          <w:rFonts w:ascii="Arial" w:eastAsia="Times New Roman" w:hAnsi="Arial" w:cs="Times New Roman"/>
          <w:sz w:val="20"/>
          <w:szCs w:val="20"/>
          <w:lang w:bidi="ar-SA"/>
        </w:rPr>
        <w:t xml:space="preserve"> explained that it has partnerships with 25 MCOs in 37 states. Those partnerships allow </w:t>
      </w:r>
      <w:proofErr w:type="spellStart"/>
      <w:r w:rsidR="0080000C" w:rsidRPr="008F7C81">
        <w:rPr>
          <w:rFonts w:ascii="Arial" w:eastAsia="Times New Roman" w:hAnsi="Arial" w:cs="Times New Roman"/>
          <w:sz w:val="20"/>
          <w:szCs w:val="20"/>
          <w:lang w:bidi="ar-SA"/>
        </w:rPr>
        <w:t>TracFone</w:t>
      </w:r>
      <w:proofErr w:type="spellEnd"/>
      <w:r w:rsidR="0080000C" w:rsidRPr="008F7C81">
        <w:rPr>
          <w:rFonts w:ascii="Arial" w:eastAsia="Times New Roman" w:hAnsi="Arial" w:cs="Times New Roman"/>
          <w:sz w:val="20"/>
          <w:szCs w:val="20"/>
          <w:lang w:bidi="ar-SA"/>
        </w:rPr>
        <w:t xml:space="preserve"> to access MCOs’ databases in order to verify applicants’ Medicaid eligibility and thereby verify their Lifeline eligibility. The MCOs’ databases originate from state Medicaid departments, which guarantee that only eligible recipients receive Medicaid reimbursement for health care services. In the past, the Commission has encouraged </w:t>
      </w:r>
      <w:proofErr w:type="spellStart"/>
      <w:r w:rsidR="0080000C" w:rsidRPr="008F7C81">
        <w:rPr>
          <w:rFonts w:ascii="Arial" w:eastAsia="Times New Roman" w:hAnsi="Arial" w:cs="Times New Roman"/>
          <w:sz w:val="20"/>
          <w:szCs w:val="20"/>
          <w:lang w:bidi="ar-SA"/>
        </w:rPr>
        <w:t>TracFone</w:t>
      </w:r>
      <w:proofErr w:type="spellEnd"/>
      <w:r w:rsidR="0080000C" w:rsidRPr="008F7C81">
        <w:rPr>
          <w:rFonts w:ascii="Arial" w:eastAsia="Times New Roman" w:hAnsi="Arial" w:cs="Times New Roman"/>
          <w:sz w:val="20"/>
          <w:szCs w:val="20"/>
          <w:lang w:bidi="ar-SA"/>
        </w:rPr>
        <w:t xml:space="preserve"> to use these databases to confirm the eligibility of potential Lifeline recipients. </w:t>
      </w:r>
      <w:proofErr w:type="spellStart"/>
      <w:r w:rsidR="0080000C" w:rsidRPr="008F7C81">
        <w:rPr>
          <w:rFonts w:ascii="Arial" w:eastAsia="Times New Roman" w:hAnsi="Arial" w:cs="Times New Roman"/>
          <w:sz w:val="20"/>
          <w:szCs w:val="20"/>
          <w:lang w:bidi="ar-SA"/>
        </w:rPr>
        <w:t>TracFone</w:t>
      </w:r>
      <w:proofErr w:type="spellEnd"/>
      <w:r w:rsidR="0080000C" w:rsidRPr="008F7C81">
        <w:rPr>
          <w:rFonts w:ascii="Arial" w:eastAsia="Times New Roman" w:hAnsi="Arial" w:cs="Times New Roman"/>
          <w:sz w:val="20"/>
          <w:szCs w:val="20"/>
          <w:lang w:bidi="ar-SA"/>
        </w:rPr>
        <w:t xml:space="preserve"> expressed its interest in relying upon these same databases to facilita</w:t>
      </w:r>
      <w:r w:rsidR="00CC49A5">
        <w:rPr>
          <w:rFonts w:ascii="Arial" w:eastAsia="Times New Roman" w:hAnsi="Arial" w:cs="Times New Roman"/>
          <w:sz w:val="20"/>
          <w:szCs w:val="20"/>
          <w:lang w:bidi="ar-SA"/>
        </w:rPr>
        <w:t>te the National Verifier rollout</w:t>
      </w:r>
      <w:bookmarkStart w:id="0" w:name="_GoBack"/>
      <w:bookmarkEnd w:id="0"/>
      <w:r w:rsidR="0080000C" w:rsidRPr="008F7C81">
        <w:rPr>
          <w:rFonts w:ascii="Arial" w:eastAsia="Times New Roman" w:hAnsi="Arial" w:cs="Times New Roman"/>
          <w:sz w:val="20"/>
          <w:szCs w:val="20"/>
          <w:lang w:bidi="ar-SA"/>
        </w:rPr>
        <w:t xml:space="preserve">. </w:t>
      </w:r>
    </w:p>
    <w:p w14:paraId="4DD745A3" w14:textId="77777777" w:rsidR="0080000C" w:rsidRPr="008F7C81" w:rsidRDefault="0080000C" w:rsidP="0080000C">
      <w:pPr>
        <w:rPr>
          <w:rFonts w:ascii="Arial" w:eastAsia="Times New Roman" w:hAnsi="Arial" w:cs="Times New Roman"/>
          <w:sz w:val="20"/>
          <w:szCs w:val="20"/>
          <w:lang w:bidi="ar-SA"/>
        </w:rPr>
      </w:pPr>
    </w:p>
    <w:p w14:paraId="33AE16B8" w14:textId="796E6C4A" w:rsidR="00CB6D42" w:rsidRPr="008F7C81" w:rsidRDefault="00CB6D42" w:rsidP="00CB6D42">
      <w:pPr>
        <w:rPr>
          <w:rFonts w:ascii="Arial" w:eastAsia="Times New Roman" w:hAnsi="Arial" w:cs="Times New Roman"/>
          <w:sz w:val="20"/>
          <w:szCs w:val="20"/>
          <w:shd w:val="clear" w:color="auto" w:fill="FFFFFF"/>
        </w:rPr>
      </w:pPr>
      <w:r w:rsidRPr="008F7C81">
        <w:rPr>
          <w:rFonts w:ascii="Arial" w:eastAsia="Times New Roman" w:hAnsi="Arial" w:cs="Times New Roman"/>
          <w:sz w:val="20"/>
          <w:szCs w:val="20"/>
          <w:shd w:val="clear" w:color="auto" w:fill="FFFFFF"/>
        </w:rPr>
        <w:t>Also on May 20</w:t>
      </w:r>
      <w:r w:rsidRPr="008F7C81">
        <w:rPr>
          <w:rFonts w:ascii="Arial" w:eastAsia="Times New Roman" w:hAnsi="Arial" w:cs="Times New Roman"/>
          <w:sz w:val="20"/>
          <w:szCs w:val="20"/>
          <w:shd w:val="clear" w:color="auto" w:fill="FFFFFF"/>
          <w:vertAlign w:val="superscript"/>
        </w:rPr>
        <w:t>th</w:t>
      </w:r>
      <w:r w:rsidRPr="008F7C81">
        <w:rPr>
          <w:rFonts w:ascii="Arial" w:eastAsia="Times New Roman" w:hAnsi="Arial" w:cs="Times New Roman"/>
          <w:sz w:val="20"/>
          <w:szCs w:val="20"/>
          <w:shd w:val="clear" w:color="auto" w:fill="FFFFFF"/>
        </w:rPr>
        <w:t>, we met with Jamie Susskind of Commissioner Carr’s office to discuss the TracFone MCO in</w:t>
      </w:r>
      <w:r w:rsidR="008F7C81">
        <w:rPr>
          <w:rFonts w:ascii="Arial" w:eastAsia="Times New Roman" w:hAnsi="Arial" w:cs="Times New Roman"/>
          <w:sz w:val="20"/>
          <w:szCs w:val="20"/>
          <w:shd w:val="clear" w:color="auto" w:fill="FFFFFF"/>
        </w:rPr>
        <w:t>terim proposal and to receive an</w:t>
      </w:r>
      <w:r w:rsidRPr="008F7C81">
        <w:rPr>
          <w:rFonts w:ascii="Arial" w:eastAsia="Times New Roman" w:hAnsi="Arial" w:cs="Times New Roman"/>
          <w:sz w:val="20"/>
          <w:szCs w:val="20"/>
          <w:shd w:val="clear" w:color="auto" w:fill="FFFFFF"/>
        </w:rPr>
        <w:t xml:space="preserve"> update on </w:t>
      </w:r>
      <w:r w:rsidR="008F7C81">
        <w:rPr>
          <w:rFonts w:ascii="Arial" w:eastAsia="Times New Roman" w:hAnsi="Arial" w:cs="Times New Roman"/>
          <w:sz w:val="20"/>
          <w:szCs w:val="20"/>
          <w:shd w:val="clear" w:color="auto" w:fill="FFFFFF"/>
        </w:rPr>
        <w:t xml:space="preserve">the </w:t>
      </w:r>
      <w:r w:rsidRPr="008F7C81">
        <w:rPr>
          <w:rFonts w:ascii="Arial" w:eastAsia="Times New Roman" w:hAnsi="Arial" w:cs="Times New Roman"/>
          <w:sz w:val="20"/>
          <w:szCs w:val="20"/>
          <w:shd w:val="clear" w:color="auto" w:fill="FFFFFF"/>
        </w:rPr>
        <w:t>Commission’s Notice of Inquiry on Telehealth For Low Income Consumers (WC Docket No. 18-213).</w:t>
      </w:r>
    </w:p>
    <w:p w14:paraId="38AA4FEF" w14:textId="77777777" w:rsidR="00CB6D42" w:rsidRPr="008F7C81" w:rsidRDefault="00CB6D42" w:rsidP="00CB6D42">
      <w:pPr>
        <w:rPr>
          <w:rFonts w:ascii="Arial" w:eastAsia="Times New Roman" w:hAnsi="Arial" w:cs="Times New Roman"/>
          <w:sz w:val="20"/>
          <w:szCs w:val="20"/>
          <w:shd w:val="clear" w:color="auto" w:fill="FFFFFF"/>
        </w:rPr>
      </w:pPr>
    </w:p>
    <w:p w14:paraId="5FC4D84F" w14:textId="77777777" w:rsidR="00CB6D42" w:rsidRPr="008F7C81" w:rsidRDefault="00CB6D42" w:rsidP="00CB6D42">
      <w:pPr>
        <w:rPr>
          <w:rFonts w:ascii="Arial" w:eastAsia="Times New Roman" w:hAnsi="Arial" w:cs="Times New Roman"/>
          <w:sz w:val="20"/>
          <w:szCs w:val="20"/>
          <w:shd w:val="clear" w:color="auto" w:fill="FFFFFF"/>
        </w:rPr>
      </w:pPr>
    </w:p>
    <w:p w14:paraId="1DAB30A2" w14:textId="77777777" w:rsidR="00CB6D42" w:rsidRPr="008F7C81" w:rsidRDefault="00CB6D42" w:rsidP="00CB6D42">
      <w:pPr>
        <w:rPr>
          <w:rFonts w:ascii="Arial" w:eastAsia="Times New Roman" w:hAnsi="Arial" w:cs="Times New Roman"/>
          <w:sz w:val="20"/>
          <w:szCs w:val="20"/>
          <w:shd w:val="clear" w:color="auto" w:fill="FFFFFF"/>
        </w:rPr>
      </w:pPr>
      <w:r w:rsidRPr="008F7C81">
        <w:rPr>
          <w:rFonts w:ascii="Arial" w:eastAsia="Times New Roman" w:hAnsi="Arial" w:cs="Times New Roman"/>
          <w:sz w:val="20"/>
          <w:szCs w:val="20"/>
          <w:shd w:val="clear" w:color="auto" w:fill="FFFFFF"/>
        </w:rPr>
        <w:t>Sincerely,</w:t>
      </w:r>
    </w:p>
    <w:p w14:paraId="4B7579D6" w14:textId="77777777" w:rsidR="00CB6D42" w:rsidRPr="008F7C81" w:rsidRDefault="00CB6D42" w:rsidP="00CB6D42">
      <w:pPr>
        <w:rPr>
          <w:rFonts w:ascii="Arial" w:eastAsia="Times New Roman" w:hAnsi="Arial" w:cs="Times New Roman"/>
          <w:sz w:val="20"/>
          <w:szCs w:val="20"/>
          <w:shd w:val="clear" w:color="auto" w:fill="FFFFFF"/>
        </w:rPr>
      </w:pPr>
    </w:p>
    <w:p w14:paraId="74CFEF6A" w14:textId="77777777" w:rsidR="00CB6D42" w:rsidRPr="008F7C81" w:rsidRDefault="00CB6D42" w:rsidP="00CB6D42">
      <w:pPr>
        <w:rPr>
          <w:rFonts w:ascii="Arial" w:eastAsia="Times New Roman" w:hAnsi="Arial" w:cs="Times New Roman"/>
          <w:sz w:val="20"/>
          <w:szCs w:val="20"/>
          <w:shd w:val="clear" w:color="auto" w:fill="FFFFFF"/>
        </w:rPr>
      </w:pPr>
    </w:p>
    <w:p w14:paraId="6820AC31" w14:textId="77777777" w:rsidR="00CB6D42" w:rsidRPr="008F7C81" w:rsidRDefault="00CB6D42" w:rsidP="00CB6D42">
      <w:pPr>
        <w:rPr>
          <w:rFonts w:ascii="Arial" w:eastAsia="Times New Roman" w:hAnsi="Arial" w:cs="Times New Roman"/>
          <w:sz w:val="20"/>
          <w:szCs w:val="20"/>
          <w:shd w:val="clear" w:color="auto" w:fill="FFFFFF"/>
        </w:rPr>
      </w:pPr>
      <w:r w:rsidRPr="008F7C81">
        <w:rPr>
          <w:rFonts w:ascii="Arial" w:eastAsia="Times New Roman" w:hAnsi="Arial" w:cs="Times New Roman"/>
          <w:sz w:val="20"/>
          <w:szCs w:val="20"/>
          <w:shd w:val="clear" w:color="auto" w:fill="FFFFFF"/>
        </w:rPr>
        <w:t>Mark Rubin</w:t>
      </w:r>
    </w:p>
    <w:p w14:paraId="29860EA9" w14:textId="79349FF7" w:rsidR="00CB6D42" w:rsidRPr="008F7C81" w:rsidRDefault="00CB6D42" w:rsidP="00CB6D42">
      <w:pPr>
        <w:rPr>
          <w:rFonts w:ascii="Arial" w:eastAsia="Times New Roman" w:hAnsi="Arial" w:cs="Times New Roman"/>
          <w:sz w:val="20"/>
          <w:szCs w:val="20"/>
          <w:shd w:val="clear" w:color="auto" w:fill="FFFFFF"/>
        </w:rPr>
      </w:pPr>
      <w:r w:rsidRPr="008F7C81">
        <w:rPr>
          <w:rFonts w:ascii="Arial" w:eastAsia="Times New Roman" w:hAnsi="Arial" w:cs="Times New Roman"/>
          <w:sz w:val="20"/>
          <w:szCs w:val="20"/>
          <w:shd w:val="clear" w:color="auto" w:fill="FFFFFF"/>
        </w:rPr>
        <w:t xml:space="preserve">Senior </w:t>
      </w:r>
      <w:r w:rsidR="0080000C" w:rsidRPr="008F7C81">
        <w:rPr>
          <w:rFonts w:ascii="Arial" w:eastAsia="Times New Roman" w:hAnsi="Arial" w:cs="Times New Roman"/>
          <w:sz w:val="20"/>
          <w:szCs w:val="20"/>
          <w:shd w:val="clear" w:color="auto" w:fill="FFFFFF"/>
        </w:rPr>
        <w:t>Executive for Government Affairs</w:t>
      </w:r>
    </w:p>
    <w:p w14:paraId="16ED2E68" w14:textId="77777777" w:rsidR="00F162B3" w:rsidRPr="008F7C81" w:rsidRDefault="00F162B3">
      <w:pPr>
        <w:rPr>
          <w:sz w:val="20"/>
          <w:szCs w:val="20"/>
        </w:rPr>
      </w:pPr>
    </w:p>
    <w:p w14:paraId="241A0A6C" w14:textId="72E9B21A" w:rsidR="00385391" w:rsidRDefault="00385391">
      <w:pPr>
        <w:widowControl/>
        <w:autoSpaceDE/>
        <w:autoSpaceDN/>
        <w:spacing w:after="200" w:line="276" w:lineRule="auto"/>
      </w:pPr>
    </w:p>
    <w:p w14:paraId="160EA562" w14:textId="77777777" w:rsidR="00385391" w:rsidRDefault="00385391" w:rsidP="00385391">
      <w:pPr>
        <w:jc w:val="center"/>
      </w:pPr>
    </w:p>
    <w:p w14:paraId="4AEB5367" w14:textId="77777777" w:rsidR="00385391" w:rsidRPr="00B5379F" w:rsidRDefault="00B5379F" w:rsidP="00385391">
      <w:pPr>
        <w:jc w:val="center"/>
        <w:rPr>
          <w:b/>
        </w:rPr>
      </w:pPr>
      <w:r>
        <w:rPr>
          <w:b/>
        </w:rPr>
        <w:t>SAMPLE PROOF</w:t>
      </w:r>
    </w:p>
    <w:p w14:paraId="40EB761A" w14:textId="77777777" w:rsidR="00385391" w:rsidRDefault="00385391" w:rsidP="00385391">
      <w:r w:rsidRPr="00385391">
        <w:rPr>
          <w:noProof/>
          <w:lang w:bidi="ar-SA"/>
        </w:rPr>
        <mc:AlternateContent>
          <mc:Choice Requires="wps">
            <w:drawing>
              <wp:anchor distT="0" distB="0" distL="114300" distR="114300" simplePos="0" relativeHeight="251659264" behindDoc="0" locked="0" layoutInCell="1" allowOverlap="1" wp14:anchorId="375E55E3" wp14:editId="3911A741">
                <wp:simplePos x="0" y="0"/>
                <wp:positionH relativeFrom="column">
                  <wp:posOffset>4928787</wp:posOffset>
                </wp:positionH>
                <wp:positionV relativeFrom="paragraph">
                  <wp:posOffset>4195942</wp:posOffset>
                </wp:positionV>
                <wp:extent cx="1066800" cy="294198"/>
                <wp:effectExtent l="0" t="0" r="19050" b="10795"/>
                <wp:wrapNone/>
                <wp:docPr id="6" name="Rectangle 5"/>
                <wp:cNvGraphicFramePr/>
                <a:graphic xmlns:a="http://schemas.openxmlformats.org/drawingml/2006/main">
                  <a:graphicData uri="http://schemas.microsoft.com/office/word/2010/wordprocessingShape">
                    <wps:wsp>
                      <wps:cNvSpPr/>
                      <wps:spPr>
                        <a:xfrm>
                          <a:off x="0" y="0"/>
                          <a:ext cx="1066800" cy="294198"/>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D82FEC" w14:textId="77777777" w:rsidR="0080000C" w:rsidRDefault="0080000C" w:rsidP="00385391">
                            <w:pPr>
                              <w:pStyle w:val="NormalWeb"/>
                              <w:spacing w:before="0" w:beforeAutospacing="0" w:after="0" w:afterAutospacing="0"/>
                              <w:jc w:val="center"/>
                            </w:pPr>
                            <w:r>
                              <w:rPr>
                                <w:rFonts w:asciiTheme="minorHAnsi" w:hAnsi="Calibri" w:cstheme="minorBidi"/>
                                <w:color w:val="000000" w:themeColor="text1"/>
                                <w:kern w:val="24"/>
                              </w:rPr>
                              <w:t>NVB243</w:t>
                            </w:r>
                          </w:p>
                        </w:txbxContent>
                      </wps:txbx>
                      <wps:bodyPr rtlCol="0" anchor="ctr">
                        <a:noAutofit/>
                      </wps:bodyPr>
                    </wps:wsp>
                  </a:graphicData>
                </a:graphic>
                <wp14:sizeRelV relativeFrom="margin">
                  <wp14:pctHeight>0</wp14:pctHeight>
                </wp14:sizeRelV>
              </wp:anchor>
            </w:drawing>
          </mc:Choice>
          <mc:Fallback>
            <w:pict>
              <v:rect id="Rectangle 5" o:spid="_x0000_s1026" style="position:absolute;margin-left:388.1pt;margin-top:330.4pt;width:84pt;height:23.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" filled="f" strokecolor="white [3212]" strokeweight="2pt">
                <v:textbox>
                  <w:txbxContent>
                    <w:p w:rsidR="00385391" w:rsidRDefault="00385391" w:rsidP="00385391">
                      <w:pPr>
                        <w:pStyle w:val="NormalWeb"/>
                        <w:spacing w:before="0" w:beforeAutospacing="0" w:after="0" w:afterAutospacing="0"/>
                        <w:jc w:val="center"/>
                      </w:pPr>
                      <w:r>
                        <w:rPr>
                          <w:rFonts w:asciiTheme="minorHAnsi" w:hAnsi="Calibri" w:cstheme="minorBidi"/>
                          <w:color w:val="000000" w:themeColor="text1"/>
                          <w:kern w:val="24"/>
                        </w:rPr>
                        <w:t>NVB243</w:t>
                      </w:r>
                    </w:p>
                  </w:txbxContent>
                </v:textbox>
              </v:rect>
            </w:pict>
          </mc:Fallback>
        </mc:AlternateContent>
      </w:r>
      <w:r w:rsidRPr="00385391">
        <w:rPr>
          <w:noProof/>
          <w:lang w:bidi="ar-SA"/>
        </w:rPr>
        <w:drawing>
          <wp:inline distT="0" distB="0" distL="0" distR="0" wp14:anchorId="754A2E85" wp14:editId="39E79037">
            <wp:extent cx="5943600" cy="4203065"/>
            <wp:effectExtent l="0" t="0" r="0" b="6985"/>
            <wp:docPr id="4" name="Picture 3" descr="cid:image001.png@01D4C916.36425F90"/>
            <wp:cNvGraphicFramePr/>
            <a:graphic xmlns:a="http://schemas.openxmlformats.org/drawingml/2006/main">
              <a:graphicData uri="http://schemas.openxmlformats.org/drawingml/2006/picture">
                <pic:pic xmlns:pic="http://schemas.openxmlformats.org/drawingml/2006/picture">
                  <pic:nvPicPr>
                    <pic:cNvPr id="4" name="Picture 3" descr="cid:image001.png@01D4C916.36425F90"/>
                    <pic:cNvPicPr/>
                  </pic:nvPicPr>
                  <pic:blipFill rotWithShape="1">
                    <a:blip r:embed="rId8" r:link="rId9" cstate="print">
                      <a:extLst>
                        <a:ext uri="{28A0092B-C50C-407E-A947-70E740481C1C}">
                          <a14:useLocalDpi xmlns:a14="http://schemas.microsoft.com/office/drawing/2010/main" val="0"/>
                        </a:ext>
                      </a:extLst>
                    </a:blip>
                    <a:srcRect l="72" t="13320" r="-72" b="36680"/>
                    <a:stretch/>
                  </pic:blipFill>
                  <pic:spPr bwMode="auto">
                    <a:xfrm>
                      <a:off x="0" y="0"/>
                      <a:ext cx="5943600" cy="4203065"/>
                    </a:xfrm>
                    <a:prstGeom prst="rect">
                      <a:avLst/>
                    </a:prstGeom>
                    <a:noFill/>
                    <a:ln>
                      <a:noFill/>
                    </a:ln>
                  </pic:spPr>
                </pic:pic>
              </a:graphicData>
            </a:graphic>
          </wp:inline>
        </w:drawing>
      </w:r>
    </w:p>
    <w:p w14:paraId="241E9B90" w14:textId="77777777" w:rsidR="00385391" w:rsidRPr="00385391" w:rsidRDefault="00385391" w:rsidP="00385391"/>
    <w:p w14:paraId="4542AE2A" w14:textId="77777777" w:rsidR="00B5379F" w:rsidRDefault="00B5379F">
      <w:pPr>
        <w:widowControl/>
        <w:autoSpaceDE/>
        <w:autoSpaceDN/>
        <w:spacing w:after="200" w:line="276" w:lineRule="auto"/>
      </w:pPr>
      <w:r>
        <w:br w:type="page"/>
      </w:r>
    </w:p>
    <w:p w14:paraId="2A206CB5" w14:textId="77777777" w:rsidR="00B5379F" w:rsidRPr="006621B1" w:rsidRDefault="00B5379F" w:rsidP="00B5379F">
      <w:pPr>
        <w:contextualSpacing/>
        <w:jc w:val="center"/>
        <w:rPr>
          <w:b/>
        </w:rPr>
      </w:pPr>
      <w:r w:rsidRPr="006621B1">
        <w:rPr>
          <w:b/>
        </w:rPr>
        <w:lastRenderedPageBreak/>
        <w:t>EVIDATION HEALTHCARE STUDY</w:t>
      </w:r>
      <w:r>
        <w:rPr>
          <w:b/>
        </w:rPr>
        <w:t xml:space="preserve"> </w:t>
      </w:r>
      <w:r w:rsidRPr="006621B1">
        <w:rPr>
          <w:b/>
        </w:rPr>
        <w:t>EXECUTIVE SUMMARY</w:t>
      </w:r>
    </w:p>
    <w:p w14:paraId="38F7215D"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49,209 individuals with continuous coverage from April 2016 - March 2018</w:t>
      </w:r>
    </w:p>
    <w:p w14:paraId="7BC7BCCE"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w:t>
      </w:r>
      <w:proofErr w:type="spellStart"/>
      <w:r w:rsidRPr="00992EA8">
        <w:rPr>
          <w:sz w:val="22"/>
          <w:szCs w:val="22"/>
        </w:rPr>
        <w:t>SafeLink</w:t>
      </w:r>
      <w:proofErr w:type="spellEnd"/>
      <w:r w:rsidRPr="00992EA8">
        <w:rPr>
          <w:sz w:val="22"/>
          <w:szCs w:val="22"/>
        </w:rPr>
        <w:t xml:space="preserve"> Healthcare users are more likely to be female, 50 years old (vs. 45 years old for </w:t>
      </w:r>
      <w:r w:rsidR="00992EA8" w:rsidRPr="00992EA8">
        <w:rPr>
          <w:sz w:val="22"/>
          <w:szCs w:val="22"/>
        </w:rPr>
        <w:t xml:space="preserve">  </w:t>
      </w:r>
      <w:r w:rsidRPr="00992EA8">
        <w:rPr>
          <w:sz w:val="22"/>
          <w:szCs w:val="22"/>
        </w:rPr>
        <w:t>non-</w:t>
      </w:r>
      <w:proofErr w:type="spellStart"/>
      <w:r w:rsidRPr="00992EA8">
        <w:rPr>
          <w:sz w:val="22"/>
          <w:szCs w:val="22"/>
        </w:rPr>
        <w:t>SafeLink</w:t>
      </w:r>
      <w:proofErr w:type="spellEnd"/>
      <w:r w:rsidRPr="00992EA8">
        <w:rPr>
          <w:sz w:val="22"/>
          <w:szCs w:val="22"/>
        </w:rPr>
        <w:t xml:space="preserve"> users) and English speaking</w:t>
      </w:r>
    </w:p>
    <w:p w14:paraId="38A32ABD"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Among individuals with chronic conditions, the Per Member Per Month (PMPM) cost for </w:t>
      </w:r>
      <w:proofErr w:type="spellStart"/>
      <w:r w:rsidRPr="00992EA8">
        <w:rPr>
          <w:sz w:val="22"/>
          <w:szCs w:val="22"/>
        </w:rPr>
        <w:t>SafeLink</w:t>
      </w:r>
      <w:proofErr w:type="spellEnd"/>
      <w:r w:rsidRPr="00992EA8">
        <w:rPr>
          <w:sz w:val="22"/>
          <w:szCs w:val="22"/>
        </w:rPr>
        <w:t xml:space="preserve"> users were 6% lower than for non-users</w:t>
      </w:r>
    </w:p>
    <w:p w14:paraId="66AB70E5"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w:t>
      </w:r>
      <w:proofErr w:type="spellStart"/>
      <w:r w:rsidRPr="00992EA8">
        <w:rPr>
          <w:sz w:val="22"/>
          <w:szCs w:val="22"/>
        </w:rPr>
        <w:t>SafeLink</w:t>
      </w:r>
      <w:proofErr w:type="spellEnd"/>
      <w:r w:rsidRPr="00992EA8">
        <w:rPr>
          <w:sz w:val="22"/>
          <w:szCs w:val="22"/>
        </w:rPr>
        <w:t xml:space="preserve"> users were 14% less likely to drop off health coverage compared to non-users</w:t>
      </w:r>
    </w:p>
    <w:p w14:paraId="5A16F208"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Being enrolled in </w:t>
      </w:r>
      <w:proofErr w:type="spellStart"/>
      <w:r w:rsidRPr="00992EA8">
        <w:rPr>
          <w:sz w:val="22"/>
          <w:szCs w:val="22"/>
        </w:rPr>
        <w:t>SafeLink</w:t>
      </w:r>
      <w:proofErr w:type="spellEnd"/>
      <w:r w:rsidRPr="00992EA8">
        <w:rPr>
          <w:sz w:val="22"/>
          <w:szCs w:val="22"/>
        </w:rPr>
        <w:t xml:space="preserve"> more days was associated with lower PMPM cost</w:t>
      </w:r>
    </w:p>
    <w:p w14:paraId="3D500BE0"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Although individuals that are </w:t>
      </w:r>
      <w:proofErr w:type="spellStart"/>
      <w:r w:rsidRPr="00992EA8">
        <w:rPr>
          <w:sz w:val="22"/>
          <w:szCs w:val="22"/>
        </w:rPr>
        <w:t>SafeLink</w:t>
      </w:r>
      <w:proofErr w:type="spellEnd"/>
      <w:r w:rsidRPr="00992EA8">
        <w:rPr>
          <w:sz w:val="22"/>
          <w:szCs w:val="22"/>
        </w:rPr>
        <w:t xml:space="preserve"> users are more likely to go to the hospital, when they go to the hospital, they go 0.61 times (less than 1 time). Also, the more days they are a </w:t>
      </w:r>
      <w:proofErr w:type="spellStart"/>
      <w:r w:rsidRPr="00992EA8">
        <w:rPr>
          <w:sz w:val="22"/>
          <w:szCs w:val="22"/>
        </w:rPr>
        <w:t>SafeLink</w:t>
      </w:r>
      <w:proofErr w:type="spellEnd"/>
      <w:r w:rsidRPr="00992EA8">
        <w:rPr>
          <w:sz w:val="22"/>
          <w:szCs w:val="22"/>
        </w:rPr>
        <w:t xml:space="preserve"> customer, the less likely they are to go to the hospital. It is also important to note that not all hospitalizations are emergencies; some hospitalizations may be scheduled and planned with their doctor.  </w:t>
      </w:r>
    </w:p>
    <w:p w14:paraId="42E46A97"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Active </w:t>
      </w:r>
      <w:proofErr w:type="spellStart"/>
      <w:r w:rsidRPr="00992EA8">
        <w:rPr>
          <w:sz w:val="22"/>
          <w:szCs w:val="22"/>
        </w:rPr>
        <w:t>SafeLink</w:t>
      </w:r>
      <w:proofErr w:type="spellEnd"/>
      <w:r w:rsidRPr="00992EA8">
        <w:rPr>
          <w:sz w:val="22"/>
          <w:szCs w:val="22"/>
        </w:rPr>
        <w:t xml:space="preserve"> users have 1.33 times more physician office visits than non-</w:t>
      </w:r>
      <w:proofErr w:type="spellStart"/>
      <w:r w:rsidRPr="00992EA8">
        <w:rPr>
          <w:sz w:val="22"/>
          <w:szCs w:val="22"/>
        </w:rPr>
        <w:t>SafeLink</w:t>
      </w:r>
      <w:proofErr w:type="spellEnd"/>
      <w:r w:rsidRPr="00992EA8">
        <w:rPr>
          <w:sz w:val="22"/>
          <w:szCs w:val="22"/>
        </w:rPr>
        <w:t xml:space="preserve"> users. Even more, long-term </w:t>
      </w:r>
      <w:proofErr w:type="spellStart"/>
      <w:r w:rsidRPr="00992EA8">
        <w:rPr>
          <w:sz w:val="22"/>
          <w:szCs w:val="22"/>
        </w:rPr>
        <w:t>SafeLink</w:t>
      </w:r>
      <w:proofErr w:type="spellEnd"/>
      <w:r w:rsidRPr="00992EA8">
        <w:rPr>
          <w:sz w:val="22"/>
          <w:szCs w:val="22"/>
        </w:rPr>
        <w:t xml:space="preserve"> users have 1.36 times more physician visits.  Furthermore, </w:t>
      </w:r>
      <w:proofErr w:type="spellStart"/>
      <w:r w:rsidRPr="00992EA8">
        <w:rPr>
          <w:sz w:val="22"/>
          <w:szCs w:val="22"/>
        </w:rPr>
        <w:t>SafeLink</w:t>
      </w:r>
      <w:proofErr w:type="spellEnd"/>
      <w:r w:rsidRPr="00992EA8">
        <w:rPr>
          <w:sz w:val="22"/>
          <w:szCs w:val="22"/>
        </w:rPr>
        <w:t xml:space="preserve"> users with chronic conditions have 9.4 times more physician visits than non-users.  </w:t>
      </w:r>
    </w:p>
    <w:p w14:paraId="4FD9F101"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w:t>
      </w:r>
      <w:proofErr w:type="spellStart"/>
      <w:r w:rsidRPr="00992EA8">
        <w:rPr>
          <w:sz w:val="22"/>
          <w:szCs w:val="22"/>
        </w:rPr>
        <w:t>SafeLink</w:t>
      </w:r>
      <w:proofErr w:type="spellEnd"/>
      <w:r w:rsidRPr="00992EA8">
        <w:rPr>
          <w:sz w:val="22"/>
          <w:szCs w:val="22"/>
        </w:rPr>
        <w:t xml:space="preserve"> users with chronic conditions were 10% less likely to visit urgent care than non-users with chronic conditions.</w:t>
      </w:r>
    </w:p>
    <w:p w14:paraId="76FF9E82"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Active and </w:t>
      </w:r>
      <w:proofErr w:type="spellStart"/>
      <w:r w:rsidRPr="00992EA8">
        <w:rPr>
          <w:sz w:val="22"/>
          <w:szCs w:val="22"/>
        </w:rPr>
        <w:t>SafeLink</w:t>
      </w:r>
      <w:proofErr w:type="spellEnd"/>
      <w:r w:rsidRPr="00992EA8">
        <w:rPr>
          <w:sz w:val="22"/>
          <w:szCs w:val="22"/>
        </w:rPr>
        <w:t xml:space="preserve"> users had 1.2 more preventative screenings than non-users.  Hence, they are more likely to take part in preventative care with cervical, breast, prostate, and lung cancer; also bone density screenings.</w:t>
      </w:r>
    </w:p>
    <w:p w14:paraId="4770D7B0"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Active users were 1.25 times more likely to have at least 1 flu vaccination than non-users.</w:t>
      </w:r>
    </w:p>
    <w:p w14:paraId="4F0F5B85"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w:t>
      </w:r>
      <w:proofErr w:type="spellStart"/>
      <w:r w:rsidRPr="00992EA8">
        <w:rPr>
          <w:sz w:val="22"/>
          <w:szCs w:val="22"/>
        </w:rPr>
        <w:t>SafeLink</w:t>
      </w:r>
      <w:proofErr w:type="spellEnd"/>
      <w:r w:rsidRPr="00992EA8">
        <w:rPr>
          <w:sz w:val="22"/>
          <w:szCs w:val="22"/>
        </w:rPr>
        <w:t xml:space="preserve"> users were 1.48 times more likely to have at least 1 smoking cessation consultation than non-users.</w:t>
      </w:r>
    </w:p>
    <w:p w14:paraId="1B36DC54"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Long-term </w:t>
      </w:r>
      <w:proofErr w:type="spellStart"/>
      <w:r w:rsidRPr="00992EA8">
        <w:rPr>
          <w:sz w:val="22"/>
          <w:szCs w:val="22"/>
        </w:rPr>
        <w:t>SafeLink</w:t>
      </w:r>
      <w:proofErr w:type="spellEnd"/>
      <w:r w:rsidRPr="00992EA8">
        <w:rPr>
          <w:sz w:val="22"/>
          <w:szCs w:val="22"/>
        </w:rPr>
        <w:t xml:space="preserve"> users with diabetes were 1.29 more likely to be adherent to their medication than non-users with diabetes.</w:t>
      </w:r>
    </w:p>
    <w:p w14:paraId="22AF4248"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Long-term </w:t>
      </w:r>
      <w:proofErr w:type="spellStart"/>
      <w:r w:rsidRPr="00992EA8">
        <w:rPr>
          <w:sz w:val="22"/>
          <w:szCs w:val="22"/>
        </w:rPr>
        <w:t>SafeLink</w:t>
      </w:r>
      <w:proofErr w:type="spellEnd"/>
      <w:r w:rsidRPr="00992EA8">
        <w:rPr>
          <w:sz w:val="22"/>
          <w:szCs w:val="22"/>
        </w:rPr>
        <w:t xml:space="preserve"> users with hypertension were 1.58 more likely to adhere to their medications than non-users with hypertension.</w:t>
      </w:r>
    </w:p>
    <w:p w14:paraId="388E8DBD" w14:textId="77777777" w:rsidR="00B5379F" w:rsidRPr="00992EA8" w:rsidRDefault="00B5379F" w:rsidP="00B5379F">
      <w:pPr>
        <w:pStyle w:val="m2149042807034889114m-6966465621213999843msolistparagraph"/>
        <w:spacing w:line="360" w:lineRule="auto"/>
        <w:contextualSpacing/>
        <w:rPr>
          <w:sz w:val="22"/>
          <w:szCs w:val="22"/>
        </w:rPr>
      </w:pPr>
      <w:r w:rsidRPr="00992EA8">
        <w:rPr>
          <w:sz w:val="22"/>
          <w:szCs w:val="22"/>
        </w:rPr>
        <w:t xml:space="preserve">-          Long-term </w:t>
      </w:r>
      <w:proofErr w:type="spellStart"/>
      <w:r w:rsidRPr="00992EA8">
        <w:rPr>
          <w:sz w:val="22"/>
          <w:szCs w:val="22"/>
        </w:rPr>
        <w:t>SafeLink</w:t>
      </w:r>
      <w:proofErr w:type="spellEnd"/>
      <w:r w:rsidRPr="00992EA8">
        <w:rPr>
          <w:sz w:val="22"/>
          <w:szCs w:val="22"/>
        </w:rPr>
        <w:t xml:space="preserve"> users with hyperlipidemia were 1.57 more likely to adhere to their medications than non-users with hyperlipidemia.</w:t>
      </w:r>
    </w:p>
    <w:p w14:paraId="4FE04D5F" w14:textId="77777777" w:rsidR="00B5379F" w:rsidRDefault="00B5379F" w:rsidP="00B5379F">
      <w:pPr>
        <w:pStyle w:val="m2149042807034889114m-6966465621213999843msolistparagraph"/>
        <w:spacing w:line="360" w:lineRule="auto"/>
        <w:contextualSpacing/>
      </w:pPr>
    </w:p>
    <w:p w14:paraId="6B051AD0" w14:textId="77777777" w:rsidR="00992EA8" w:rsidRDefault="00992EA8">
      <w:pPr>
        <w:sectPr w:rsidR="00992EA8">
          <w:headerReference w:type="default" r:id="rId10"/>
          <w:pgSz w:w="12240" w:h="15840"/>
          <w:pgMar w:top="1440" w:right="1440" w:bottom="1440" w:left="1440" w:header="720" w:footer="720" w:gutter="0"/>
          <w:cols w:space="720"/>
          <w:docGrid w:linePitch="360"/>
        </w:sectPr>
      </w:pPr>
    </w:p>
    <w:p w14:paraId="3DE28D95" w14:textId="77777777" w:rsidR="00385391" w:rsidRDefault="00992EA8">
      <w:r>
        <w:rPr>
          <w:noProof/>
          <w:lang w:bidi="ar-SA"/>
        </w:rPr>
        <w:lastRenderedPageBreak/>
        <w:drawing>
          <wp:anchor distT="0" distB="0" distL="114300" distR="114300" simplePos="0" relativeHeight="251661312" behindDoc="0" locked="0" layoutInCell="1" allowOverlap="1" wp14:anchorId="0394570A" wp14:editId="6CDBD1ED">
            <wp:simplePos x="0" y="0"/>
            <wp:positionH relativeFrom="column">
              <wp:posOffset>-810867</wp:posOffset>
            </wp:positionH>
            <wp:positionV relativeFrom="paragraph">
              <wp:posOffset>-297815</wp:posOffset>
            </wp:positionV>
            <wp:extent cx="10165035" cy="5705475"/>
            <wp:effectExtent l="0" t="0" r="8255" b="0"/>
            <wp:wrapNone/>
            <wp:docPr id="1" name="Picture 1" descr="cid:ii_jkvg79th2_1653ec51aa133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i_jkvg79th2_1653ec51aa133809"/>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0165035" cy="57054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385391" w:rsidSect="00992EA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9F95C" w14:textId="77777777" w:rsidR="0080000C" w:rsidRDefault="0080000C" w:rsidP="00BA0B3D">
      <w:r>
        <w:separator/>
      </w:r>
    </w:p>
  </w:endnote>
  <w:endnote w:type="continuationSeparator" w:id="0">
    <w:p w14:paraId="63186FB0" w14:textId="77777777" w:rsidR="0080000C" w:rsidRDefault="0080000C" w:rsidP="00BA0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Lucida Sans">
    <w:panose1 w:val="020B0602030504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1733F" w14:textId="77777777" w:rsidR="0080000C" w:rsidRDefault="0080000C" w:rsidP="00BA0B3D">
      <w:r>
        <w:separator/>
      </w:r>
    </w:p>
  </w:footnote>
  <w:footnote w:type="continuationSeparator" w:id="0">
    <w:p w14:paraId="08C8FC5D" w14:textId="77777777" w:rsidR="0080000C" w:rsidRDefault="0080000C" w:rsidP="00BA0B3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00184" w14:textId="77777777" w:rsidR="0080000C" w:rsidRDefault="0080000C">
    <w:pPr>
      <w:pStyle w:val="Header"/>
    </w:pPr>
    <w:r>
      <w:rPr>
        <w:noProof/>
        <w:lang w:bidi="ar-SA"/>
      </w:rPr>
      <w:drawing>
        <wp:inline distT="0" distB="0" distL="0" distR="0" wp14:anchorId="299515AF" wp14:editId="576D941E">
          <wp:extent cx="2686050" cy="12013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Fone.PNG"/>
                  <pic:cNvPicPr/>
                </pic:nvPicPr>
                <pic:blipFill>
                  <a:blip r:embed="rId1">
                    <a:extLst>
                      <a:ext uri="{28A0092B-C50C-407E-A947-70E740481C1C}">
                        <a14:useLocalDpi xmlns:a14="http://schemas.microsoft.com/office/drawing/2010/main" val="0"/>
                      </a:ext>
                    </a:extLst>
                  </a:blip>
                  <a:stretch>
                    <a:fillRect/>
                  </a:stretch>
                </pic:blipFill>
                <pic:spPr>
                  <a:xfrm>
                    <a:off x="0" y="0"/>
                    <a:ext cx="2686425" cy="120149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B3D"/>
    <w:rsid w:val="00115743"/>
    <w:rsid w:val="00385391"/>
    <w:rsid w:val="003E6610"/>
    <w:rsid w:val="00435BEB"/>
    <w:rsid w:val="00466400"/>
    <w:rsid w:val="007971ED"/>
    <w:rsid w:val="0080000C"/>
    <w:rsid w:val="008F7C81"/>
    <w:rsid w:val="00992EA8"/>
    <w:rsid w:val="009B09D7"/>
    <w:rsid w:val="00B5379F"/>
    <w:rsid w:val="00BA0B3D"/>
    <w:rsid w:val="00CB6D42"/>
    <w:rsid w:val="00CC49A5"/>
    <w:rsid w:val="00DF04AD"/>
    <w:rsid w:val="00F16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4E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Lucida Sans"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35BEB"/>
    <w:pPr>
      <w:widowControl w:val="0"/>
      <w:autoSpaceDE w:val="0"/>
      <w:autoSpaceDN w:val="0"/>
      <w:spacing w:after="0" w:line="240" w:lineRule="auto"/>
    </w:pPr>
    <w:rPr>
      <w:rFonts w:ascii="Lucida Sans" w:hAnsi="Lucida Sans" w:cs="Lucida Sans"/>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B3D"/>
    <w:pPr>
      <w:tabs>
        <w:tab w:val="center" w:pos="4680"/>
        <w:tab w:val="right" w:pos="9360"/>
      </w:tabs>
    </w:pPr>
  </w:style>
  <w:style w:type="character" w:customStyle="1" w:styleId="HeaderChar">
    <w:name w:val="Header Char"/>
    <w:basedOn w:val="DefaultParagraphFont"/>
    <w:link w:val="Header"/>
    <w:uiPriority w:val="99"/>
    <w:rsid w:val="00BA0B3D"/>
    <w:rPr>
      <w:rFonts w:ascii="Lucida Sans" w:hAnsi="Lucida Sans" w:cs="Lucida Sans"/>
      <w:lang w:bidi="en-US"/>
    </w:rPr>
  </w:style>
  <w:style w:type="paragraph" w:styleId="Footer">
    <w:name w:val="footer"/>
    <w:basedOn w:val="Normal"/>
    <w:link w:val="FooterChar"/>
    <w:uiPriority w:val="99"/>
    <w:unhideWhenUsed/>
    <w:rsid w:val="00BA0B3D"/>
    <w:pPr>
      <w:tabs>
        <w:tab w:val="center" w:pos="4680"/>
        <w:tab w:val="right" w:pos="9360"/>
      </w:tabs>
    </w:pPr>
  </w:style>
  <w:style w:type="character" w:customStyle="1" w:styleId="FooterChar">
    <w:name w:val="Footer Char"/>
    <w:basedOn w:val="DefaultParagraphFont"/>
    <w:link w:val="Footer"/>
    <w:uiPriority w:val="99"/>
    <w:rsid w:val="00BA0B3D"/>
    <w:rPr>
      <w:rFonts w:ascii="Lucida Sans" w:hAnsi="Lucida Sans" w:cs="Lucida Sans"/>
      <w:lang w:bidi="en-US"/>
    </w:rPr>
  </w:style>
  <w:style w:type="paragraph" w:styleId="BalloonText">
    <w:name w:val="Balloon Text"/>
    <w:basedOn w:val="Normal"/>
    <w:link w:val="BalloonTextChar"/>
    <w:uiPriority w:val="99"/>
    <w:semiHidden/>
    <w:unhideWhenUsed/>
    <w:rsid w:val="00BA0B3D"/>
    <w:rPr>
      <w:rFonts w:ascii="Tahoma" w:hAnsi="Tahoma" w:cs="Tahoma"/>
      <w:sz w:val="16"/>
      <w:szCs w:val="16"/>
    </w:rPr>
  </w:style>
  <w:style w:type="character" w:customStyle="1" w:styleId="BalloonTextChar">
    <w:name w:val="Balloon Text Char"/>
    <w:basedOn w:val="DefaultParagraphFont"/>
    <w:link w:val="BalloonText"/>
    <w:uiPriority w:val="99"/>
    <w:semiHidden/>
    <w:rsid w:val="00BA0B3D"/>
    <w:rPr>
      <w:rFonts w:ascii="Tahoma" w:hAnsi="Tahoma" w:cs="Tahoma"/>
      <w:sz w:val="16"/>
      <w:szCs w:val="16"/>
      <w:lang w:bidi="en-US"/>
    </w:rPr>
  </w:style>
  <w:style w:type="paragraph" w:styleId="NormalWeb">
    <w:name w:val="Normal (Web)"/>
    <w:basedOn w:val="Normal"/>
    <w:uiPriority w:val="99"/>
    <w:semiHidden/>
    <w:unhideWhenUsed/>
    <w:rsid w:val="00385391"/>
    <w:pPr>
      <w:widowControl/>
      <w:autoSpaceDE/>
      <w:autoSpaceDN/>
      <w:spacing w:before="100" w:beforeAutospacing="1" w:after="100" w:afterAutospacing="1"/>
    </w:pPr>
    <w:rPr>
      <w:rFonts w:ascii="Times New Roman" w:eastAsiaTheme="minorEastAsia" w:hAnsi="Times New Roman" w:cs="Times New Roman"/>
      <w:sz w:val="24"/>
      <w:szCs w:val="24"/>
      <w:lang w:bidi="ar-SA"/>
    </w:rPr>
  </w:style>
  <w:style w:type="paragraph" w:customStyle="1" w:styleId="m2149042807034889114m-6966465621213999843msolistparagraph">
    <w:name w:val="m_2149042807034889114m_-6966465621213999843msolistparagraph"/>
    <w:basedOn w:val="Normal"/>
    <w:rsid w:val="00B5379F"/>
    <w:pPr>
      <w:widowControl/>
      <w:autoSpaceDE/>
      <w:autoSpaceDN/>
      <w:spacing w:before="100" w:beforeAutospacing="1" w:after="100" w:afterAutospacing="1"/>
    </w:pPr>
    <w:rPr>
      <w:rFonts w:ascii="Times New Roman" w:eastAsiaTheme="minorHAnsi" w:hAnsi="Times New Roman" w:cs="Times New Roman"/>
      <w:sz w:val="24"/>
      <w:szCs w:val="24"/>
      <w:lang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Lucida Sans"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35BEB"/>
    <w:pPr>
      <w:widowControl w:val="0"/>
      <w:autoSpaceDE w:val="0"/>
      <w:autoSpaceDN w:val="0"/>
      <w:spacing w:after="0" w:line="240" w:lineRule="auto"/>
    </w:pPr>
    <w:rPr>
      <w:rFonts w:ascii="Lucida Sans" w:hAnsi="Lucida Sans" w:cs="Lucida Sans"/>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B3D"/>
    <w:pPr>
      <w:tabs>
        <w:tab w:val="center" w:pos="4680"/>
        <w:tab w:val="right" w:pos="9360"/>
      </w:tabs>
    </w:pPr>
  </w:style>
  <w:style w:type="character" w:customStyle="1" w:styleId="HeaderChar">
    <w:name w:val="Header Char"/>
    <w:basedOn w:val="DefaultParagraphFont"/>
    <w:link w:val="Header"/>
    <w:uiPriority w:val="99"/>
    <w:rsid w:val="00BA0B3D"/>
    <w:rPr>
      <w:rFonts w:ascii="Lucida Sans" w:hAnsi="Lucida Sans" w:cs="Lucida Sans"/>
      <w:lang w:bidi="en-US"/>
    </w:rPr>
  </w:style>
  <w:style w:type="paragraph" w:styleId="Footer">
    <w:name w:val="footer"/>
    <w:basedOn w:val="Normal"/>
    <w:link w:val="FooterChar"/>
    <w:uiPriority w:val="99"/>
    <w:unhideWhenUsed/>
    <w:rsid w:val="00BA0B3D"/>
    <w:pPr>
      <w:tabs>
        <w:tab w:val="center" w:pos="4680"/>
        <w:tab w:val="right" w:pos="9360"/>
      </w:tabs>
    </w:pPr>
  </w:style>
  <w:style w:type="character" w:customStyle="1" w:styleId="FooterChar">
    <w:name w:val="Footer Char"/>
    <w:basedOn w:val="DefaultParagraphFont"/>
    <w:link w:val="Footer"/>
    <w:uiPriority w:val="99"/>
    <w:rsid w:val="00BA0B3D"/>
    <w:rPr>
      <w:rFonts w:ascii="Lucida Sans" w:hAnsi="Lucida Sans" w:cs="Lucida Sans"/>
      <w:lang w:bidi="en-US"/>
    </w:rPr>
  </w:style>
  <w:style w:type="paragraph" w:styleId="BalloonText">
    <w:name w:val="Balloon Text"/>
    <w:basedOn w:val="Normal"/>
    <w:link w:val="BalloonTextChar"/>
    <w:uiPriority w:val="99"/>
    <w:semiHidden/>
    <w:unhideWhenUsed/>
    <w:rsid w:val="00BA0B3D"/>
    <w:rPr>
      <w:rFonts w:ascii="Tahoma" w:hAnsi="Tahoma" w:cs="Tahoma"/>
      <w:sz w:val="16"/>
      <w:szCs w:val="16"/>
    </w:rPr>
  </w:style>
  <w:style w:type="character" w:customStyle="1" w:styleId="BalloonTextChar">
    <w:name w:val="Balloon Text Char"/>
    <w:basedOn w:val="DefaultParagraphFont"/>
    <w:link w:val="BalloonText"/>
    <w:uiPriority w:val="99"/>
    <w:semiHidden/>
    <w:rsid w:val="00BA0B3D"/>
    <w:rPr>
      <w:rFonts w:ascii="Tahoma" w:hAnsi="Tahoma" w:cs="Tahoma"/>
      <w:sz w:val="16"/>
      <w:szCs w:val="16"/>
      <w:lang w:bidi="en-US"/>
    </w:rPr>
  </w:style>
  <w:style w:type="paragraph" w:styleId="NormalWeb">
    <w:name w:val="Normal (Web)"/>
    <w:basedOn w:val="Normal"/>
    <w:uiPriority w:val="99"/>
    <w:semiHidden/>
    <w:unhideWhenUsed/>
    <w:rsid w:val="00385391"/>
    <w:pPr>
      <w:widowControl/>
      <w:autoSpaceDE/>
      <w:autoSpaceDN/>
      <w:spacing w:before="100" w:beforeAutospacing="1" w:after="100" w:afterAutospacing="1"/>
    </w:pPr>
    <w:rPr>
      <w:rFonts w:ascii="Times New Roman" w:eastAsiaTheme="minorEastAsia" w:hAnsi="Times New Roman" w:cs="Times New Roman"/>
      <w:sz w:val="24"/>
      <w:szCs w:val="24"/>
      <w:lang w:bidi="ar-SA"/>
    </w:rPr>
  </w:style>
  <w:style w:type="paragraph" w:customStyle="1" w:styleId="m2149042807034889114m-6966465621213999843msolistparagraph">
    <w:name w:val="m_2149042807034889114m_-6966465621213999843msolistparagraph"/>
    <w:basedOn w:val="Normal"/>
    <w:rsid w:val="00B5379F"/>
    <w:pPr>
      <w:widowControl/>
      <w:autoSpaceDE/>
      <w:autoSpaceDN/>
      <w:spacing w:before="100" w:beforeAutospacing="1" w:after="100" w:afterAutospacing="1"/>
    </w:pPr>
    <w:rPr>
      <w:rFonts w:ascii="Times New Roman" w:eastAsiaTheme="minorHAnsi"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444791">
      <w:bodyDiv w:val="1"/>
      <w:marLeft w:val="0"/>
      <w:marRight w:val="0"/>
      <w:marTop w:val="0"/>
      <w:marBottom w:val="0"/>
      <w:divBdr>
        <w:top w:val="none" w:sz="0" w:space="0" w:color="auto"/>
        <w:left w:val="none" w:sz="0" w:space="0" w:color="auto"/>
        <w:bottom w:val="none" w:sz="0" w:space="0" w:color="auto"/>
        <w:right w:val="none" w:sz="0" w:space="0" w:color="auto"/>
      </w:divBdr>
    </w:div>
    <w:div w:id="1835297805">
      <w:bodyDiv w:val="1"/>
      <w:marLeft w:val="0"/>
      <w:marRight w:val="0"/>
      <w:marTop w:val="0"/>
      <w:marBottom w:val="0"/>
      <w:divBdr>
        <w:top w:val="none" w:sz="0" w:space="0" w:color="auto"/>
        <w:left w:val="none" w:sz="0" w:space="0" w:color="auto"/>
        <w:bottom w:val="none" w:sz="0" w:space="0" w:color="auto"/>
        <w:right w:val="none" w:sz="0" w:space="0" w:color="auto"/>
      </w:divBdr>
    </w:div>
    <w:div w:id="202794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cid:ii_jkvg79th2_1653ec51aa133809"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cid:image001.png@01D4C916.36425F90"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D673C-D8F6-0C47-B7AD-1AB0528AE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717</Words>
  <Characters>4089</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TRACFONE WIRELESS INC.</Company>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Lee</dc:creator>
  <cp:lastModifiedBy>User</cp:lastModifiedBy>
  <cp:revision>9</cp:revision>
  <dcterms:created xsi:type="dcterms:W3CDTF">2019-05-21T17:43:00Z</dcterms:created>
  <dcterms:modified xsi:type="dcterms:W3CDTF">2019-05-22T13:47:00Z</dcterms:modified>
</cp:coreProperties>
</file>