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D994D8" w14:textId="7EAE1841" w:rsidR="00296E54" w:rsidRDefault="004F6866" w:rsidP="004F6866">
      <w:pPr>
        <w:jc w:val="center"/>
      </w:pPr>
      <w:r>
        <w:t>May 25, 2018</w:t>
      </w:r>
    </w:p>
    <w:p w14:paraId="77E56E8B" w14:textId="783247B7" w:rsidR="004F6866" w:rsidRDefault="004F6866" w:rsidP="004F6866">
      <w:r>
        <w:t>Via ECFS</w:t>
      </w:r>
    </w:p>
    <w:p w14:paraId="3BF61FBE" w14:textId="5D32E20A" w:rsidR="004F6866" w:rsidRDefault="004F6866" w:rsidP="004F6866">
      <w:r>
        <w:t>Notice of Ex Parte</w:t>
      </w:r>
    </w:p>
    <w:p w14:paraId="777BFADE" w14:textId="77777777" w:rsidR="004F6866" w:rsidRDefault="004F6866" w:rsidP="004F6866">
      <w:pPr>
        <w:spacing w:after="0" w:line="240" w:lineRule="auto"/>
      </w:pPr>
    </w:p>
    <w:p w14:paraId="78564CCC" w14:textId="007A8639" w:rsidR="004F6866" w:rsidRDefault="004F6866" w:rsidP="004F6866">
      <w:pPr>
        <w:spacing w:after="0" w:line="240" w:lineRule="auto"/>
      </w:pPr>
      <w:r>
        <w:t>Marlene H. Dortch</w:t>
      </w:r>
    </w:p>
    <w:p w14:paraId="144B0B79" w14:textId="77777777" w:rsidR="004F6866" w:rsidRDefault="004F6866" w:rsidP="004F6866">
      <w:pPr>
        <w:spacing w:after="0" w:line="240" w:lineRule="auto"/>
      </w:pPr>
      <w:r>
        <w:t>Secretary</w:t>
      </w:r>
    </w:p>
    <w:p w14:paraId="133EA068" w14:textId="276426D9" w:rsidR="004F6866" w:rsidRDefault="004F6866" w:rsidP="004F6866">
      <w:pPr>
        <w:spacing w:after="0" w:line="240" w:lineRule="auto"/>
      </w:pPr>
      <w:r>
        <w:t>Federal Communications Commission</w:t>
      </w:r>
    </w:p>
    <w:p w14:paraId="2A76B756" w14:textId="77777777" w:rsidR="004F6866" w:rsidRDefault="004F6866" w:rsidP="004F6866">
      <w:pPr>
        <w:spacing w:after="0" w:line="240" w:lineRule="auto"/>
      </w:pPr>
      <w:r>
        <w:t xml:space="preserve">445 Twelfth Street, S.W. </w:t>
      </w:r>
    </w:p>
    <w:p w14:paraId="580A3119" w14:textId="6A53FF66" w:rsidR="004F6866" w:rsidRDefault="004F6866" w:rsidP="004F6866">
      <w:pPr>
        <w:spacing w:after="0" w:line="240" w:lineRule="auto"/>
      </w:pPr>
      <w:r>
        <w:t>Washington, DC 20554</w:t>
      </w:r>
    </w:p>
    <w:p w14:paraId="7767A18D" w14:textId="77777777" w:rsidR="004F6866" w:rsidRPr="004F6866" w:rsidRDefault="004F6866" w:rsidP="004F6866"/>
    <w:p w14:paraId="67E2F5EF" w14:textId="57882D8F" w:rsidR="004F6866" w:rsidRDefault="004F6866" w:rsidP="004F6866">
      <w:pPr>
        <w:rPr>
          <w:snapToGrid w:val="0"/>
        </w:rPr>
      </w:pPr>
      <w:r>
        <w:t xml:space="preserve">Re:  </w:t>
      </w:r>
      <w:r>
        <w:t>Telecommunications Relay Services and Speech-to-Speech Services for Individuals with Hearing and Speech Disabilities, CG Docket No. 03-123</w:t>
      </w:r>
      <w:r w:rsidR="00A07A89">
        <w:t xml:space="preserve">; </w:t>
      </w:r>
      <w:r w:rsidR="00A07A89">
        <w:rPr>
          <w:snapToGrid w:val="0"/>
        </w:rPr>
        <w:t>Truth-in-Billing and Billing Format</w:t>
      </w:r>
      <w:r w:rsidR="00A07A89">
        <w:rPr>
          <w:snapToGrid w:val="0"/>
        </w:rPr>
        <w:t>, CG Docket 98-170</w:t>
      </w:r>
    </w:p>
    <w:p w14:paraId="1E489D6B" w14:textId="4CB706D1" w:rsidR="00A07A89" w:rsidRDefault="00A07A89" w:rsidP="004F6866">
      <w:r>
        <w:t>Dear Ms. Dortch:</w:t>
      </w:r>
    </w:p>
    <w:p w14:paraId="248D59FE" w14:textId="7AD11C22" w:rsidR="00A07A89" w:rsidRDefault="00A07A89" w:rsidP="004F6866">
      <w:r>
        <w:t xml:space="preserve">On May 23, 2018, I met with Nirali Patel, Special Counsel to Chairman Pai, to discuss the petition for </w:t>
      </w:r>
      <w:r>
        <w:t>declaratory ruling filed by ITTA— The Voice of America’s Broadband Providers (ITTA).</w:t>
      </w:r>
      <w:r>
        <w:rPr>
          <w:rStyle w:val="FootnoteReference"/>
        </w:rPr>
        <w:footnoteReference w:id="1"/>
      </w:r>
      <w:r>
        <w:t xml:space="preserve">  Specifically, I noted that this issue is likely to come before the Commission in the near future, and that addressing </w:t>
      </w:r>
      <w:r w:rsidR="0029303E">
        <w:t xml:space="preserve">the ITTA </w:t>
      </w:r>
      <w:r>
        <w:t xml:space="preserve">petition </w:t>
      </w:r>
      <w:r w:rsidR="0029303E">
        <w:t xml:space="preserve">now </w:t>
      </w:r>
      <w:r>
        <w:t xml:space="preserve">would be more efficient for </w:t>
      </w:r>
      <w:r w:rsidR="0029303E">
        <w:t>the industry, consumers, and the Commission.</w:t>
      </w:r>
    </w:p>
    <w:p w14:paraId="248757AD" w14:textId="597A8464" w:rsidR="0029303E" w:rsidRDefault="0029303E" w:rsidP="004F6866">
      <w:r>
        <w:t>Please do not hesitate to contact me with any questions on this matter.</w:t>
      </w:r>
    </w:p>
    <w:p w14:paraId="4C35CFF0" w14:textId="4776FB56" w:rsidR="0029303E" w:rsidRDefault="0029303E" w:rsidP="004F6866"/>
    <w:p w14:paraId="3A94E138" w14:textId="36C2ADF3" w:rsidR="0029303E" w:rsidRDefault="0029303E" w:rsidP="004F6866">
      <w:r>
        <w:t>Best regards</w:t>
      </w:r>
      <w:bookmarkStart w:id="0" w:name="_GoBack"/>
      <w:bookmarkEnd w:id="0"/>
      <w:r>
        <w:t>,</w:t>
      </w:r>
    </w:p>
    <w:p w14:paraId="00A11448" w14:textId="2E40AED3" w:rsidR="0029303E" w:rsidRDefault="0029303E" w:rsidP="004F6866">
      <w:r>
        <w:t>/s/ Nicholas G. Alexander</w:t>
      </w:r>
    </w:p>
    <w:p w14:paraId="472A41FF" w14:textId="68BB14D0" w:rsidR="0029303E" w:rsidRDefault="0029303E" w:rsidP="0029303E">
      <w:pPr>
        <w:spacing w:after="0"/>
      </w:pPr>
      <w:r>
        <w:t>Nicholas G. Alexander</w:t>
      </w:r>
    </w:p>
    <w:p w14:paraId="6C1A6DBD" w14:textId="5C7D2E04" w:rsidR="0029303E" w:rsidRDefault="0029303E" w:rsidP="0029303E">
      <w:pPr>
        <w:spacing w:after="0"/>
      </w:pPr>
      <w:r>
        <w:t>Associate General Counsel</w:t>
      </w:r>
    </w:p>
    <w:p w14:paraId="57254E27" w14:textId="469BE94B" w:rsidR="004F6866" w:rsidRPr="004F6866" w:rsidRDefault="0029303E" w:rsidP="0029303E">
      <w:pPr>
        <w:spacing w:after="0"/>
      </w:pPr>
      <w:r>
        <w:t>CenturyLink, Inc.</w:t>
      </w:r>
    </w:p>
    <w:p w14:paraId="66EEBD94" w14:textId="77777777" w:rsidR="0029303E" w:rsidRDefault="0029303E" w:rsidP="004F6866">
      <w:pPr>
        <w:tabs>
          <w:tab w:val="left" w:pos="8085"/>
        </w:tabs>
      </w:pPr>
    </w:p>
    <w:p w14:paraId="3379CEE3" w14:textId="406956FE" w:rsidR="004F6866" w:rsidRPr="004F6866" w:rsidRDefault="0029303E" w:rsidP="004F6866">
      <w:pPr>
        <w:tabs>
          <w:tab w:val="left" w:pos="8085"/>
        </w:tabs>
      </w:pPr>
      <w:r>
        <w:t>cc:  Nirali Patel</w:t>
      </w:r>
      <w:r w:rsidR="004F6866">
        <w:tab/>
      </w:r>
    </w:p>
    <w:sectPr w:rsidR="004F6866" w:rsidRPr="004F6866" w:rsidSect="00AB500E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288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5E1104" w14:textId="77777777" w:rsidR="004D4FE2" w:rsidRDefault="004D4FE2" w:rsidP="007649B5">
      <w:pPr>
        <w:spacing w:after="0" w:line="240" w:lineRule="auto"/>
      </w:pPr>
      <w:r>
        <w:separator/>
      </w:r>
    </w:p>
  </w:endnote>
  <w:endnote w:type="continuationSeparator" w:id="0">
    <w:p w14:paraId="14A2AA79" w14:textId="77777777" w:rsidR="004D4FE2" w:rsidRDefault="004D4FE2" w:rsidP="00764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0E599" w14:textId="77777777" w:rsidR="00AB500E" w:rsidRPr="00AB500E" w:rsidRDefault="00AB500E">
    <w:pPr>
      <w:rPr>
        <w:sz w:val="12"/>
        <w:szCs w:val="12"/>
      </w:rPr>
    </w:pPr>
  </w:p>
  <w:tbl>
    <w:tblPr>
      <w:tblW w:w="2322" w:type="dxa"/>
      <w:tblInd w:w="7758" w:type="dxa"/>
      <w:tblLook w:val="04A0" w:firstRow="1" w:lastRow="0" w:firstColumn="1" w:lastColumn="0" w:noHBand="0" w:noVBand="1"/>
    </w:tblPr>
    <w:tblGrid>
      <w:gridCol w:w="2322"/>
    </w:tblGrid>
    <w:tr w:rsidR="00AB500E" w:rsidRPr="00AB500E" w14:paraId="2452A4CE" w14:textId="77777777" w:rsidTr="008A490B">
      <w:tc>
        <w:tcPr>
          <w:tcW w:w="2322" w:type="dxa"/>
          <w:shd w:val="clear" w:color="auto" w:fill="auto"/>
        </w:tcPr>
        <w:p w14:paraId="0024F188" w14:textId="77777777" w:rsidR="00AB500E" w:rsidRPr="008A490B" w:rsidRDefault="00AB500E" w:rsidP="008A490B">
          <w:pPr>
            <w:pStyle w:val="Footer"/>
            <w:jc w:val="both"/>
            <w:rPr>
              <w:rFonts w:ascii="Arial" w:hAnsi="Arial" w:cs="Arial"/>
              <w:sz w:val="16"/>
              <w:szCs w:val="16"/>
            </w:rPr>
          </w:pPr>
        </w:p>
      </w:tc>
    </w:tr>
    <w:tr w:rsidR="00AB500E" w:rsidRPr="00AB500E" w14:paraId="5A91B171" w14:textId="77777777" w:rsidTr="008A490B">
      <w:tc>
        <w:tcPr>
          <w:tcW w:w="2322" w:type="dxa"/>
          <w:shd w:val="clear" w:color="auto" w:fill="auto"/>
        </w:tcPr>
        <w:p w14:paraId="118947BC" w14:textId="77777777" w:rsidR="00AB500E" w:rsidRPr="008A490B" w:rsidRDefault="00AB500E" w:rsidP="008A490B">
          <w:pPr>
            <w:pStyle w:val="Footer"/>
            <w:jc w:val="both"/>
            <w:rPr>
              <w:rFonts w:ascii="Arial" w:hAnsi="Arial" w:cs="Arial"/>
              <w:sz w:val="16"/>
              <w:szCs w:val="16"/>
            </w:rPr>
          </w:pPr>
        </w:p>
      </w:tc>
    </w:tr>
    <w:tr w:rsidR="00AB500E" w:rsidRPr="00AB500E" w14:paraId="1B7CA09B" w14:textId="77777777" w:rsidTr="008A490B">
      <w:tc>
        <w:tcPr>
          <w:tcW w:w="2322" w:type="dxa"/>
          <w:shd w:val="clear" w:color="auto" w:fill="auto"/>
        </w:tcPr>
        <w:p w14:paraId="22511418" w14:textId="77777777" w:rsidR="00AB500E" w:rsidRPr="008A490B" w:rsidRDefault="00AB500E" w:rsidP="008A490B">
          <w:pPr>
            <w:pStyle w:val="Footer"/>
            <w:jc w:val="both"/>
            <w:rPr>
              <w:rFonts w:ascii="Arial" w:hAnsi="Arial" w:cs="Arial"/>
              <w:sz w:val="16"/>
              <w:szCs w:val="16"/>
            </w:rPr>
          </w:pPr>
        </w:p>
      </w:tc>
    </w:tr>
    <w:tr w:rsidR="00AB500E" w14:paraId="46A14430" w14:textId="77777777" w:rsidTr="008A490B">
      <w:tc>
        <w:tcPr>
          <w:tcW w:w="2322" w:type="dxa"/>
          <w:shd w:val="clear" w:color="auto" w:fill="auto"/>
        </w:tcPr>
        <w:p w14:paraId="172A2384" w14:textId="77777777" w:rsidR="00AB500E" w:rsidRPr="008A490B" w:rsidRDefault="00AB500E" w:rsidP="008A490B">
          <w:pPr>
            <w:pStyle w:val="Footer"/>
            <w:jc w:val="both"/>
            <w:rPr>
              <w:rFonts w:ascii="Arial" w:hAnsi="Arial" w:cs="Arial"/>
              <w:sz w:val="16"/>
              <w:szCs w:val="16"/>
            </w:rPr>
          </w:pPr>
        </w:p>
      </w:tc>
    </w:tr>
  </w:tbl>
  <w:p w14:paraId="33C1B8FC" w14:textId="77777777" w:rsidR="00AB500E" w:rsidRDefault="00AB500E" w:rsidP="00AB500E">
    <w:pPr>
      <w:pStyle w:val="Footer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842" w:type="dxa"/>
      <w:tblInd w:w="7578" w:type="dxa"/>
      <w:tblLook w:val="04A0" w:firstRow="1" w:lastRow="0" w:firstColumn="1" w:lastColumn="0" w:noHBand="0" w:noVBand="1"/>
    </w:tblPr>
    <w:tblGrid>
      <w:gridCol w:w="2655"/>
      <w:gridCol w:w="2187"/>
    </w:tblGrid>
    <w:tr w:rsidR="00296E54" w:rsidRPr="00AB500E" w14:paraId="363C5935" w14:textId="77777777" w:rsidTr="004F6866">
      <w:tc>
        <w:tcPr>
          <w:tcW w:w="2520" w:type="dxa"/>
        </w:tcPr>
        <w:p w14:paraId="5D105DAA" w14:textId="09F6748A" w:rsidR="00296E54" w:rsidRPr="008A490B" w:rsidRDefault="004F6866" w:rsidP="004F6866">
          <w:pPr>
            <w:pStyle w:val="Foo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1099 New York Ave., Suite 250</w:t>
          </w:r>
        </w:p>
      </w:tc>
      <w:tc>
        <w:tcPr>
          <w:tcW w:w="2322" w:type="dxa"/>
          <w:shd w:val="clear" w:color="auto" w:fill="auto"/>
        </w:tcPr>
        <w:p w14:paraId="57E63998" w14:textId="77777777" w:rsidR="00296E54" w:rsidRPr="008A490B" w:rsidRDefault="00296E54" w:rsidP="008A490B">
          <w:pPr>
            <w:pStyle w:val="Footer"/>
            <w:jc w:val="both"/>
            <w:rPr>
              <w:rFonts w:ascii="Arial" w:hAnsi="Arial" w:cs="Arial"/>
              <w:sz w:val="16"/>
              <w:szCs w:val="16"/>
            </w:rPr>
          </w:pPr>
        </w:p>
      </w:tc>
    </w:tr>
    <w:tr w:rsidR="00296E54" w:rsidRPr="00AB500E" w14:paraId="3578CA69" w14:textId="77777777" w:rsidTr="004F6866">
      <w:tc>
        <w:tcPr>
          <w:tcW w:w="2520" w:type="dxa"/>
        </w:tcPr>
        <w:p w14:paraId="443709B0" w14:textId="7D26EC87" w:rsidR="00296E54" w:rsidRPr="008A490B" w:rsidRDefault="004F6866" w:rsidP="00D9322E">
          <w:pPr>
            <w:pStyle w:val="Footer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Washington, DC, 20001</w:t>
          </w:r>
        </w:p>
      </w:tc>
      <w:tc>
        <w:tcPr>
          <w:tcW w:w="2322" w:type="dxa"/>
          <w:shd w:val="clear" w:color="auto" w:fill="auto"/>
        </w:tcPr>
        <w:p w14:paraId="0E7B9110" w14:textId="77777777" w:rsidR="00296E54" w:rsidRPr="008A490B" w:rsidRDefault="00296E54" w:rsidP="008A490B">
          <w:pPr>
            <w:pStyle w:val="Footer"/>
            <w:jc w:val="both"/>
            <w:rPr>
              <w:rFonts w:ascii="Arial" w:hAnsi="Arial" w:cs="Arial"/>
              <w:sz w:val="16"/>
              <w:szCs w:val="16"/>
            </w:rPr>
          </w:pPr>
        </w:p>
      </w:tc>
    </w:tr>
    <w:tr w:rsidR="00296E54" w:rsidRPr="00AB500E" w14:paraId="58D62632" w14:textId="77777777" w:rsidTr="004F6866">
      <w:tc>
        <w:tcPr>
          <w:tcW w:w="2520" w:type="dxa"/>
        </w:tcPr>
        <w:p w14:paraId="75F9EF70" w14:textId="76979085" w:rsidR="00296E54" w:rsidRPr="008A490B" w:rsidRDefault="00296E54" w:rsidP="00D9322E">
          <w:pPr>
            <w:pStyle w:val="Footer"/>
            <w:jc w:val="both"/>
            <w:rPr>
              <w:rFonts w:ascii="Arial" w:hAnsi="Arial" w:cs="Arial"/>
              <w:sz w:val="16"/>
              <w:szCs w:val="16"/>
            </w:rPr>
          </w:pPr>
          <w:r w:rsidRPr="008A490B">
            <w:rPr>
              <w:rFonts w:ascii="Arial" w:hAnsi="Arial" w:cs="Arial"/>
              <w:sz w:val="16"/>
              <w:szCs w:val="16"/>
            </w:rPr>
            <w:t xml:space="preserve">Tel: </w:t>
          </w:r>
          <w:r w:rsidR="004F6866">
            <w:rPr>
              <w:rFonts w:ascii="Arial" w:hAnsi="Arial" w:cs="Arial"/>
              <w:sz w:val="16"/>
              <w:szCs w:val="16"/>
            </w:rPr>
            <w:t>571.730.6473</w:t>
          </w:r>
        </w:p>
      </w:tc>
      <w:tc>
        <w:tcPr>
          <w:tcW w:w="2322" w:type="dxa"/>
          <w:shd w:val="clear" w:color="auto" w:fill="auto"/>
        </w:tcPr>
        <w:p w14:paraId="10639EF7" w14:textId="77777777" w:rsidR="00296E54" w:rsidRPr="008A490B" w:rsidRDefault="00296E54" w:rsidP="00D31AE7">
          <w:pPr>
            <w:pStyle w:val="Footer"/>
            <w:jc w:val="both"/>
            <w:rPr>
              <w:rFonts w:ascii="Arial" w:hAnsi="Arial" w:cs="Arial"/>
              <w:sz w:val="16"/>
              <w:szCs w:val="16"/>
            </w:rPr>
          </w:pPr>
        </w:p>
      </w:tc>
    </w:tr>
    <w:tr w:rsidR="00296E54" w14:paraId="73A1CDF7" w14:textId="77777777" w:rsidTr="004F6866">
      <w:tc>
        <w:tcPr>
          <w:tcW w:w="2520" w:type="dxa"/>
        </w:tcPr>
        <w:p w14:paraId="2A843C69" w14:textId="506F4966" w:rsidR="00296E54" w:rsidRPr="008A490B" w:rsidRDefault="004F6866" w:rsidP="00D9322E">
          <w:pPr>
            <w:pStyle w:val="Footer"/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Nick.Alexander@CenturyLink.com</w:t>
          </w:r>
        </w:p>
      </w:tc>
      <w:tc>
        <w:tcPr>
          <w:tcW w:w="2322" w:type="dxa"/>
          <w:shd w:val="clear" w:color="auto" w:fill="auto"/>
        </w:tcPr>
        <w:p w14:paraId="2E0E3F5E" w14:textId="77777777" w:rsidR="00296E54" w:rsidRPr="008A490B" w:rsidRDefault="00296E54" w:rsidP="008A490B">
          <w:pPr>
            <w:pStyle w:val="Footer"/>
            <w:jc w:val="both"/>
            <w:rPr>
              <w:rFonts w:ascii="Arial" w:hAnsi="Arial" w:cs="Arial"/>
              <w:sz w:val="16"/>
              <w:szCs w:val="16"/>
            </w:rPr>
          </w:pPr>
        </w:p>
      </w:tc>
    </w:tr>
  </w:tbl>
  <w:p w14:paraId="21676E40" w14:textId="77777777" w:rsidR="00AB500E" w:rsidRDefault="00AB50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39DAB7" w14:textId="77777777" w:rsidR="004D4FE2" w:rsidRDefault="004D4FE2" w:rsidP="007649B5">
      <w:pPr>
        <w:spacing w:after="0" w:line="240" w:lineRule="auto"/>
      </w:pPr>
      <w:r>
        <w:separator/>
      </w:r>
    </w:p>
  </w:footnote>
  <w:footnote w:type="continuationSeparator" w:id="0">
    <w:p w14:paraId="3ACCAD4F" w14:textId="77777777" w:rsidR="004D4FE2" w:rsidRDefault="004D4FE2" w:rsidP="007649B5">
      <w:pPr>
        <w:spacing w:after="0" w:line="240" w:lineRule="auto"/>
      </w:pPr>
      <w:r>
        <w:continuationSeparator/>
      </w:r>
    </w:p>
  </w:footnote>
  <w:footnote w:id="1">
    <w:p w14:paraId="6FC4060B" w14:textId="118A5E0C" w:rsidR="00A07A89" w:rsidRDefault="00A07A8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ITTA—The Voice of America’s Broadband Providers, Petition for Declaratory Ruling, CG Docket Nos. 03-123, 98-170 (filed May 8, 2018) (Petition).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2DC35" w14:textId="77777777" w:rsidR="00621B15" w:rsidRPr="007649B5" w:rsidRDefault="004D4FE2" w:rsidP="007649B5">
    <w:pPr>
      <w:pStyle w:val="Header"/>
    </w:pPr>
    <w:r>
      <w:rPr>
        <w:noProof/>
      </w:rPr>
      <w:pict w14:anchorId="6BA3666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297.9pt;margin-top:24.05pt;width:205.3pt;height:69.1pt;z-index:-1">
          <v:imagedata r:id="rId1" o:title="H_3CP_rgb_0412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0967CD" w14:textId="77777777" w:rsidR="00AB500E" w:rsidRDefault="004D4FE2">
    <w:pPr>
      <w:pStyle w:val="Header"/>
    </w:pPr>
    <w:r>
      <w:rPr>
        <w:noProof/>
      </w:rPr>
      <w:pict w14:anchorId="769CE2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285.9pt;margin-top:12.05pt;width:205.3pt;height:69.1pt;z-index:-2">
          <v:imagedata r:id="rId1" o:title="H_3CP_rgb_0412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NotTrackMoves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2496C"/>
    <w:rsid w:val="0004232F"/>
    <w:rsid w:val="000A0C31"/>
    <w:rsid w:val="00132B41"/>
    <w:rsid w:val="0016089E"/>
    <w:rsid w:val="001D51DC"/>
    <w:rsid w:val="0021635D"/>
    <w:rsid w:val="0026577E"/>
    <w:rsid w:val="0029303E"/>
    <w:rsid w:val="00296E54"/>
    <w:rsid w:val="002A5E95"/>
    <w:rsid w:val="002D40A4"/>
    <w:rsid w:val="00367E80"/>
    <w:rsid w:val="00377CA1"/>
    <w:rsid w:val="003974FC"/>
    <w:rsid w:val="0044798D"/>
    <w:rsid w:val="00484D09"/>
    <w:rsid w:val="004A2447"/>
    <w:rsid w:val="004C6D87"/>
    <w:rsid w:val="004D1B18"/>
    <w:rsid w:val="004D4FE2"/>
    <w:rsid w:val="004D51C8"/>
    <w:rsid w:val="004F406C"/>
    <w:rsid w:val="004F6866"/>
    <w:rsid w:val="005024E3"/>
    <w:rsid w:val="005F0F59"/>
    <w:rsid w:val="00621B15"/>
    <w:rsid w:val="006D394C"/>
    <w:rsid w:val="0072496C"/>
    <w:rsid w:val="00751AE3"/>
    <w:rsid w:val="007649B5"/>
    <w:rsid w:val="00773CF2"/>
    <w:rsid w:val="007C3683"/>
    <w:rsid w:val="007F0187"/>
    <w:rsid w:val="007F1A00"/>
    <w:rsid w:val="007F2955"/>
    <w:rsid w:val="00825171"/>
    <w:rsid w:val="008302D2"/>
    <w:rsid w:val="00856C12"/>
    <w:rsid w:val="00891C94"/>
    <w:rsid w:val="008A490B"/>
    <w:rsid w:val="008C38A9"/>
    <w:rsid w:val="008D09CF"/>
    <w:rsid w:val="00983116"/>
    <w:rsid w:val="00A07A89"/>
    <w:rsid w:val="00A14AF4"/>
    <w:rsid w:val="00A672B0"/>
    <w:rsid w:val="00AA2342"/>
    <w:rsid w:val="00AB500E"/>
    <w:rsid w:val="00B14AC4"/>
    <w:rsid w:val="00D1610C"/>
    <w:rsid w:val="00D31AE7"/>
    <w:rsid w:val="00D83CCE"/>
    <w:rsid w:val="00D9322E"/>
    <w:rsid w:val="00DD6E23"/>
    <w:rsid w:val="00DD7C0F"/>
    <w:rsid w:val="00E01FF0"/>
    <w:rsid w:val="00E576E1"/>
    <w:rsid w:val="00E93CC1"/>
    <w:rsid w:val="00EC210A"/>
    <w:rsid w:val="00EC4116"/>
    <w:rsid w:val="00EE5F50"/>
    <w:rsid w:val="00F17F22"/>
    <w:rsid w:val="00F22474"/>
    <w:rsid w:val="00F5323E"/>
    <w:rsid w:val="00F6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3"/>
    <o:shapelayout v:ext="edit">
      <o:idmap v:ext="edit" data="1"/>
    </o:shapelayout>
  </w:shapeDefaults>
  <w:decimalSymbol w:val="."/>
  <w:listSeparator w:val=","/>
  <w14:docId w14:val="6D1E904A"/>
  <w14:defaultImageDpi w14:val="300"/>
  <w15:chartTrackingRefBased/>
  <w15:docId w15:val="{71C67256-C732-4527-B25E-599AD3906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93CC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D51DC"/>
    <w:rPr>
      <w:sz w:val="22"/>
      <w:szCs w:val="22"/>
    </w:rPr>
  </w:style>
  <w:style w:type="table" w:styleId="TableGrid">
    <w:name w:val="Table Grid"/>
    <w:basedOn w:val="TableNormal"/>
    <w:uiPriority w:val="59"/>
    <w:rsid w:val="001D51D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649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649B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649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49B5"/>
  </w:style>
  <w:style w:type="paragraph" w:styleId="Footer">
    <w:name w:val="footer"/>
    <w:basedOn w:val="Normal"/>
    <w:link w:val="FooterChar"/>
    <w:uiPriority w:val="99"/>
    <w:unhideWhenUsed/>
    <w:rsid w:val="007649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49B5"/>
  </w:style>
  <w:style w:type="paragraph" w:styleId="FootnoteText">
    <w:name w:val="footnote text"/>
    <w:basedOn w:val="Normal"/>
    <w:link w:val="FootnoteTextChar"/>
    <w:uiPriority w:val="99"/>
    <w:semiHidden/>
    <w:unhideWhenUsed/>
    <w:rsid w:val="00A07A8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07A89"/>
  </w:style>
  <w:style w:type="character" w:styleId="FootnoteReference">
    <w:name w:val="footnote reference"/>
    <w:uiPriority w:val="99"/>
    <w:semiHidden/>
    <w:unhideWhenUsed/>
    <w:rsid w:val="00A07A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xander.nicholas\AppData\Local\Temp\Temp1_Brand%20Kit%20for%20Employees_1804.zip\Brand%20Kit%20for%20Employees_1804\Letterhead%20Template\Letterhead\CL_LH_14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2B79B4-E3BA-4ADC-BCED-34921046E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CL_LH_1401.dot</Template>
  <TotalTime>1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9300 Metcalf Avenue</vt:lpstr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9300 Metcalf Avenue</dc:title>
  <dc:subject/>
  <dc:creator>NICK ALEXANDER</dc:creator>
  <cp:keywords/>
  <cp:lastModifiedBy>Alexander, Nick</cp:lastModifiedBy>
  <cp:revision>2</cp:revision>
  <cp:lastPrinted>2009-07-01T14:54:00Z</cp:lastPrinted>
  <dcterms:created xsi:type="dcterms:W3CDTF">2018-05-25T14:44:00Z</dcterms:created>
  <dcterms:modified xsi:type="dcterms:W3CDTF">2018-05-25T14:44:00Z</dcterms:modified>
</cp:coreProperties>
</file>