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063" w:rsidRPr="004E1CBC" w:rsidRDefault="00762063" w:rsidP="00762063">
      <w:pPr>
        <w:jc w:val="center"/>
        <w:rPr>
          <w:sz w:val="24"/>
          <w:szCs w:val="24"/>
        </w:rPr>
      </w:pPr>
      <w:r w:rsidRPr="004E1CBC">
        <w:rPr>
          <w:sz w:val="24"/>
          <w:szCs w:val="24"/>
        </w:rPr>
        <w:t>Before the</w:t>
      </w:r>
    </w:p>
    <w:p w:rsidR="00762063" w:rsidRPr="004E1CBC" w:rsidRDefault="00762063" w:rsidP="00762063">
      <w:pPr>
        <w:pStyle w:val="StyleBoldCentered"/>
        <w:rPr>
          <w:rFonts w:ascii="Times New Roman" w:hAnsi="Times New Roman"/>
          <w:b w:val="0"/>
          <w:sz w:val="24"/>
          <w:szCs w:val="24"/>
        </w:rPr>
      </w:pPr>
      <w:r w:rsidRPr="004E1CBC">
        <w:rPr>
          <w:rFonts w:ascii="Times New Roman" w:hAnsi="Times New Roman"/>
          <w:b w:val="0"/>
          <w:sz w:val="24"/>
          <w:szCs w:val="24"/>
        </w:rPr>
        <w:t>Federal Communications Commission</w:t>
      </w:r>
    </w:p>
    <w:p w:rsidR="00762063" w:rsidRPr="004E1CBC" w:rsidRDefault="00762063" w:rsidP="00762063">
      <w:pPr>
        <w:pStyle w:val="StyleBoldCentered"/>
        <w:rPr>
          <w:rFonts w:ascii="Times New Roman" w:hAnsi="Times New Roman"/>
          <w:b w:val="0"/>
          <w:sz w:val="24"/>
          <w:szCs w:val="24"/>
        </w:rPr>
      </w:pPr>
      <w:r w:rsidRPr="004E1CBC">
        <w:rPr>
          <w:rFonts w:ascii="Times New Roman" w:hAnsi="Times New Roman"/>
          <w:b w:val="0"/>
          <w:caps w:val="0"/>
          <w:sz w:val="24"/>
          <w:szCs w:val="24"/>
        </w:rPr>
        <w:t>Washington, D.C. 20554</w:t>
      </w:r>
    </w:p>
    <w:p w:rsidR="00762063" w:rsidRPr="004E1CBC" w:rsidRDefault="00762063" w:rsidP="00762063">
      <w:pPr>
        <w:rPr>
          <w:b/>
          <w:sz w:val="24"/>
          <w:szCs w:val="24"/>
        </w:rPr>
      </w:pPr>
    </w:p>
    <w:p w:rsidR="000F3E53" w:rsidRDefault="000F3E53" w:rsidP="00762063">
      <w:pPr>
        <w:rPr>
          <w:sz w:val="24"/>
          <w:szCs w:val="24"/>
        </w:rPr>
      </w:pPr>
    </w:p>
    <w:p w:rsidR="000F3E53" w:rsidRDefault="000F3E53" w:rsidP="00762063">
      <w:pPr>
        <w:rPr>
          <w:sz w:val="24"/>
          <w:szCs w:val="24"/>
        </w:rPr>
      </w:pPr>
    </w:p>
    <w:p w:rsidR="000F3E53" w:rsidRPr="00762063" w:rsidRDefault="000F3E53" w:rsidP="00762063">
      <w:pPr>
        <w:rPr>
          <w:sz w:val="24"/>
          <w:szCs w:val="24"/>
        </w:rPr>
      </w:pPr>
    </w:p>
    <w:tbl>
      <w:tblPr>
        <w:tblW w:w="9576" w:type="dxa"/>
        <w:tblLayout w:type="fixed"/>
        <w:tblLook w:val="0000" w:firstRow="0" w:lastRow="0" w:firstColumn="0" w:lastColumn="0" w:noHBand="0" w:noVBand="0"/>
      </w:tblPr>
      <w:tblGrid>
        <w:gridCol w:w="4698"/>
        <w:gridCol w:w="630"/>
        <w:gridCol w:w="4248"/>
      </w:tblGrid>
      <w:tr w:rsidR="00762063" w:rsidRPr="00762063" w:rsidTr="00507EA3">
        <w:trPr>
          <w:trHeight w:val="1080"/>
        </w:trPr>
        <w:tc>
          <w:tcPr>
            <w:tcW w:w="4698" w:type="dxa"/>
          </w:tcPr>
          <w:p w:rsidR="00762063" w:rsidRPr="00762063" w:rsidRDefault="00762063" w:rsidP="00507EA3">
            <w:pPr>
              <w:tabs>
                <w:tab w:val="center" w:pos="4680"/>
              </w:tabs>
              <w:suppressAutoHyphens/>
              <w:rPr>
                <w:spacing w:val="-2"/>
                <w:sz w:val="24"/>
                <w:szCs w:val="24"/>
              </w:rPr>
            </w:pPr>
            <w:r w:rsidRPr="00762063">
              <w:rPr>
                <w:spacing w:val="-2"/>
                <w:sz w:val="24"/>
                <w:szCs w:val="24"/>
              </w:rPr>
              <w:t>In the Matter of</w:t>
            </w:r>
          </w:p>
          <w:p w:rsidR="00762063" w:rsidRPr="00762063" w:rsidRDefault="00762063" w:rsidP="00507EA3">
            <w:pPr>
              <w:tabs>
                <w:tab w:val="center" w:pos="4680"/>
              </w:tabs>
              <w:suppressAutoHyphens/>
              <w:rPr>
                <w:spacing w:val="-2"/>
                <w:sz w:val="24"/>
                <w:szCs w:val="24"/>
              </w:rPr>
            </w:pPr>
          </w:p>
          <w:p w:rsidR="00762063" w:rsidRPr="00762063" w:rsidRDefault="00762063" w:rsidP="00507EA3">
            <w:pPr>
              <w:tabs>
                <w:tab w:val="center" w:pos="4680"/>
              </w:tabs>
              <w:suppressAutoHyphens/>
              <w:rPr>
                <w:spacing w:val="-2"/>
                <w:sz w:val="24"/>
                <w:szCs w:val="24"/>
              </w:rPr>
            </w:pPr>
            <w:r w:rsidRPr="00762063">
              <w:rPr>
                <w:spacing w:val="-2"/>
                <w:sz w:val="24"/>
                <w:szCs w:val="24"/>
              </w:rPr>
              <w:t>Review of the Commission’s Rules Governing the 896-901/935-940 MHz Band</w:t>
            </w:r>
          </w:p>
          <w:p w:rsidR="00762063" w:rsidRPr="00762063" w:rsidRDefault="00762063" w:rsidP="00507EA3">
            <w:pPr>
              <w:tabs>
                <w:tab w:val="center" w:pos="4680"/>
              </w:tabs>
              <w:suppressAutoHyphens/>
              <w:rPr>
                <w:spacing w:val="-2"/>
                <w:sz w:val="24"/>
                <w:szCs w:val="24"/>
              </w:rPr>
            </w:pPr>
          </w:p>
        </w:tc>
        <w:tc>
          <w:tcPr>
            <w:tcW w:w="630" w:type="dxa"/>
          </w:tcPr>
          <w:p w:rsidR="00762063" w:rsidRPr="00762063" w:rsidRDefault="00762063" w:rsidP="00507EA3">
            <w:pPr>
              <w:tabs>
                <w:tab w:val="center" w:pos="4680"/>
              </w:tabs>
              <w:suppressAutoHyphens/>
              <w:rPr>
                <w:b/>
                <w:spacing w:val="-2"/>
                <w:sz w:val="24"/>
                <w:szCs w:val="24"/>
              </w:rPr>
            </w:pPr>
            <w:r w:rsidRPr="00762063">
              <w:rPr>
                <w:b/>
                <w:spacing w:val="-2"/>
                <w:sz w:val="24"/>
                <w:szCs w:val="24"/>
              </w:rPr>
              <w:t>)</w:t>
            </w:r>
          </w:p>
          <w:p w:rsidR="00762063" w:rsidRPr="00762063" w:rsidRDefault="00762063" w:rsidP="00507EA3">
            <w:pPr>
              <w:tabs>
                <w:tab w:val="center" w:pos="4680"/>
              </w:tabs>
              <w:suppressAutoHyphens/>
              <w:rPr>
                <w:b/>
                <w:spacing w:val="-2"/>
                <w:sz w:val="24"/>
                <w:szCs w:val="24"/>
              </w:rPr>
            </w:pPr>
            <w:r w:rsidRPr="00762063">
              <w:rPr>
                <w:b/>
                <w:spacing w:val="-2"/>
                <w:sz w:val="24"/>
                <w:szCs w:val="24"/>
              </w:rPr>
              <w:t>)</w:t>
            </w:r>
          </w:p>
          <w:p w:rsidR="00762063" w:rsidRPr="00762063" w:rsidRDefault="00762063" w:rsidP="00507EA3">
            <w:pPr>
              <w:tabs>
                <w:tab w:val="center" w:pos="4680"/>
              </w:tabs>
              <w:suppressAutoHyphens/>
              <w:rPr>
                <w:b/>
                <w:spacing w:val="-2"/>
                <w:sz w:val="24"/>
                <w:szCs w:val="24"/>
              </w:rPr>
            </w:pPr>
            <w:r w:rsidRPr="00762063">
              <w:rPr>
                <w:b/>
                <w:spacing w:val="-2"/>
                <w:sz w:val="24"/>
                <w:szCs w:val="24"/>
              </w:rPr>
              <w:t>)</w:t>
            </w:r>
          </w:p>
          <w:p w:rsidR="00762063" w:rsidRPr="00762063" w:rsidRDefault="00762063" w:rsidP="00507EA3">
            <w:pPr>
              <w:tabs>
                <w:tab w:val="center" w:pos="4680"/>
              </w:tabs>
              <w:suppressAutoHyphens/>
              <w:rPr>
                <w:b/>
                <w:spacing w:val="-2"/>
                <w:sz w:val="24"/>
                <w:szCs w:val="24"/>
              </w:rPr>
            </w:pPr>
            <w:r w:rsidRPr="00762063">
              <w:rPr>
                <w:b/>
                <w:spacing w:val="-2"/>
                <w:sz w:val="24"/>
                <w:szCs w:val="24"/>
              </w:rPr>
              <w:t xml:space="preserve">) </w:t>
            </w:r>
          </w:p>
        </w:tc>
        <w:tc>
          <w:tcPr>
            <w:tcW w:w="4248" w:type="dxa"/>
          </w:tcPr>
          <w:p w:rsidR="00762063" w:rsidRPr="00762063" w:rsidRDefault="00762063" w:rsidP="00507EA3">
            <w:pPr>
              <w:tabs>
                <w:tab w:val="center" w:pos="4680"/>
              </w:tabs>
              <w:suppressAutoHyphens/>
              <w:rPr>
                <w:spacing w:val="-2"/>
                <w:sz w:val="24"/>
                <w:szCs w:val="24"/>
              </w:rPr>
            </w:pPr>
          </w:p>
          <w:p w:rsidR="00762063" w:rsidRPr="00762063" w:rsidRDefault="00762063" w:rsidP="00507EA3">
            <w:pPr>
              <w:pStyle w:val="TOAHeading"/>
              <w:tabs>
                <w:tab w:val="clear" w:pos="9360"/>
                <w:tab w:val="center" w:pos="4680"/>
              </w:tabs>
              <w:rPr>
                <w:spacing w:val="-2"/>
                <w:sz w:val="24"/>
                <w:szCs w:val="24"/>
              </w:rPr>
            </w:pPr>
          </w:p>
          <w:p w:rsidR="00762063" w:rsidRPr="00762063" w:rsidRDefault="00762063" w:rsidP="00507EA3">
            <w:pPr>
              <w:tabs>
                <w:tab w:val="center" w:pos="4680"/>
              </w:tabs>
              <w:suppressAutoHyphens/>
              <w:rPr>
                <w:spacing w:val="-2"/>
                <w:sz w:val="24"/>
                <w:szCs w:val="24"/>
              </w:rPr>
            </w:pPr>
            <w:r w:rsidRPr="00762063">
              <w:rPr>
                <w:spacing w:val="-2"/>
                <w:sz w:val="24"/>
                <w:szCs w:val="24"/>
              </w:rPr>
              <w:t>WT Docket No. 17-200</w:t>
            </w:r>
          </w:p>
          <w:p w:rsidR="00762063" w:rsidRPr="00762063" w:rsidRDefault="00762063" w:rsidP="00507EA3">
            <w:pPr>
              <w:tabs>
                <w:tab w:val="center" w:pos="4680"/>
              </w:tabs>
              <w:suppressAutoHyphens/>
              <w:rPr>
                <w:spacing w:val="-2"/>
                <w:sz w:val="24"/>
                <w:szCs w:val="24"/>
              </w:rPr>
            </w:pPr>
          </w:p>
        </w:tc>
      </w:tr>
    </w:tbl>
    <w:p w:rsidR="00507EA3" w:rsidRPr="00762063" w:rsidRDefault="00507EA3">
      <w:pPr>
        <w:rPr>
          <w:sz w:val="24"/>
          <w:szCs w:val="24"/>
        </w:rPr>
      </w:pPr>
    </w:p>
    <w:p w:rsidR="00762063" w:rsidRDefault="00762063">
      <w:pPr>
        <w:rPr>
          <w:sz w:val="24"/>
          <w:szCs w:val="24"/>
        </w:rPr>
      </w:pPr>
      <w:r w:rsidRPr="00762063">
        <w:rPr>
          <w:sz w:val="24"/>
          <w:szCs w:val="24"/>
        </w:rPr>
        <w:t>To: The Commission</w:t>
      </w:r>
    </w:p>
    <w:p w:rsidR="000F3E53" w:rsidRDefault="000F3E53">
      <w:pPr>
        <w:rPr>
          <w:sz w:val="24"/>
          <w:szCs w:val="24"/>
        </w:rPr>
      </w:pPr>
    </w:p>
    <w:p w:rsidR="000F3E53" w:rsidRDefault="000F3E53">
      <w:pPr>
        <w:rPr>
          <w:sz w:val="24"/>
          <w:szCs w:val="24"/>
        </w:rPr>
      </w:pPr>
    </w:p>
    <w:p w:rsidR="000F3E53" w:rsidRDefault="000F3E53">
      <w:pPr>
        <w:rPr>
          <w:sz w:val="24"/>
          <w:szCs w:val="24"/>
        </w:rPr>
      </w:pPr>
    </w:p>
    <w:p w:rsidR="000F3E53" w:rsidRDefault="000F3E53">
      <w:pPr>
        <w:rPr>
          <w:sz w:val="24"/>
          <w:szCs w:val="24"/>
        </w:rPr>
      </w:pPr>
    </w:p>
    <w:p w:rsidR="000F3E53" w:rsidRDefault="000F3E53" w:rsidP="000F3E53">
      <w:pPr>
        <w:jc w:val="center"/>
        <w:rPr>
          <w:b/>
          <w:sz w:val="28"/>
          <w:szCs w:val="28"/>
        </w:rPr>
      </w:pPr>
      <w:r w:rsidRPr="00762063">
        <w:rPr>
          <w:b/>
          <w:sz w:val="28"/>
          <w:szCs w:val="28"/>
        </w:rPr>
        <w:t>Comments of Southern California Edison</w:t>
      </w:r>
    </w:p>
    <w:p w:rsidR="000F3E53" w:rsidRPr="000F3E53" w:rsidRDefault="000F3E53" w:rsidP="000F3E53">
      <w:pPr>
        <w:jc w:val="center"/>
        <w:rPr>
          <w:sz w:val="24"/>
          <w:szCs w:val="24"/>
        </w:rPr>
      </w:pPr>
    </w:p>
    <w:p w:rsidR="000F3E53" w:rsidRDefault="000F3E53" w:rsidP="000F3E53">
      <w:pPr>
        <w:jc w:val="center"/>
        <w:rPr>
          <w:sz w:val="24"/>
          <w:szCs w:val="24"/>
        </w:rPr>
      </w:pPr>
    </w:p>
    <w:p w:rsidR="000F3E53" w:rsidRDefault="000F3E53" w:rsidP="000F3E53">
      <w:pPr>
        <w:jc w:val="center"/>
        <w:rPr>
          <w:sz w:val="24"/>
          <w:szCs w:val="24"/>
        </w:rPr>
      </w:pPr>
    </w:p>
    <w:p w:rsidR="000F3E53" w:rsidRDefault="000F3E53" w:rsidP="000F3E53">
      <w:pPr>
        <w:jc w:val="center"/>
        <w:rPr>
          <w:sz w:val="24"/>
          <w:szCs w:val="24"/>
        </w:rPr>
      </w:pPr>
    </w:p>
    <w:p w:rsidR="000F3E53" w:rsidRDefault="000F3E53" w:rsidP="004523FC">
      <w:pPr>
        <w:ind w:left="720"/>
        <w:jc w:val="center"/>
        <w:rPr>
          <w:sz w:val="24"/>
          <w:szCs w:val="24"/>
        </w:rPr>
      </w:pPr>
    </w:p>
    <w:p w:rsidR="008A358B" w:rsidRDefault="005D0C09" w:rsidP="005D0C09">
      <w:pPr>
        <w:rPr>
          <w:bCs/>
          <w:sz w:val="24"/>
          <w:szCs w:val="24"/>
        </w:rPr>
      </w:pPr>
      <w:r w:rsidRPr="005D0C09">
        <w:rPr>
          <w:bCs/>
          <w:sz w:val="24"/>
          <w:szCs w:val="24"/>
        </w:rPr>
        <w:t>Gloria M. Ing</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sidR="008A358B">
        <w:rPr>
          <w:bCs/>
          <w:sz w:val="24"/>
          <w:szCs w:val="24"/>
        </w:rPr>
        <w:t>Donald J. Evans</w:t>
      </w:r>
    </w:p>
    <w:p w:rsidR="008A358B" w:rsidRDefault="008A358B" w:rsidP="005D0C09">
      <w:pPr>
        <w:rPr>
          <w:bCs/>
          <w:sz w:val="24"/>
          <w:szCs w:val="24"/>
        </w:rPr>
      </w:pPr>
    </w:p>
    <w:p w:rsidR="005D0C09" w:rsidRPr="008A358B" w:rsidRDefault="003F046B" w:rsidP="008A358B">
      <w:pPr>
        <w:pStyle w:val="NoSpacing"/>
      </w:pPr>
      <w:r w:rsidRPr="008A358B">
        <w:t>Senior Attorney</w:t>
      </w:r>
      <w:r w:rsidR="008A358B" w:rsidRPr="008A358B">
        <w:tab/>
      </w:r>
      <w:r w:rsidR="008A358B" w:rsidRPr="008A358B">
        <w:tab/>
      </w:r>
      <w:r w:rsidR="008A358B" w:rsidRPr="008A358B">
        <w:tab/>
      </w:r>
      <w:r w:rsidR="008A358B" w:rsidRPr="008A358B">
        <w:tab/>
      </w:r>
      <w:r>
        <w:tab/>
      </w:r>
      <w:r w:rsidR="005D0C09" w:rsidRPr="008A358B">
        <w:t>Fletcher, Heald &amp; Hildreth</w:t>
      </w:r>
    </w:p>
    <w:p w:rsidR="005D0C09" w:rsidRPr="005D0C09" w:rsidRDefault="003F046B" w:rsidP="008A358B">
      <w:pPr>
        <w:pStyle w:val="NoSpacing"/>
      </w:pPr>
      <w:r w:rsidRPr="005D0C09">
        <w:rPr>
          <w:szCs w:val="24"/>
        </w:rPr>
        <w:t>Law Department</w:t>
      </w:r>
      <w:r w:rsidR="005D0C09">
        <w:tab/>
      </w:r>
      <w:r w:rsidR="005D0C09">
        <w:tab/>
      </w:r>
      <w:r w:rsidR="005D0C09">
        <w:tab/>
      </w:r>
      <w:r w:rsidR="005D0C09">
        <w:tab/>
      </w:r>
      <w:r w:rsidR="005D0C09">
        <w:tab/>
        <w:t>1300 N. 17</w:t>
      </w:r>
      <w:r w:rsidR="005D0C09" w:rsidRPr="005D0C09">
        <w:rPr>
          <w:vertAlign w:val="superscript"/>
        </w:rPr>
        <w:t>th</w:t>
      </w:r>
      <w:r w:rsidR="005D0C09">
        <w:t xml:space="preserve"> St.</w:t>
      </w:r>
    </w:p>
    <w:p w:rsidR="003F046B" w:rsidRDefault="003F046B" w:rsidP="005D0C09">
      <w:pPr>
        <w:rPr>
          <w:sz w:val="24"/>
          <w:szCs w:val="24"/>
        </w:rPr>
      </w:pPr>
      <w:r w:rsidRPr="005D0C09">
        <w:rPr>
          <w:sz w:val="24"/>
          <w:szCs w:val="24"/>
        </w:rPr>
        <w:t>T. 626-302-1999</w:t>
      </w:r>
      <w:r w:rsidR="005D0C09">
        <w:rPr>
          <w:sz w:val="24"/>
          <w:szCs w:val="24"/>
        </w:rPr>
        <w:tab/>
      </w:r>
      <w:r w:rsidR="005D0C09">
        <w:rPr>
          <w:sz w:val="24"/>
          <w:szCs w:val="24"/>
        </w:rPr>
        <w:tab/>
      </w:r>
      <w:r w:rsidR="005D0C09">
        <w:rPr>
          <w:sz w:val="24"/>
          <w:szCs w:val="24"/>
        </w:rPr>
        <w:tab/>
      </w:r>
      <w:r w:rsidR="005D0C09">
        <w:rPr>
          <w:sz w:val="24"/>
          <w:szCs w:val="24"/>
        </w:rPr>
        <w:tab/>
      </w:r>
      <w:r w:rsidR="005D0C09">
        <w:rPr>
          <w:sz w:val="24"/>
          <w:szCs w:val="24"/>
        </w:rPr>
        <w:tab/>
        <w:t>Suite 1100</w:t>
      </w:r>
      <w:r w:rsidR="005D0C09">
        <w:rPr>
          <w:sz w:val="24"/>
          <w:szCs w:val="24"/>
        </w:rPr>
        <w:tab/>
      </w:r>
      <w:r w:rsidR="005D0C09">
        <w:rPr>
          <w:sz w:val="24"/>
          <w:szCs w:val="24"/>
        </w:rPr>
        <w:tab/>
      </w:r>
      <w:r w:rsidR="005D0C09">
        <w:rPr>
          <w:sz w:val="24"/>
          <w:szCs w:val="24"/>
        </w:rPr>
        <w:tab/>
      </w:r>
      <w:r w:rsidR="005D0C09">
        <w:rPr>
          <w:sz w:val="24"/>
          <w:szCs w:val="24"/>
        </w:rPr>
        <w:tab/>
      </w:r>
      <w:r>
        <w:tab/>
        <w:t xml:space="preserve"> </w:t>
      </w:r>
      <w:r w:rsidRPr="005D0C09">
        <w:t>2244</w:t>
      </w:r>
      <w:r>
        <w:t xml:space="preserve"> Walnut </w:t>
      </w:r>
      <w:r w:rsidRPr="005D0C09">
        <w:t>Grove Avenue,</w:t>
      </w:r>
      <w:r>
        <w:rPr>
          <w:sz w:val="24"/>
          <w:szCs w:val="24"/>
        </w:rPr>
        <w:tab/>
      </w:r>
      <w:r>
        <w:rPr>
          <w:sz w:val="24"/>
          <w:szCs w:val="24"/>
        </w:rPr>
        <w:tab/>
      </w:r>
      <w:r>
        <w:rPr>
          <w:sz w:val="24"/>
          <w:szCs w:val="24"/>
        </w:rPr>
        <w:tab/>
      </w:r>
      <w:r>
        <w:rPr>
          <w:sz w:val="24"/>
          <w:szCs w:val="24"/>
        </w:rPr>
        <w:tab/>
      </w:r>
      <w:r>
        <w:rPr>
          <w:sz w:val="24"/>
          <w:szCs w:val="24"/>
        </w:rPr>
        <w:t>Arlington, VA 22209</w:t>
      </w:r>
      <w:r>
        <w:rPr>
          <w:sz w:val="24"/>
          <w:szCs w:val="24"/>
        </w:rPr>
        <w:tab/>
      </w:r>
    </w:p>
    <w:p w:rsidR="005D0C09" w:rsidRPr="005D0C09" w:rsidRDefault="003F046B" w:rsidP="003F046B">
      <w:pPr>
        <w:pStyle w:val="NoSpacing"/>
        <w:rPr>
          <w:b/>
          <w:bCs/>
          <w:szCs w:val="24"/>
        </w:rPr>
      </w:pPr>
      <w:r w:rsidRPr="005D0C09">
        <w:t>Rosemead, CA  91770</w:t>
      </w:r>
      <w:bookmarkStart w:id="0" w:name="_GoBack"/>
      <w:bookmarkEnd w:id="0"/>
      <w:r>
        <w:rPr>
          <w:szCs w:val="24"/>
        </w:rPr>
        <w:tab/>
      </w:r>
      <w:r>
        <w:rPr>
          <w:szCs w:val="24"/>
        </w:rPr>
        <w:tab/>
      </w:r>
      <w:r>
        <w:rPr>
          <w:szCs w:val="24"/>
        </w:rPr>
        <w:tab/>
      </w:r>
      <w:r>
        <w:rPr>
          <w:szCs w:val="24"/>
        </w:rPr>
        <w:tab/>
      </w:r>
      <w:r>
        <w:t>703-812-0430</w:t>
      </w:r>
    </w:p>
    <w:p w:rsidR="005D0C09" w:rsidRPr="005D0C09" w:rsidRDefault="008A358B" w:rsidP="005D0C09">
      <w:pPr>
        <w:pStyle w:val="NoSpacing"/>
      </w:pPr>
      <w:r>
        <w:tab/>
      </w:r>
      <w:r>
        <w:tab/>
      </w:r>
      <w:r>
        <w:tab/>
      </w:r>
      <w:r>
        <w:tab/>
      </w:r>
      <w:r w:rsidR="003F046B">
        <w:tab/>
      </w:r>
      <w:r w:rsidR="003F046B">
        <w:tab/>
      </w:r>
      <w:r w:rsidR="003F046B">
        <w:tab/>
      </w:r>
    </w:p>
    <w:p w:rsidR="005D0C09" w:rsidRPr="00541A97" w:rsidRDefault="005D0C09" w:rsidP="005D0C09">
      <w:pPr>
        <w:rPr>
          <w:color w:val="1F497D"/>
          <w:sz w:val="24"/>
          <w:szCs w:val="24"/>
        </w:rPr>
      </w:pPr>
    </w:p>
    <w:p w:rsidR="004523FC" w:rsidRPr="004629BC" w:rsidRDefault="004523FC" w:rsidP="004523FC">
      <w:pPr>
        <w:pStyle w:val="ListParagraph"/>
        <w:autoSpaceDE w:val="0"/>
        <w:autoSpaceDN w:val="0"/>
        <w:adjustRightInd w:val="0"/>
        <w:ind w:left="5040"/>
        <w:rPr>
          <w:rFonts w:ascii="Times" w:hAnsi="Times" w:cs="Times"/>
          <w:sz w:val="24"/>
          <w:szCs w:val="24"/>
        </w:rPr>
      </w:pPr>
    </w:p>
    <w:p w:rsidR="004523FC" w:rsidRDefault="004523FC" w:rsidP="004523FC">
      <w:pPr>
        <w:pStyle w:val="ListParagraph"/>
        <w:autoSpaceDE w:val="0"/>
        <w:autoSpaceDN w:val="0"/>
        <w:adjustRightInd w:val="0"/>
        <w:ind w:left="0"/>
        <w:rPr>
          <w:rFonts w:ascii="Times" w:hAnsi="Times" w:cs="Times"/>
          <w:sz w:val="24"/>
          <w:szCs w:val="24"/>
        </w:rPr>
      </w:pPr>
    </w:p>
    <w:p w:rsidR="000F3E53" w:rsidRDefault="000F3E53" w:rsidP="004523FC">
      <w:pPr>
        <w:rPr>
          <w:sz w:val="24"/>
          <w:szCs w:val="24"/>
        </w:rPr>
      </w:pPr>
    </w:p>
    <w:p w:rsidR="000F3E53" w:rsidRDefault="00093229" w:rsidP="000F3E53">
      <w:pPr>
        <w:rPr>
          <w:sz w:val="24"/>
          <w:szCs w:val="24"/>
        </w:rPr>
      </w:pPr>
      <w:r>
        <w:rPr>
          <w:sz w:val="24"/>
          <w:szCs w:val="24"/>
        </w:rPr>
        <w:t>June 3,</w:t>
      </w:r>
      <w:r w:rsidR="000F3E53">
        <w:rPr>
          <w:sz w:val="24"/>
          <w:szCs w:val="24"/>
        </w:rPr>
        <w:t xml:space="preserve"> 2019</w:t>
      </w:r>
    </w:p>
    <w:p w:rsidR="004E1CBC" w:rsidRDefault="004E1CBC" w:rsidP="000F3E53">
      <w:pPr>
        <w:rPr>
          <w:sz w:val="24"/>
          <w:szCs w:val="24"/>
        </w:rPr>
      </w:pPr>
    </w:p>
    <w:p w:rsidR="00360A82" w:rsidRPr="00762063" w:rsidRDefault="00360A82">
      <w:pPr>
        <w:rPr>
          <w:sz w:val="24"/>
          <w:szCs w:val="24"/>
        </w:rPr>
      </w:pPr>
    </w:p>
    <w:p w:rsidR="000F3E53" w:rsidRDefault="000F3E53">
      <w:pPr>
        <w:sectPr w:rsidR="000F3E53" w:rsidSect="004523FC">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pPr>
    </w:p>
    <w:p w:rsidR="00C94FDE" w:rsidRDefault="00C94FDE" w:rsidP="004E1CBC">
      <w:pPr>
        <w:pStyle w:val="Heading1"/>
        <w:jc w:val="center"/>
        <w:rPr>
          <w:rFonts w:ascii="Times New Roman" w:hAnsi="Times New Roman" w:cs="Times New Roman"/>
          <w:b/>
          <w:color w:val="auto"/>
          <w:sz w:val="24"/>
        </w:rPr>
      </w:pPr>
    </w:p>
    <w:p w:rsidR="00C94FDE" w:rsidRDefault="00C94FDE" w:rsidP="004E1CBC">
      <w:pPr>
        <w:pStyle w:val="Heading1"/>
        <w:jc w:val="center"/>
        <w:rPr>
          <w:rFonts w:ascii="Times New Roman" w:hAnsi="Times New Roman" w:cs="Times New Roman"/>
          <w:b/>
          <w:color w:val="auto"/>
          <w:sz w:val="24"/>
        </w:rPr>
      </w:pPr>
    </w:p>
    <w:p w:rsidR="00762063" w:rsidRPr="000F3E53" w:rsidRDefault="000F3E53" w:rsidP="004E1CBC">
      <w:pPr>
        <w:pStyle w:val="Heading1"/>
        <w:jc w:val="center"/>
        <w:rPr>
          <w:rFonts w:ascii="Times New Roman" w:hAnsi="Times New Roman" w:cs="Times New Roman"/>
          <w:b/>
          <w:color w:val="auto"/>
          <w:sz w:val="24"/>
          <w:szCs w:val="24"/>
        </w:rPr>
      </w:pPr>
      <w:bookmarkStart w:id="1" w:name="_Toc10204859"/>
      <w:r w:rsidRPr="000F3E53">
        <w:rPr>
          <w:rFonts w:ascii="Times New Roman" w:hAnsi="Times New Roman" w:cs="Times New Roman"/>
          <w:b/>
          <w:color w:val="auto"/>
          <w:sz w:val="24"/>
        </w:rPr>
        <w:t>Summary</w:t>
      </w:r>
      <w:bookmarkEnd w:id="1"/>
    </w:p>
    <w:p w:rsidR="000F3E53" w:rsidRDefault="000F3E53"/>
    <w:p w:rsidR="005E2597" w:rsidRDefault="005E2597" w:rsidP="000F3E53">
      <w:pPr>
        <w:spacing w:line="480" w:lineRule="auto"/>
        <w:ind w:firstLine="720"/>
      </w:pPr>
    </w:p>
    <w:p w:rsidR="00C94FDE" w:rsidRPr="00D04C6A" w:rsidRDefault="005E2597" w:rsidP="000F3E53">
      <w:pPr>
        <w:spacing w:line="480" w:lineRule="auto"/>
        <w:ind w:firstLine="720"/>
        <w:rPr>
          <w:sz w:val="24"/>
          <w:szCs w:val="24"/>
        </w:rPr>
      </w:pPr>
      <w:r>
        <w:tab/>
      </w:r>
      <w:r w:rsidRPr="00D04C6A">
        <w:rPr>
          <w:sz w:val="24"/>
          <w:szCs w:val="24"/>
        </w:rPr>
        <w:t xml:space="preserve">These Comments submitted by Southern California Edison (SCE) strongly support the Commission’s proposal to create a broadband channel in the 900 MHz band – provided the proposal permits public utilities like SCE and others to have a chance to acquire the license and also that there is a clear path to relocating incumbents out of the band.   SCE, one of the largest electric utilities in the United States, details the exigent circumstances that require utilities to have broadband access, including weather conditions like hurricanes on the Gulf and Atlantic coasts, and drought/wildfire conditions on the west coast. </w:t>
      </w:r>
      <w:r w:rsidR="00C94FDE" w:rsidRPr="00D04C6A">
        <w:rPr>
          <w:sz w:val="24"/>
          <w:szCs w:val="24"/>
        </w:rPr>
        <w:tab/>
      </w:r>
      <w:r w:rsidRPr="00D04C6A">
        <w:rPr>
          <w:sz w:val="24"/>
          <w:szCs w:val="24"/>
        </w:rPr>
        <w:t>Threats from cyberattacks on utilities are also increasing and must be guarded against.</w:t>
      </w:r>
    </w:p>
    <w:p w:rsidR="005E2597" w:rsidRPr="00D04C6A" w:rsidRDefault="005E2597" w:rsidP="000F3E53">
      <w:pPr>
        <w:spacing w:line="480" w:lineRule="auto"/>
        <w:ind w:firstLine="720"/>
        <w:rPr>
          <w:sz w:val="24"/>
          <w:szCs w:val="24"/>
        </w:rPr>
      </w:pPr>
      <w:r w:rsidRPr="00D04C6A">
        <w:rPr>
          <w:sz w:val="24"/>
          <w:szCs w:val="24"/>
        </w:rPr>
        <w:t xml:space="preserve">SCE believes that eligibility for the </w:t>
      </w:r>
      <w:r w:rsidR="007B78D6" w:rsidRPr="00D04C6A">
        <w:rPr>
          <w:sz w:val="24"/>
          <w:szCs w:val="24"/>
        </w:rPr>
        <w:t>broadband</w:t>
      </w:r>
      <w:r w:rsidRPr="00D04C6A">
        <w:rPr>
          <w:sz w:val="24"/>
          <w:szCs w:val="24"/>
        </w:rPr>
        <w:t xml:space="preserve"> </w:t>
      </w:r>
      <w:r w:rsidR="007B78D6" w:rsidRPr="00D04C6A">
        <w:rPr>
          <w:sz w:val="24"/>
          <w:szCs w:val="24"/>
        </w:rPr>
        <w:t>license</w:t>
      </w:r>
      <w:r w:rsidRPr="00D04C6A">
        <w:rPr>
          <w:sz w:val="24"/>
          <w:szCs w:val="24"/>
        </w:rPr>
        <w:t xml:space="preserve"> should not be limited only to entities that hold all 20 SMR licenses.  This criterion is unreasonably restrictive and effectively awards the broadband license to a single entity which is not itself a utility.  </w:t>
      </w:r>
      <w:r w:rsidR="007B78D6" w:rsidRPr="00D04C6A">
        <w:rPr>
          <w:sz w:val="24"/>
          <w:szCs w:val="24"/>
        </w:rPr>
        <w:t>Eligibility</w:t>
      </w:r>
      <w:r w:rsidRPr="00D04C6A">
        <w:rPr>
          <w:sz w:val="24"/>
          <w:szCs w:val="24"/>
        </w:rPr>
        <w:t xml:space="preserve"> should be open to </w:t>
      </w:r>
      <w:r w:rsidR="005D0C09" w:rsidRPr="005D0C09">
        <w:rPr>
          <w:i/>
          <w:sz w:val="24"/>
          <w:szCs w:val="24"/>
        </w:rPr>
        <w:t>any</w:t>
      </w:r>
      <w:r w:rsidR="005D0C09">
        <w:rPr>
          <w:sz w:val="24"/>
          <w:szCs w:val="24"/>
        </w:rPr>
        <w:t xml:space="preserve"> </w:t>
      </w:r>
      <w:r w:rsidRPr="00D04C6A">
        <w:rPr>
          <w:sz w:val="24"/>
          <w:szCs w:val="24"/>
        </w:rPr>
        <w:t xml:space="preserve">900 MHz </w:t>
      </w:r>
      <w:r w:rsidR="008A358B">
        <w:rPr>
          <w:sz w:val="24"/>
          <w:szCs w:val="24"/>
        </w:rPr>
        <w:t xml:space="preserve">band </w:t>
      </w:r>
      <w:r w:rsidRPr="00D04C6A">
        <w:rPr>
          <w:sz w:val="24"/>
          <w:szCs w:val="24"/>
        </w:rPr>
        <w:t>incumbents.</w:t>
      </w:r>
      <w:r w:rsidR="001D0E8B" w:rsidRPr="00D04C6A">
        <w:rPr>
          <w:sz w:val="24"/>
          <w:szCs w:val="24"/>
        </w:rPr>
        <w:t xml:space="preserve">   The special public safety and mission-critical service responsibilities of utilities argue strongly for them to have preferential access to this spectrum, as against making this small amount of spectrum available for general common carrier-type usage. </w:t>
      </w:r>
    </w:p>
    <w:p w:rsidR="005E2597" w:rsidRPr="00D04C6A" w:rsidRDefault="005E2597" w:rsidP="000F3E53">
      <w:pPr>
        <w:spacing w:line="480" w:lineRule="auto"/>
        <w:ind w:firstLine="720"/>
        <w:rPr>
          <w:sz w:val="24"/>
          <w:szCs w:val="24"/>
        </w:rPr>
      </w:pPr>
      <w:r w:rsidRPr="00D04C6A">
        <w:rPr>
          <w:sz w:val="24"/>
          <w:szCs w:val="24"/>
        </w:rPr>
        <w:t>The relocation process should incentivize voluntary agreements among incumbents to clear the broadband spectrum segment by setting a firm deadline for such agreements with mandatory exit without reimbursement after that deadline.  Phasing out the MTA-based SMR license category by conversion to B/ILT license status will also free up spectrum for allocation to the broadband segment.</w:t>
      </w:r>
      <w:r w:rsidR="00F56093" w:rsidRPr="00D04C6A">
        <w:rPr>
          <w:sz w:val="24"/>
          <w:szCs w:val="24"/>
        </w:rPr>
        <w:t xml:space="preserve">   The </w:t>
      </w:r>
      <w:r w:rsidR="007B78D6" w:rsidRPr="00D04C6A">
        <w:rPr>
          <w:sz w:val="24"/>
          <w:szCs w:val="24"/>
        </w:rPr>
        <w:t>Commission</w:t>
      </w:r>
      <w:r w:rsidR="00F56093" w:rsidRPr="00D04C6A">
        <w:rPr>
          <w:sz w:val="24"/>
          <w:szCs w:val="24"/>
        </w:rPr>
        <w:t xml:space="preserve"> should actively pursue allocation of other available </w:t>
      </w:r>
      <w:r w:rsidR="00F56093" w:rsidRPr="00D04C6A">
        <w:rPr>
          <w:sz w:val="24"/>
          <w:szCs w:val="24"/>
        </w:rPr>
        <w:lastRenderedPageBreak/>
        <w:t xml:space="preserve">spectrum bands to accommodate the relocation of incumbents where 900 MHz spectrum is scarce. </w:t>
      </w:r>
    </w:p>
    <w:p w:rsidR="005E2597" w:rsidRPr="00D04C6A" w:rsidRDefault="005E2597" w:rsidP="000F3E53">
      <w:pPr>
        <w:spacing w:line="480" w:lineRule="auto"/>
        <w:ind w:firstLine="720"/>
        <w:rPr>
          <w:sz w:val="24"/>
          <w:szCs w:val="24"/>
        </w:rPr>
      </w:pPr>
      <w:r w:rsidRPr="00D04C6A">
        <w:rPr>
          <w:sz w:val="24"/>
          <w:szCs w:val="24"/>
        </w:rPr>
        <w:t xml:space="preserve">The transition plan adopted by the </w:t>
      </w:r>
      <w:r w:rsidR="007B78D6" w:rsidRPr="00D04C6A">
        <w:rPr>
          <w:sz w:val="24"/>
          <w:szCs w:val="24"/>
        </w:rPr>
        <w:t>Commission</w:t>
      </w:r>
      <w:r w:rsidRPr="00D04C6A">
        <w:rPr>
          <w:sz w:val="24"/>
          <w:szCs w:val="24"/>
        </w:rPr>
        <w:t xml:space="preserve"> should permit an </w:t>
      </w:r>
      <w:r w:rsidR="007B78D6" w:rsidRPr="00D04C6A">
        <w:rPr>
          <w:sz w:val="24"/>
          <w:szCs w:val="24"/>
        </w:rPr>
        <w:t>evolutionary</w:t>
      </w:r>
      <w:r w:rsidRPr="00D04C6A">
        <w:rPr>
          <w:sz w:val="24"/>
          <w:szCs w:val="24"/>
        </w:rPr>
        <w:t xml:space="preserve"> process whereby broadband service could be initiated by the broadband licensee when 1.4 x 1.4 MHz channels have been cleared, with expansion to the full 3 x 3 </w:t>
      </w:r>
      <w:r w:rsidR="00F56093" w:rsidRPr="00D04C6A">
        <w:rPr>
          <w:sz w:val="24"/>
          <w:szCs w:val="24"/>
        </w:rPr>
        <w:t xml:space="preserve">MHz operation as additional bandwidth is relocated or recovered from incumbents. </w:t>
      </w:r>
      <w:r w:rsidR="00F049A4" w:rsidRPr="00D04C6A">
        <w:rPr>
          <w:sz w:val="24"/>
          <w:szCs w:val="24"/>
        </w:rPr>
        <w:t xml:space="preserve">  The Commissio</w:t>
      </w:r>
      <w:r w:rsidR="00F56093" w:rsidRPr="00D04C6A">
        <w:rPr>
          <w:sz w:val="24"/>
          <w:szCs w:val="24"/>
        </w:rPr>
        <w:t>n should also provide for the eventual expansion of the broadband license to 5 x 5 MHz as the band is further cleared.</w:t>
      </w:r>
    </w:p>
    <w:p w:rsidR="00F56093" w:rsidRPr="00D04C6A" w:rsidRDefault="00F56093" w:rsidP="000F3E53">
      <w:pPr>
        <w:spacing w:line="480" w:lineRule="auto"/>
        <w:ind w:firstLine="720"/>
        <w:rPr>
          <w:sz w:val="24"/>
          <w:szCs w:val="24"/>
        </w:rPr>
      </w:pPr>
      <w:r w:rsidRPr="00D04C6A">
        <w:rPr>
          <w:sz w:val="24"/>
          <w:szCs w:val="24"/>
        </w:rPr>
        <w:t>An overlay auction</w:t>
      </w:r>
      <w:r w:rsidR="00F80C8B" w:rsidRPr="00D04C6A">
        <w:rPr>
          <w:sz w:val="24"/>
          <w:szCs w:val="24"/>
        </w:rPr>
        <w:t xml:space="preserve"> would provide a fair way to clear the band if voluntary negotiations fail.  Hold</w:t>
      </w:r>
      <w:r w:rsidR="00F049A4" w:rsidRPr="00D04C6A">
        <w:rPr>
          <w:sz w:val="24"/>
          <w:szCs w:val="24"/>
        </w:rPr>
        <w:t>-</w:t>
      </w:r>
      <w:r w:rsidR="00F80C8B" w:rsidRPr="00D04C6A">
        <w:rPr>
          <w:sz w:val="24"/>
          <w:szCs w:val="24"/>
        </w:rPr>
        <w:t xml:space="preserve">out licenses which are not relocated would eventually default back to the Commission’s inventory for consolidation into the broadband license.   Conversely, the incentive auction proposed by the Commission would simply either entrench the largest MTA SMR license holder as the likeliest recipient of the band or grant that same entity a huge financial windfall for having accumulated </w:t>
      </w:r>
      <w:r w:rsidR="00F049A4" w:rsidRPr="00D04C6A">
        <w:rPr>
          <w:sz w:val="24"/>
          <w:szCs w:val="24"/>
        </w:rPr>
        <w:t xml:space="preserve">inexpensive </w:t>
      </w:r>
      <w:r w:rsidR="00F80C8B" w:rsidRPr="00D04C6A">
        <w:rPr>
          <w:sz w:val="24"/>
          <w:szCs w:val="24"/>
        </w:rPr>
        <w:t xml:space="preserve">900 MHz bandwidth in advance of the auction.  Such an auction is also complicated by the combination of narrowband and SMR licenses which would have to be bought out.  If an incentive auction were </w:t>
      </w:r>
      <w:r w:rsidR="00F049A4" w:rsidRPr="00D04C6A">
        <w:rPr>
          <w:sz w:val="24"/>
          <w:szCs w:val="24"/>
        </w:rPr>
        <w:t xml:space="preserve">nevertheless </w:t>
      </w:r>
      <w:r w:rsidR="00F80C8B" w:rsidRPr="00D04C6A">
        <w:rPr>
          <w:sz w:val="24"/>
          <w:szCs w:val="24"/>
        </w:rPr>
        <w:t xml:space="preserve">to be adopted, it should </w:t>
      </w:r>
      <w:r w:rsidR="001D0E8B" w:rsidRPr="00D04C6A">
        <w:rPr>
          <w:sz w:val="24"/>
          <w:szCs w:val="24"/>
        </w:rPr>
        <w:t xml:space="preserve">preclude the windfall effect by limiting auction credits or payments to an amount that covers the incumbent’s investment cost rather than the highly enhanced value that will result from conversion to a </w:t>
      </w:r>
      <w:r w:rsidR="007B78D6" w:rsidRPr="00D04C6A">
        <w:rPr>
          <w:sz w:val="24"/>
          <w:szCs w:val="24"/>
        </w:rPr>
        <w:t>broadband configuration</w:t>
      </w:r>
      <w:r w:rsidR="001D0E8B" w:rsidRPr="00D04C6A">
        <w:rPr>
          <w:sz w:val="24"/>
          <w:szCs w:val="24"/>
        </w:rPr>
        <w:t xml:space="preserve">. </w:t>
      </w:r>
    </w:p>
    <w:p w:rsidR="001D0E8B" w:rsidRPr="00D04C6A" w:rsidRDefault="001D0E8B" w:rsidP="000F3E53">
      <w:pPr>
        <w:spacing w:line="480" w:lineRule="auto"/>
        <w:ind w:firstLine="720"/>
        <w:rPr>
          <w:sz w:val="24"/>
          <w:szCs w:val="24"/>
        </w:rPr>
      </w:pPr>
      <w:r w:rsidRPr="00D04C6A">
        <w:rPr>
          <w:sz w:val="24"/>
          <w:szCs w:val="24"/>
        </w:rPr>
        <w:t xml:space="preserve">Finally, performance metrics should be based on population coverage rather than area coverage, and the Commission should take into account the difference between voice-type coverage and device-type coverage in determining reliable coverage areas.  The latter application can achieve quite reliable service at lower signal strengths than other applications. </w:t>
      </w:r>
    </w:p>
    <w:p w:rsidR="005E2597" w:rsidRDefault="005E2597" w:rsidP="000F3E53">
      <w:pPr>
        <w:spacing w:line="480" w:lineRule="auto"/>
        <w:ind w:firstLine="720"/>
      </w:pPr>
    </w:p>
    <w:p w:rsidR="00C94FDE" w:rsidRDefault="00C94FDE" w:rsidP="000F3E53">
      <w:pPr>
        <w:spacing w:line="480" w:lineRule="auto"/>
        <w:ind w:firstLine="720"/>
      </w:pPr>
    </w:p>
    <w:p w:rsidR="000F3E53" w:rsidRPr="004E1CBC" w:rsidRDefault="000F3E53" w:rsidP="004E1CBC">
      <w:pPr>
        <w:sectPr w:rsidR="000F3E53" w:rsidRPr="004E1CBC" w:rsidSect="004E1CBC">
          <w:footerReference w:type="first" r:id="rId14"/>
          <w:pgSz w:w="12240" w:h="15840" w:code="1"/>
          <w:pgMar w:top="1440" w:right="1440" w:bottom="1440" w:left="1440" w:header="720" w:footer="720" w:gutter="0"/>
          <w:pgNumType w:fmt="lowerRoman" w:start="1"/>
          <w:cols w:space="720"/>
          <w:titlePg/>
          <w:docGrid w:linePitch="360"/>
        </w:sectPr>
      </w:pPr>
    </w:p>
    <w:p w:rsidR="000F3E53" w:rsidRPr="003020D5" w:rsidRDefault="000F3E53" w:rsidP="003020D5">
      <w:pPr>
        <w:jc w:val="center"/>
        <w:rPr>
          <w:b/>
          <w:sz w:val="24"/>
        </w:rPr>
      </w:pPr>
      <w:r w:rsidRPr="003020D5">
        <w:rPr>
          <w:b/>
          <w:sz w:val="24"/>
        </w:rPr>
        <w:lastRenderedPageBreak/>
        <w:t>T</w:t>
      </w:r>
      <w:r w:rsidR="003020D5" w:rsidRPr="003020D5">
        <w:rPr>
          <w:b/>
          <w:sz w:val="24"/>
        </w:rPr>
        <w:t>able of Contents</w:t>
      </w:r>
    </w:p>
    <w:sdt>
      <w:sdtPr>
        <w:rPr>
          <w:rFonts w:ascii="Times New Roman" w:eastAsia="Times New Roman" w:hAnsi="Times New Roman" w:cs="Times New Roman"/>
          <w:snapToGrid w:val="0"/>
          <w:color w:val="auto"/>
          <w:kern w:val="28"/>
          <w:sz w:val="22"/>
          <w:szCs w:val="20"/>
        </w:rPr>
        <w:id w:val="-795907228"/>
        <w:docPartObj>
          <w:docPartGallery w:val="Table of Contents"/>
          <w:docPartUnique/>
        </w:docPartObj>
      </w:sdtPr>
      <w:sdtEndPr>
        <w:rPr>
          <w:b/>
          <w:bCs/>
          <w:noProof/>
        </w:rPr>
      </w:sdtEndPr>
      <w:sdtContent>
        <w:p w:rsidR="004E1CBC" w:rsidRPr="003020D5" w:rsidRDefault="004E1CBC">
          <w:pPr>
            <w:pStyle w:val="TOCHeading"/>
            <w:rPr>
              <w:rFonts w:ascii="Times New Roman" w:hAnsi="Times New Roman" w:cs="Times New Roman"/>
              <w:color w:val="auto"/>
              <w:sz w:val="24"/>
              <w:szCs w:val="24"/>
            </w:rPr>
          </w:pPr>
        </w:p>
        <w:p w:rsidR="00C316BD" w:rsidRDefault="004E1CBC">
          <w:pPr>
            <w:pStyle w:val="TOC1"/>
            <w:tabs>
              <w:tab w:val="right" w:leader="dot" w:pos="9350"/>
            </w:tabs>
            <w:rPr>
              <w:rFonts w:asciiTheme="minorHAnsi" w:eastAsiaTheme="minorEastAsia" w:hAnsiTheme="minorHAnsi" w:cstheme="minorBidi"/>
              <w:noProof/>
              <w:snapToGrid/>
              <w:kern w:val="0"/>
              <w:szCs w:val="22"/>
            </w:rPr>
          </w:pPr>
          <w:r>
            <w:rPr>
              <w:b/>
              <w:bCs/>
              <w:noProof/>
            </w:rPr>
            <w:fldChar w:fldCharType="begin"/>
          </w:r>
          <w:r>
            <w:rPr>
              <w:b/>
              <w:bCs/>
              <w:noProof/>
            </w:rPr>
            <w:instrText xml:space="preserve"> TOC \o "1-3" \h \z \u </w:instrText>
          </w:r>
          <w:r>
            <w:rPr>
              <w:b/>
              <w:bCs/>
              <w:noProof/>
            </w:rPr>
            <w:fldChar w:fldCharType="separate"/>
          </w:r>
          <w:hyperlink w:anchor="_Toc10204859" w:history="1">
            <w:r w:rsidR="00C316BD" w:rsidRPr="00C316BD">
              <w:rPr>
                <w:rStyle w:val="Hyperlink"/>
                <w:noProof/>
              </w:rPr>
              <w:t>Summary</w:t>
            </w:r>
            <w:r w:rsidR="00C316BD">
              <w:rPr>
                <w:noProof/>
                <w:webHidden/>
              </w:rPr>
              <w:tab/>
            </w:r>
            <w:r w:rsidR="00C316BD">
              <w:rPr>
                <w:noProof/>
                <w:webHidden/>
              </w:rPr>
              <w:fldChar w:fldCharType="begin"/>
            </w:r>
            <w:r w:rsidR="00C316BD">
              <w:rPr>
                <w:noProof/>
                <w:webHidden/>
              </w:rPr>
              <w:instrText xml:space="preserve"> PAGEREF _Toc10204859 \h </w:instrText>
            </w:r>
            <w:r w:rsidR="00C316BD">
              <w:rPr>
                <w:noProof/>
                <w:webHidden/>
              </w:rPr>
            </w:r>
            <w:r w:rsidR="00C316BD">
              <w:rPr>
                <w:noProof/>
                <w:webHidden/>
              </w:rPr>
              <w:fldChar w:fldCharType="separate"/>
            </w:r>
            <w:r w:rsidR="00C316BD">
              <w:rPr>
                <w:noProof/>
                <w:webHidden/>
              </w:rPr>
              <w:t>i</w:t>
            </w:r>
            <w:r w:rsidR="00C316BD">
              <w:rPr>
                <w:noProof/>
                <w:webHidden/>
              </w:rPr>
              <w:fldChar w:fldCharType="end"/>
            </w:r>
          </w:hyperlink>
        </w:p>
        <w:p w:rsidR="00C316BD" w:rsidRDefault="007C4C79">
          <w:pPr>
            <w:pStyle w:val="TOC1"/>
            <w:tabs>
              <w:tab w:val="left" w:pos="440"/>
              <w:tab w:val="right" w:leader="dot" w:pos="9350"/>
            </w:tabs>
            <w:rPr>
              <w:rFonts w:asciiTheme="minorHAnsi" w:eastAsiaTheme="minorEastAsia" w:hAnsiTheme="minorHAnsi" w:cstheme="minorBidi"/>
              <w:noProof/>
              <w:snapToGrid/>
              <w:kern w:val="0"/>
              <w:szCs w:val="22"/>
            </w:rPr>
          </w:pPr>
          <w:hyperlink w:anchor="_Toc10204860" w:history="1">
            <w:r w:rsidR="00C316BD" w:rsidRPr="00C316BD">
              <w:rPr>
                <w:rStyle w:val="Hyperlink"/>
                <w:noProof/>
              </w:rPr>
              <w:t>I.</w:t>
            </w:r>
            <w:r w:rsidR="00C316BD" w:rsidRPr="00C316BD">
              <w:rPr>
                <w:rFonts w:asciiTheme="minorHAnsi" w:eastAsiaTheme="minorEastAsia" w:hAnsiTheme="minorHAnsi" w:cstheme="minorBidi"/>
                <w:noProof/>
                <w:snapToGrid/>
                <w:kern w:val="0"/>
                <w:szCs w:val="22"/>
              </w:rPr>
              <w:tab/>
            </w:r>
            <w:r w:rsidR="00C316BD">
              <w:rPr>
                <w:rFonts w:asciiTheme="minorHAnsi" w:eastAsiaTheme="minorEastAsia" w:hAnsiTheme="minorHAnsi" w:cstheme="minorBidi"/>
                <w:noProof/>
                <w:snapToGrid/>
                <w:kern w:val="0"/>
                <w:szCs w:val="22"/>
              </w:rPr>
              <w:t xml:space="preserve">     </w:t>
            </w:r>
            <w:r w:rsidR="00C316BD" w:rsidRPr="00C316BD">
              <w:rPr>
                <w:rStyle w:val="Hyperlink"/>
                <w:noProof/>
              </w:rPr>
              <w:t>Introduction</w:t>
            </w:r>
            <w:r w:rsidR="00C316BD">
              <w:rPr>
                <w:noProof/>
                <w:webHidden/>
              </w:rPr>
              <w:tab/>
            </w:r>
            <w:r w:rsidR="00C316BD">
              <w:rPr>
                <w:noProof/>
                <w:webHidden/>
              </w:rPr>
              <w:fldChar w:fldCharType="begin"/>
            </w:r>
            <w:r w:rsidR="00C316BD">
              <w:rPr>
                <w:noProof/>
                <w:webHidden/>
              </w:rPr>
              <w:instrText xml:space="preserve"> PAGEREF _Toc10204860 \h </w:instrText>
            </w:r>
            <w:r w:rsidR="00C316BD">
              <w:rPr>
                <w:noProof/>
                <w:webHidden/>
              </w:rPr>
            </w:r>
            <w:r w:rsidR="00C316BD">
              <w:rPr>
                <w:noProof/>
                <w:webHidden/>
              </w:rPr>
              <w:fldChar w:fldCharType="separate"/>
            </w:r>
            <w:r w:rsidR="00C316BD">
              <w:rPr>
                <w:noProof/>
                <w:webHidden/>
              </w:rPr>
              <w:t>1</w:t>
            </w:r>
            <w:r w:rsidR="00C316BD">
              <w:rPr>
                <w:noProof/>
                <w:webHidden/>
              </w:rPr>
              <w:fldChar w:fldCharType="end"/>
            </w:r>
          </w:hyperlink>
        </w:p>
        <w:p w:rsidR="00C316BD" w:rsidRDefault="007C4C79">
          <w:pPr>
            <w:pStyle w:val="TOC1"/>
            <w:tabs>
              <w:tab w:val="left" w:pos="660"/>
              <w:tab w:val="right" w:leader="dot" w:pos="9350"/>
            </w:tabs>
            <w:rPr>
              <w:rFonts w:asciiTheme="minorHAnsi" w:eastAsiaTheme="minorEastAsia" w:hAnsiTheme="minorHAnsi" w:cstheme="minorBidi"/>
              <w:noProof/>
              <w:snapToGrid/>
              <w:kern w:val="0"/>
              <w:szCs w:val="22"/>
            </w:rPr>
          </w:pPr>
          <w:hyperlink w:anchor="_Toc10204861" w:history="1">
            <w:r w:rsidR="00C316BD" w:rsidRPr="00C316BD">
              <w:rPr>
                <w:rStyle w:val="Hyperlink"/>
                <w:rFonts w:eastAsiaTheme="minorHAnsi" w:cs="Arial"/>
                <w:noProof/>
              </w:rPr>
              <w:t>II.</w:t>
            </w:r>
            <w:r w:rsidR="00C316BD" w:rsidRPr="00C316BD">
              <w:rPr>
                <w:rFonts w:asciiTheme="minorHAnsi" w:eastAsiaTheme="minorEastAsia" w:hAnsiTheme="minorHAnsi" w:cstheme="minorBidi"/>
                <w:noProof/>
                <w:snapToGrid/>
                <w:kern w:val="0"/>
                <w:szCs w:val="22"/>
              </w:rPr>
              <w:tab/>
            </w:r>
            <w:r w:rsidR="00C316BD" w:rsidRPr="00C316BD">
              <w:rPr>
                <w:rStyle w:val="Hyperlink"/>
                <w:rFonts w:eastAsiaTheme="minorHAnsi" w:cs="Arial"/>
                <w:noProof/>
              </w:rPr>
              <w:t>Questions Posed by the NPRM</w:t>
            </w:r>
            <w:r w:rsidR="00C316BD">
              <w:rPr>
                <w:noProof/>
                <w:webHidden/>
              </w:rPr>
              <w:tab/>
            </w:r>
            <w:r w:rsidR="00C316BD">
              <w:rPr>
                <w:noProof/>
                <w:webHidden/>
              </w:rPr>
              <w:fldChar w:fldCharType="begin"/>
            </w:r>
            <w:r w:rsidR="00C316BD">
              <w:rPr>
                <w:noProof/>
                <w:webHidden/>
              </w:rPr>
              <w:instrText xml:space="preserve"> PAGEREF _Toc10204861 \h </w:instrText>
            </w:r>
            <w:r w:rsidR="00C316BD">
              <w:rPr>
                <w:noProof/>
                <w:webHidden/>
              </w:rPr>
            </w:r>
            <w:r w:rsidR="00C316BD">
              <w:rPr>
                <w:noProof/>
                <w:webHidden/>
              </w:rPr>
              <w:fldChar w:fldCharType="separate"/>
            </w:r>
            <w:r w:rsidR="00C316BD">
              <w:rPr>
                <w:noProof/>
                <w:webHidden/>
              </w:rPr>
              <w:t>5</w:t>
            </w:r>
            <w:r w:rsidR="00C316BD">
              <w:rPr>
                <w:noProof/>
                <w:webHidden/>
              </w:rPr>
              <w:fldChar w:fldCharType="end"/>
            </w:r>
          </w:hyperlink>
        </w:p>
        <w:p w:rsidR="00C316BD" w:rsidRDefault="007C4C79">
          <w:pPr>
            <w:pStyle w:val="TOC2"/>
            <w:rPr>
              <w:rFonts w:asciiTheme="minorHAnsi" w:eastAsiaTheme="minorEastAsia" w:hAnsiTheme="minorHAnsi" w:cstheme="minorBidi"/>
              <w:noProof/>
              <w:snapToGrid/>
              <w:kern w:val="0"/>
              <w:szCs w:val="22"/>
            </w:rPr>
          </w:pPr>
          <w:hyperlink w:anchor="_Toc10204862" w:history="1">
            <w:r w:rsidR="00C316BD" w:rsidRPr="00C316BD">
              <w:rPr>
                <w:rStyle w:val="Hyperlink"/>
                <w:rFonts w:eastAsiaTheme="minorHAnsi" w:cs="Arial"/>
                <w:noProof/>
              </w:rPr>
              <w:t>A.</w:t>
            </w:r>
            <w:r w:rsidR="00C316BD" w:rsidRPr="00C316BD">
              <w:rPr>
                <w:rFonts w:asciiTheme="minorHAnsi" w:eastAsiaTheme="minorEastAsia" w:hAnsiTheme="minorHAnsi" w:cstheme="minorBidi"/>
                <w:noProof/>
                <w:snapToGrid/>
                <w:kern w:val="0"/>
                <w:szCs w:val="22"/>
              </w:rPr>
              <w:tab/>
            </w:r>
            <w:r w:rsidR="00C316BD" w:rsidRPr="00C316BD">
              <w:rPr>
                <w:rStyle w:val="Hyperlink"/>
                <w:rFonts w:eastAsiaTheme="minorHAnsi" w:cs="Arial"/>
                <w:noProof/>
              </w:rPr>
              <w:t>The Need for a Broadband Allocation</w:t>
            </w:r>
            <w:r w:rsidR="00C316BD">
              <w:rPr>
                <w:noProof/>
                <w:webHidden/>
              </w:rPr>
              <w:tab/>
            </w:r>
            <w:r w:rsidR="00C316BD">
              <w:rPr>
                <w:noProof/>
                <w:webHidden/>
              </w:rPr>
              <w:fldChar w:fldCharType="begin"/>
            </w:r>
            <w:r w:rsidR="00C316BD">
              <w:rPr>
                <w:noProof/>
                <w:webHidden/>
              </w:rPr>
              <w:instrText xml:space="preserve"> PAGEREF _Toc10204862 \h </w:instrText>
            </w:r>
            <w:r w:rsidR="00C316BD">
              <w:rPr>
                <w:noProof/>
                <w:webHidden/>
              </w:rPr>
            </w:r>
            <w:r w:rsidR="00C316BD">
              <w:rPr>
                <w:noProof/>
                <w:webHidden/>
              </w:rPr>
              <w:fldChar w:fldCharType="separate"/>
            </w:r>
            <w:r w:rsidR="00C316BD">
              <w:rPr>
                <w:noProof/>
                <w:webHidden/>
              </w:rPr>
              <w:t>5</w:t>
            </w:r>
            <w:r w:rsidR="00C316BD">
              <w:rPr>
                <w:noProof/>
                <w:webHidden/>
              </w:rPr>
              <w:fldChar w:fldCharType="end"/>
            </w:r>
          </w:hyperlink>
        </w:p>
        <w:p w:rsidR="00C316BD" w:rsidRDefault="007C4C79">
          <w:pPr>
            <w:pStyle w:val="TOC2"/>
            <w:rPr>
              <w:rFonts w:asciiTheme="minorHAnsi" w:eastAsiaTheme="minorEastAsia" w:hAnsiTheme="minorHAnsi" w:cstheme="minorBidi"/>
              <w:noProof/>
              <w:snapToGrid/>
              <w:kern w:val="0"/>
              <w:szCs w:val="22"/>
            </w:rPr>
          </w:pPr>
          <w:hyperlink w:anchor="_Toc10204863" w:history="1">
            <w:r w:rsidR="00C316BD" w:rsidRPr="00C316BD">
              <w:rPr>
                <w:rStyle w:val="Hyperlink"/>
                <w:rFonts w:ascii="Times" w:hAnsi="Times" w:cs="Times"/>
                <w:noProof/>
              </w:rPr>
              <w:t>B.</w:t>
            </w:r>
            <w:r w:rsidR="00C316BD" w:rsidRPr="00C316BD">
              <w:rPr>
                <w:rFonts w:asciiTheme="minorHAnsi" w:eastAsiaTheme="minorEastAsia" w:hAnsiTheme="minorHAnsi" w:cstheme="minorBidi"/>
                <w:noProof/>
                <w:snapToGrid/>
                <w:kern w:val="0"/>
                <w:szCs w:val="22"/>
              </w:rPr>
              <w:tab/>
            </w:r>
            <w:r w:rsidR="00C316BD" w:rsidRPr="00C316BD">
              <w:rPr>
                <w:rStyle w:val="Hyperlink"/>
                <w:rFonts w:ascii="Times" w:hAnsi="Times" w:cs="Times"/>
                <w:noProof/>
              </w:rPr>
              <w:t>Size of the Broadband Channel</w:t>
            </w:r>
            <w:r w:rsidR="00C316BD">
              <w:rPr>
                <w:noProof/>
                <w:webHidden/>
              </w:rPr>
              <w:tab/>
            </w:r>
            <w:r w:rsidR="00C316BD">
              <w:rPr>
                <w:noProof/>
                <w:webHidden/>
              </w:rPr>
              <w:fldChar w:fldCharType="begin"/>
            </w:r>
            <w:r w:rsidR="00C316BD">
              <w:rPr>
                <w:noProof/>
                <w:webHidden/>
              </w:rPr>
              <w:instrText xml:space="preserve"> PAGEREF _Toc10204863 \h </w:instrText>
            </w:r>
            <w:r w:rsidR="00C316BD">
              <w:rPr>
                <w:noProof/>
                <w:webHidden/>
              </w:rPr>
            </w:r>
            <w:r w:rsidR="00C316BD">
              <w:rPr>
                <w:noProof/>
                <w:webHidden/>
              </w:rPr>
              <w:fldChar w:fldCharType="separate"/>
            </w:r>
            <w:r w:rsidR="00C316BD">
              <w:rPr>
                <w:noProof/>
                <w:webHidden/>
              </w:rPr>
              <w:t>6</w:t>
            </w:r>
            <w:r w:rsidR="00C316BD">
              <w:rPr>
                <w:noProof/>
                <w:webHidden/>
              </w:rPr>
              <w:fldChar w:fldCharType="end"/>
            </w:r>
          </w:hyperlink>
        </w:p>
        <w:p w:rsidR="00C316BD" w:rsidRDefault="007C4C79">
          <w:pPr>
            <w:pStyle w:val="TOC2"/>
            <w:rPr>
              <w:rFonts w:asciiTheme="minorHAnsi" w:eastAsiaTheme="minorEastAsia" w:hAnsiTheme="minorHAnsi" w:cstheme="minorBidi"/>
              <w:noProof/>
              <w:snapToGrid/>
              <w:kern w:val="0"/>
              <w:szCs w:val="22"/>
            </w:rPr>
          </w:pPr>
          <w:hyperlink w:anchor="_Toc10204864" w:history="1">
            <w:r w:rsidR="00C316BD" w:rsidRPr="00C316BD">
              <w:rPr>
                <w:rStyle w:val="Hyperlink"/>
                <w:rFonts w:ascii="Times" w:hAnsi="Times" w:cs="Times"/>
                <w:noProof/>
              </w:rPr>
              <w:t>C.</w:t>
            </w:r>
            <w:r w:rsidR="00C316BD" w:rsidRPr="00C316BD">
              <w:rPr>
                <w:rFonts w:asciiTheme="minorHAnsi" w:eastAsiaTheme="minorEastAsia" w:hAnsiTheme="minorHAnsi" w:cstheme="minorBidi"/>
                <w:noProof/>
                <w:snapToGrid/>
                <w:kern w:val="0"/>
                <w:szCs w:val="22"/>
              </w:rPr>
              <w:tab/>
            </w:r>
            <w:r w:rsidR="00C316BD" w:rsidRPr="00C316BD">
              <w:rPr>
                <w:rStyle w:val="Hyperlink"/>
                <w:rFonts w:ascii="Times" w:hAnsi="Times" w:cs="Times"/>
                <w:noProof/>
              </w:rPr>
              <w:t>Eligibility for the Broadband License</w:t>
            </w:r>
            <w:r w:rsidR="00C316BD">
              <w:rPr>
                <w:noProof/>
                <w:webHidden/>
              </w:rPr>
              <w:tab/>
            </w:r>
            <w:r w:rsidR="00C316BD">
              <w:rPr>
                <w:noProof/>
                <w:webHidden/>
              </w:rPr>
              <w:fldChar w:fldCharType="begin"/>
            </w:r>
            <w:r w:rsidR="00C316BD">
              <w:rPr>
                <w:noProof/>
                <w:webHidden/>
              </w:rPr>
              <w:instrText xml:space="preserve"> PAGEREF _Toc10204864 \h </w:instrText>
            </w:r>
            <w:r w:rsidR="00C316BD">
              <w:rPr>
                <w:noProof/>
                <w:webHidden/>
              </w:rPr>
            </w:r>
            <w:r w:rsidR="00C316BD">
              <w:rPr>
                <w:noProof/>
                <w:webHidden/>
              </w:rPr>
              <w:fldChar w:fldCharType="separate"/>
            </w:r>
            <w:r w:rsidR="00C316BD">
              <w:rPr>
                <w:noProof/>
                <w:webHidden/>
              </w:rPr>
              <w:t>7</w:t>
            </w:r>
            <w:r w:rsidR="00C316BD">
              <w:rPr>
                <w:noProof/>
                <w:webHidden/>
              </w:rPr>
              <w:fldChar w:fldCharType="end"/>
            </w:r>
          </w:hyperlink>
        </w:p>
        <w:p w:rsidR="00C316BD" w:rsidRDefault="007C4C79">
          <w:pPr>
            <w:pStyle w:val="TOC2"/>
            <w:rPr>
              <w:rFonts w:asciiTheme="minorHAnsi" w:eastAsiaTheme="minorEastAsia" w:hAnsiTheme="minorHAnsi" w:cstheme="minorBidi"/>
              <w:noProof/>
              <w:snapToGrid/>
              <w:kern w:val="0"/>
              <w:szCs w:val="22"/>
            </w:rPr>
          </w:pPr>
          <w:hyperlink w:anchor="_Toc10204865" w:history="1">
            <w:r w:rsidR="00C316BD" w:rsidRPr="00C316BD">
              <w:rPr>
                <w:rStyle w:val="Hyperlink"/>
                <w:rFonts w:eastAsiaTheme="minorHAnsi" w:cs="Arial"/>
                <w:noProof/>
              </w:rPr>
              <w:t>D.</w:t>
            </w:r>
            <w:r w:rsidR="00C316BD" w:rsidRPr="00C316BD">
              <w:rPr>
                <w:rFonts w:asciiTheme="minorHAnsi" w:eastAsiaTheme="minorEastAsia" w:hAnsiTheme="minorHAnsi" w:cstheme="minorBidi"/>
                <w:noProof/>
                <w:snapToGrid/>
                <w:kern w:val="0"/>
                <w:szCs w:val="22"/>
              </w:rPr>
              <w:tab/>
            </w:r>
            <w:r w:rsidR="00C316BD" w:rsidRPr="00C316BD">
              <w:rPr>
                <w:rStyle w:val="Hyperlink"/>
                <w:rFonts w:eastAsiaTheme="minorHAnsi" w:cs="Arial"/>
                <w:noProof/>
              </w:rPr>
              <w:t>The Spectrum Aggregation Process</w:t>
            </w:r>
            <w:r w:rsidR="00C316BD">
              <w:rPr>
                <w:noProof/>
                <w:webHidden/>
              </w:rPr>
              <w:tab/>
            </w:r>
            <w:r w:rsidR="00C316BD">
              <w:rPr>
                <w:noProof/>
                <w:webHidden/>
              </w:rPr>
              <w:fldChar w:fldCharType="begin"/>
            </w:r>
            <w:r w:rsidR="00C316BD">
              <w:rPr>
                <w:noProof/>
                <w:webHidden/>
              </w:rPr>
              <w:instrText xml:space="preserve"> PAGEREF _Toc10204865 \h </w:instrText>
            </w:r>
            <w:r w:rsidR="00C316BD">
              <w:rPr>
                <w:noProof/>
                <w:webHidden/>
              </w:rPr>
            </w:r>
            <w:r w:rsidR="00C316BD">
              <w:rPr>
                <w:noProof/>
                <w:webHidden/>
              </w:rPr>
              <w:fldChar w:fldCharType="separate"/>
            </w:r>
            <w:r w:rsidR="00C316BD">
              <w:rPr>
                <w:noProof/>
                <w:webHidden/>
              </w:rPr>
              <w:t>11</w:t>
            </w:r>
            <w:r w:rsidR="00C316BD">
              <w:rPr>
                <w:noProof/>
                <w:webHidden/>
              </w:rPr>
              <w:fldChar w:fldCharType="end"/>
            </w:r>
          </w:hyperlink>
        </w:p>
        <w:p w:rsidR="00C316BD" w:rsidRDefault="007C4C79">
          <w:pPr>
            <w:pStyle w:val="TOC2"/>
            <w:rPr>
              <w:rFonts w:asciiTheme="minorHAnsi" w:eastAsiaTheme="minorEastAsia" w:hAnsiTheme="minorHAnsi" w:cstheme="minorBidi"/>
              <w:noProof/>
              <w:snapToGrid/>
              <w:kern w:val="0"/>
              <w:szCs w:val="22"/>
            </w:rPr>
          </w:pPr>
          <w:hyperlink w:anchor="_Toc10204866" w:history="1">
            <w:r w:rsidR="00C316BD" w:rsidRPr="00C316BD">
              <w:rPr>
                <w:rStyle w:val="Hyperlink"/>
                <w:rFonts w:ascii="Times" w:hAnsi="Times" w:cs="Times"/>
                <w:noProof/>
              </w:rPr>
              <w:t>E.</w:t>
            </w:r>
            <w:r w:rsidR="00C316BD" w:rsidRPr="00C316BD">
              <w:rPr>
                <w:rFonts w:asciiTheme="minorHAnsi" w:eastAsiaTheme="minorEastAsia" w:hAnsiTheme="minorHAnsi" w:cstheme="minorBidi"/>
                <w:noProof/>
                <w:snapToGrid/>
                <w:kern w:val="0"/>
                <w:szCs w:val="22"/>
              </w:rPr>
              <w:tab/>
            </w:r>
            <w:r w:rsidR="00C316BD" w:rsidRPr="00C316BD">
              <w:rPr>
                <w:rStyle w:val="Hyperlink"/>
                <w:rFonts w:ascii="Times" w:hAnsi="Times" w:cs="Times"/>
                <w:noProof/>
              </w:rPr>
              <w:t>Broadband Overlay Auction</w:t>
            </w:r>
            <w:r w:rsidR="00C316BD">
              <w:rPr>
                <w:noProof/>
                <w:webHidden/>
              </w:rPr>
              <w:tab/>
            </w:r>
            <w:r w:rsidR="00C316BD">
              <w:rPr>
                <w:noProof/>
                <w:webHidden/>
              </w:rPr>
              <w:fldChar w:fldCharType="begin"/>
            </w:r>
            <w:r w:rsidR="00C316BD">
              <w:rPr>
                <w:noProof/>
                <w:webHidden/>
              </w:rPr>
              <w:instrText xml:space="preserve"> PAGEREF _Toc10204866 \h </w:instrText>
            </w:r>
            <w:r w:rsidR="00C316BD">
              <w:rPr>
                <w:noProof/>
                <w:webHidden/>
              </w:rPr>
            </w:r>
            <w:r w:rsidR="00C316BD">
              <w:rPr>
                <w:noProof/>
                <w:webHidden/>
              </w:rPr>
              <w:fldChar w:fldCharType="separate"/>
            </w:r>
            <w:r w:rsidR="00C316BD">
              <w:rPr>
                <w:noProof/>
                <w:webHidden/>
              </w:rPr>
              <w:t>13</w:t>
            </w:r>
            <w:r w:rsidR="00C316BD">
              <w:rPr>
                <w:noProof/>
                <w:webHidden/>
              </w:rPr>
              <w:fldChar w:fldCharType="end"/>
            </w:r>
          </w:hyperlink>
        </w:p>
        <w:p w:rsidR="00C316BD" w:rsidRDefault="007C4C79">
          <w:pPr>
            <w:pStyle w:val="TOC2"/>
            <w:rPr>
              <w:rFonts w:asciiTheme="minorHAnsi" w:eastAsiaTheme="minorEastAsia" w:hAnsiTheme="minorHAnsi" w:cstheme="minorBidi"/>
              <w:noProof/>
              <w:snapToGrid/>
              <w:kern w:val="0"/>
              <w:szCs w:val="22"/>
            </w:rPr>
          </w:pPr>
          <w:hyperlink w:anchor="_Toc10204867" w:history="1">
            <w:r w:rsidR="00C316BD" w:rsidRPr="00C316BD">
              <w:rPr>
                <w:rStyle w:val="Hyperlink"/>
                <w:rFonts w:eastAsiaTheme="minorHAnsi" w:cs="Arial"/>
                <w:noProof/>
              </w:rPr>
              <w:t>F.</w:t>
            </w:r>
            <w:r w:rsidR="00C316BD" w:rsidRPr="00C316BD">
              <w:rPr>
                <w:rFonts w:asciiTheme="minorHAnsi" w:eastAsiaTheme="minorEastAsia" w:hAnsiTheme="minorHAnsi" w:cstheme="minorBidi"/>
                <w:noProof/>
                <w:snapToGrid/>
                <w:kern w:val="0"/>
                <w:szCs w:val="22"/>
              </w:rPr>
              <w:tab/>
            </w:r>
            <w:r w:rsidR="00C316BD" w:rsidRPr="00C316BD">
              <w:rPr>
                <w:rStyle w:val="Hyperlink"/>
                <w:rFonts w:eastAsiaTheme="minorHAnsi" w:cs="Arial"/>
                <w:noProof/>
              </w:rPr>
              <w:t>Incentive Auction</w:t>
            </w:r>
            <w:r w:rsidR="00C316BD">
              <w:rPr>
                <w:noProof/>
                <w:webHidden/>
              </w:rPr>
              <w:tab/>
            </w:r>
            <w:r w:rsidR="00C316BD">
              <w:rPr>
                <w:noProof/>
                <w:webHidden/>
              </w:rPr>
              <w:fldChar w:fldCharType="begin"/>
            </w:r>
            <w:r w:rsidR="00C316BD">
              <w:rPr>
                <w:noProof/>
                <w:webHidden/>
              </w:rPr>
              <w:instrText xml:space="preserve"> PAGEREF _Toc10204867 \h </w:instrText>
            </w:r>
            <w:r w:rsidR="00C316BD">
              <w:rPr>
                <w:noProof/>
                <w:webHidden/>
              </w:rPr>
            </w:r>
            <w:r w:rsidR="00C316BD">
              <w:rPr>
                <w:noProof/>
                <w:webHidden/>
              </w:rPr>
              <w:fldChar w:fldCharType="separate"/>
            </w:r>
            <w:r w:rsidR="00C316BD">
              <w:rPr>
                <w:noProof/>
                <w:webHidden/>
              </w:rPr>
              <w:t>15</w:t>
            </w:r>
            <w:r w:rsidR="00C316BD">
              <w:rPr>
                <w:noProof/>
                <w:webHidden/>
              </w:rPr>
              <w:fldChar w:fldCharType="end"/>
            </w:r>
          </w:hyperlink>
        </w:p>
        <w:p w:rsidR="00C316BD" w:rsidRDefault="007C4C79">
          <w:pPr>
            <w:pStyle w:val="TOC2"/>
            <w:rPr>
              <w:rFonts w:asciiTheme="minorHAnsi" w:eastAsiaTheme="minorEastAsia" w:hAnsiTheme="minorHAnsi" w:cstheme="minorBidi"/>
              <w:noProof/>
              <w:snapToGrid/>
              <w:kern w:val="0"/>
              <w:szCs w:val="22"/>
            </w:rPr>
          </w:pPr>
          <w:hyperlink w:anchor="_Toc10204868" w:history="1">
            <w:r w:rsidR="00C316BD" w:rsidRPr="00C316BD">
              <w:rPr>
                <w:rStyle w:val="Hyperlink"/>
                <w:rFonts w:eastAsiaTheme="minorHAnsi" w:cs="Arial"/>
                <w:noProof/>
              </w:rPr>
              <w:t>G.</w:t>
            </w:r>
            <w:r w:rsidR="00C316BD" w:rsidRPr="00C316BD">
              <w:rPr>
                <w:rFonts w:asciiTheme="minorHAnsi" w:eastAsiaTheme="minorEastAsia" w:hAnsiTheme="minorHAnsi" w:cstheme="minorBidi"/>
                <w:noProof/>
                <w:snapToGrid/>
                <w:kern w:val="0"/>
                <w:szCs w:val="22"/>
              </w:rPr>
              <w:tab/>
            </w:r>
            <w:r w:rsidR="00C316BD" w:rsidRPr="00C316BD">
              <w:rPr>
                <w:rStyle w:val="Hyperlink"/>
                <w:rFonts w:eastAsiaTheme="minorHAnsi" w:cs="Arial"/>
                <w:noProof/>
              </w:rPr>
              <w:t>Performance Metrics</w:t>
            </w:r>
            <w:r w:rsidR="00C316BD">
              <w:rPr>
                <w:noProof/>
                <w:webHidden/>
              </w:rPr>
              <w:tab/>
            </w:r>
            <w:r w:rsidR="00C316BD">
              <w:rPr>
                <w:noProof/>
                <w:webHidden/>
              </w:rPr>
              <w:fldChar w:fldCharType="begin"/>
            </w:r>
            <w:r w:rsidR="00C316BD">
              <w:rPr>
                <w:noProof/>
                <w:webHidden/>
              </w:rPr>
              <w:instrText xml:space="preserve"> PAGEREF _Toc10204868 \h </w:instrText>
            </w:r>
            <w:r w:rsidR="00C316BD">
              <w:rPr>
                <w:noProof/>
                <w:webHidden/>
              </w:rPr>
            </w:r>
            <w:r w:rsidR="00C316BD">
              <w:rPr>
                <w:noProof/>
                <w:webHidden/>
              </w:rPr>
              <w:fldChar w:fldCharType="separate"/>
            </w:r>
            <w:r w:rsidR="00C316BD">
              <w:rPr>
                <w:noProof/>
                <w:webHidden/>
              </w:rPr>
              <w:t>17</w:t>
            </w:r>
            <w:r w:rsidR="00C316BD">
              <w:rPr>
                <w:noProof/>
                <w:webHidden/>
              </w:rPr>
              <w:fldChar w:fldCharType="end"/>
            </w:r>
          </w:hyperlink>
        </w:p>
        <w:p w:rsidR="00C316BD" w:rsidRDefault="007C4C79">
          <w:pPr>
            <w:pStyle w:val="TOC2"/>
            <w:rPr>
              <w:rFonts w:asciiTheme="minorHAnsi" w:eastAsiaTheme="minorEastAsia" w:hAnsiTheme="minorHAnsi" w:cstheme="minorBidi"/>
              <w:noProof/>
              <w:snapToGrid/>
              <w:kern w:val="0"/>
              <w:szCs w:val="22"/>
            </w:rPr>
          </w:pPr>
          <w:hyperlink w:anchor="_Toc10204869" w:history="1">
            <w:r w:rsidR="00C316BD" w:rsidRPr="00C316BD">
              <w:rPr>
                <w:rStyle w:val="Hyperlink"/>
                <w:rFonts w:eastAsiaTheme="minorHAnsi" w:cs="Arial"/>
                <w:noProof/>
              </w:rPr>
              <w:t>H.</w:t>
            </w:r>
            <w:r w:rsidR="00C316BD" w:rsidRPr="00C316BD">
              <w:rPr>
                <w:rFonts w:asciiTheme="minorHAnsi" w:eastAsiaTheme="minorEastAsia" w:hAnsiTheme="minorHAnsi" w:cstheme="minorBidi"/>
                <w:noProof/>
                <w:snapToGrid/>
                <w:kern w:val="0"/>
                <w:szCs w:val="22"/>
              </w:rPr>
              <w:tab/>
            </w:r>
            <w:r w:rsidR="00C316BD" w:rsidRPr="00C316BD">
              <w:rPr>
                <w:rStyle w:val="Hyperlink"/>
                <w:rFonts w:eastAsiaTheme="minorHAnsi" w:cs="Arial"/>
                <w:noProof/>
              </w:rPr>
              <w:t>Continued Narrowband Use</w:t>
            </w:r>
            <w:r w:rsidR="00C316BD">
              <w:rPr>
                <w:noProof/>
                <w:webHidden/>
              </w:rPr>
              <w:tab/>
            </w:r>
            <w:r w:rsidR="00C316BD">
              <w:rPr>
                <w:noProof/>
                <w:webHidden/>
              </w:rPr>
              <w:fldChar w:fldCharType="begin"/>
            </w:r>
            <w:r w:rsidR="00C316BD">
              <w:rPr>
                <w:noProof/>
                <w:webHidden/>
              </w:rPr>
              <w:instrText xml:space="preserve"> PAGEREF _Toc10204869 \h </w:instrText>
            </w:r>
            <w:r w:rsidR="00C316BD">
              <w:rPr>
                <w:noProof/>
                <w:webHidden/>
              </w:rPr>
            </w:r>
            <w:r w:rsidR="00C316BD">
              <w:rPr>
                <w:noProof/>
                <w:webHidden/>
              </w:rPr>
              <w:fldChar w:fldCharType="separate"/>
            </w:r>
            <w:r w:rsidR="00C316BD">
              <w:rPr>
                <w:noProof/>
                <w:webHidden/>
              </w:rPr>
              <w:t>18</w:t>
            </w:r>
            <w:r w:rsidR="00C316BD">
              <w:rPr>
                <w:noProof/>
                <w:webHidden/>
              </w:rPr>
              <w:fldChar w:fldCharType="end"/>
            </w:r>
          </w:hyperlink>
        </w:p>
        <w:p w:rsidR="00C316BD" w:rsidRDefault="007C4C79">
          <w:pPr>
            <w:pStyle w:val="TOC1"/>
            <w:tabs>
              <w:tab w:val="left" w:pos="660"/>
              <w:tab w:val="right" w:leader="dot" w:pos="9350"/>
            </w:tabs>
            <w:rPr>
              <w:rFonts w:asciiTheme="minorHAnsi" w:eastAsiaTheme="minorEastAsia" w:hAnsiTheme="minorHAnsi" w:cstheme="minorBidi"/>
              <w:noProof/>
              <w:snapToGrid/>
              <w:kern w:val="0"/>
              <w:szCs w:val="22"/>
            </w:rPr>
          </w:pPr>
          <w:hyperlink w:anchor="_Toc10204870" w:history="1">
            <w:r w:rsidR="00C316BD" w:rsidRPr="00C316BD">
              <w:rPr>
                <w:rStyle w:val="Hyperlink"/>
                <w:rFonts w:ascii="Times" w:hAnsi="Times" w:cs="Times"/>
                <w:noProof/>
              </w:rPr>
              <w:t>III.</w:t>
            </w:r>
            <w:r w:rsidR="00C316BD" w:rsidRPr="00C316BD">
              <w:rPr>
                <w:rFonts w:asciiTheme="minorHAnsi" w:eastAsiaTheme="minorEastAsia" w:hAnsiTheme="minorHAnsi" w:cstheme="minorBidi"/>
                <w:noProof/>
                <w:snapToGrid/>
                <w:kern w:val="0"/>
                <w:szCs w:val="22"/>
              </w:rPr>
              <w:tab/>
            </w:r>
            <w:r w:rsidR="00C316BD" w:rsidRPr="00C316BD">
              <w:rPr>
                <w:rStyle w:val="Hyperlink"/>
                <w:rFonts w:ascii="Times" w:hAnsi="Times" w:cs="Times"/>
                <w:noProof/>
              </w:rPr>
              <w:t>Conclusion</w:t>
            </w:r>
            <w:r w:rsidR="00C316BD">
              <w:rPr>
                <w:noProof/>
                <w:webHidden/>
              </w:rPr>
              <w:tab/>
            </w:r>
            <w:r w:rsidR="00C316BD">
              <w:rPr>
                <w:noProof/>
                <w:webHidden/>
              </w:rPr>
              <w:fldChar w:fldCharType="begin"/>
            </w:r>
            <w:r w:rsidR="00C316BD">
              <w:rPr>
                <w:noProof/>
                <w:webHidden/>
              </w:rPr>
              <w:instrText xml:space="preserve"> PAGEREF _Toc10204870 \h </w:instrText>
            </w:r>
            <w:r w:rsidR="00C316BD">
              <w:rPr>
                <w:noProof/>
                <w:webHidden/>
              </w:rPr>
            </w:r>
            <w:r w:rsidR="00C316BD">
              <w:rPr>
                <w:noProof/>
                <w:webHidden/>
              </w:rPr>
              <w:fldChar w:fldCharType="separate"/>
            </w:r>
            <w:r w:rsidR="00C316BD">
              <w:rPr>
                <w:noProof/>
                <w:webHidden/>
              </w:rPr>
              <w:t>19</w:t>
            </w:r>
            <w:r w:rsidR="00C316BD">
              <w:rPr>
                <w:noProof/>
                <w:webHidden/>
              </w:rPr>
              <w:fldChar w:fldCharType="end"/>
            </w:r>
          </w:hyperlink>
        </w:p>
        <w:p w:rsidR="004E1CBC" w:rsidRDefault="004E1CBC">
          <w:r>
            <w:rPr>
              <w:b/>
              <w:bCs/>
              <w:noProof/>
            </w:rPr>
            <w:fldChar w:fldCharType="end"/>
          </w:r>
        </w:p>
      </w:sdtContent>
    </w:sdt>
    <w:p w:rsidR="000F3E53" w:rsidRDefault="000F3E53"/>
    <w:p w:rsidR="000F3E53" w:rsidRDefault="000F3E53"/>
    <w:p w:rsidR="000F3E53" w:rsidRDefault="000F3E53"/>
    <w:p w:rsidR="000F3E53" w:rsidRDefault="000F3E53">
      <w:pPr>
        <w:sectPr w:rsidR="000F3E53" w:rsidSect="004E1CBC">
          <w:footerReference w:type="first" r:id="rId15"/>
          <w:pgSz w:w="12240" w:h="15840" w:code="1"/>
          <w:pgMar w:top="1440" w:right="1440" w:bottom="1440" w:left="1440" w:header="720" w:footer="720" w:gutter="0"/>
          <w:pgNumType w:fmt="lowerRoman"/>
          <w:cols w:space="720"/>
          <w:titlePg/>
          <w:docGrid w:linePitch="360"/>
        </w:sectPr>
      </w:pPr>
    </w:p>
    <w:p w:rsidR="004E1CBC" w:rsidRPr="004E1CBC" w:rsidRDefault="004E1CBC" w:rsidP="004E1CBC">
      <w:pPr>
        <w:jc w:val="center"/>
        <w:rPr>
          <w:sz w:val="24"/>
          <w:szCs w:val="24"/>
        </w:rPr>
      </w:pPr>
      <w:r w:rsidRPr="004E1CBC">
        <w:rPr>
          <w:sz w:val="24"/>
          <w:szCs w:val="24"/>
        </w:rPr>
        <w:lastRenderedPageBreak/>
        <w:t>Before the</w:t>
      </w:r>
    </w:p>
    <w:p w:rsidR="004E1CBC" w:rsidRPr="004E1CBC" w:rsidRDefault="004E1CBC" w:rsidP="004E1CBC">
      <w:pPr>
        <w:pStyle w:val="StyleBoldCentered"/>
        <w:rPr>
          <w:rFonts w:ascii="Times New Roman" w:hAnsi="Times New Roman"/>
          <w:b w:val="0"/>
          <w:sz w:val="24"/>
          <w:szCs w:val="24"/>
        </w:rPr>
      </w:pPr>
      <w:r w:rsidRPr="004E1CBC">
        <w:rPr>
          <w:rFonts w:ascii="Times New Roman" w:hAnsi="Times New Roman"/>
          <w:b w:val="0"/>
          <w:sz w:val="24"/>
          <w:szCs w:val="24"/>
        </w:rPr>
        <w:t>Federal Communications Commission</w:t>
      </w:r>
    </w:p>
    <w:p w:rsidR="004E1CBC" w:rsidRPr="004E1CBC" w:rsidRDefault="004E1CBC" w:rsidP="004E1CBC">
      <w:pPr>
        <w:pStyle w:val="StyleBoldCentered"/>
        <w:rPr>
          <w:rFonts w:ascii="Times New Roman" w:hAnsi="Times New Roman"/>
          <w:b w:val="0"/>
          <w:sz w:val="24"/>
          <w:szCs w:val="24"/>
        </w:rPr>
      </w:pPr>
      <w:r w:rsidRPr="004E1CBC">
        <w:rPr>
          <w:rFonts w:ascii="Times New Roman" w:hAnsi="Times New Roman"/>
          <w:b w:val="0"/>
          <w:caps w:val="0"/>
          <w:sz w:val="24"/>
          <w:szCs w:val="24"/>
        </w:rPr>
        <w:t>Washington, D.C. 20554</w:t>
      </w:r>
    </w:p>
    <w:p w:rsidR="004E1CBC" w:rsidRPr="004E1CBC" w:rsidRDefault="004E1CBC" w:rsidP="004E1CBC">
      <w:pPr>
        <w:rPr>
          <w:b/>
          <w:sz w:val="24"/>
          <w:szCs w:val="24"/>
        </w:rPr>
      </w:pPr>
    </w:p>
    <w:p w:rsidR="004E1CBC" w:rsidRDefault="004E1CBC" w:rsidP="004E1CBC">
      <w:pPr>
        <w:rPr>
          <w:sz w:val="24"/>
          <w:szCs w:val="24"/>
        </w:rPr>
      </w:pPr>
    </w:p>
    <w:p w:rsidR="004E1CBC" w:rsidRDefault="004E1CBC" w:rsidP="004E1CBC">
      <w:pPr>
        <w:rPr>
          <w:sz w:val="24"/>
          <w:szCs w:val="24"/>
        </w:rPr>
      </w:pPr>
    </w:p>
    <w:p w:rsidR="004E1CBC" w:rsidRPr="00762063" w:rsidRDefault="004E1CBC" w:rsidP="004E1CBC">
      <w:pPr>
        <w:rPr>
          <w:sz w:val="24"/>
          <w:szCs w:val="24"/>
        </w:rPr>
      </w:pPr>
    </w:p>
    <w:tbl>
      <w:tblPr>
        <w:tblW w:w="9576" w:type="dxa"/>
        <w:tblLayout w:type="fixed"/>
        <w:tblLook w:val="0000" w:firstRow="0" w:lastRow="0" w:firstColumn="0" w:lastColumn="0" w:noHBand="0" w:noVBand="0"/>
      </w:tblPr>
      <w:tblGrid>
        <w:gridCol w:w="4698"/>
        <w:gridCol w:w="630"/>
        <w:gridCol w:w="4248"/>
      </w:tblGrid>
      <w:tr w:rsidR="004E1CBC" w:rsidRPr="00762063" w:rsidTr="00227107">
        <w:trPr>
          <w:trHeight w:val="1080"/>
        </w:trPr>
        <w:tc>
          <w:tcPr>
            <w:tcW w:w="4698" w:type="dxa"/>
          </w:tcPr>
          <w:p w:rsidR="004E1CBC" w:rsidRPr="00762063" w:rsidRDefault="004E1CBC" w:rsidP="00227107">
            <w:pPr>
              <w:tabs>
                <w:tab w:val="center" w:pos="4680"/>
              </w:tabs>
              <w:suppressAutoHyphens/>
              <w:rPr>
                <w:spacing w:val="-2"/>
                <w:sz w:val="24"/>
                <w:szCs w:val="24"/>
              </w:rPr>
            </w:pPr>
            <w:r w:rsidRPr="00762063">
              <w:rPr>
                <w:spacing w:val="-2"/>
                <w:sz w:val="24"/>
                <w:szCs w:val="24"/>
              </w:rPr>
              <w:t>In the Matter of</w:t>
            </w:r>
          </w:p>
          <w:p w:rsidR="004E1CBC" w:rsidRPr="00762063" w:rsidRDefault="004E1CBC" w:rsidP="00227107">
            <w:pPr>
              <w:tabs>
                <w:tab w:val="center" w:pos="4680"/>
              </w:tabs>
              <w:suppressAutoHyphens/>
              <w:rPr>
                <w:spacing w:val="-2"/>
                <w:sz w:val="24"/>
                <w:szCs w:val="24"/>
              </w:rPr>
            </w:pPr>
          </w:p>
          <w:p w:rsidR="004E1CBC" w:rsidRPr="00762063" w:rsidRDefault="004E1CBC" w:rsidP="00227107">
            <w:pPr>
              <w:tabs>
                <w:tab w:val="center" w:pos="4680"/>
              </w:tabs>
              <w:suppressAutoHyphens/>
              <w:rPr>
                <w:spacing w:val="-2"/>
                <w:sz w:val="24"/>
                <w:szCs w:val="24"/>
              </w:rPr>
            </w:pPr>
            <w:r w:rsidRPr="00762063">
              <w:rPr>
                <w:spacing w:val="-2"/>
                <w:sz w:val="24"/>
                <w:szCs w:val="24"/>
              </w:rPr>
              <w:t>Review of the Commission’s Rules Governing the 896-901/935-940 MHz Band</w:t>
            </w:r>
          </w:p>
          <w:p w:rsidR="004E1CBC" w:rsidRPr="00762063" w:rsidRDefault="004E1CBC" w:rsidP="00227107">
            <w:pPr>
              <w:tabs>
                <w:tab w:val="center" w:pos="4680"/>
              </w:tabs>
              <w:suppressAutoHyphens/>
              <w:rPr>
                <w:spacing w:val="-2"/>
                <w:sz w:val="24"/>
                <w:szCs w:val="24"/>
              </w:rPr>
            </w:pPr>
          </w:p>
        </w:tc>
        <w:tc>
          <w:tcPr>
            <w:tcW w:w="630" w:type="dxa"/>
          </w:tcPr>
          <w:p w:rsidR="004E1CBC" w:rsidRPr="00762063" w:rsidRDefault="004E1CBC" w:rsidP="00227107">
            <w:pPr>
              <w:tabs>
                <w:tab w:val="center" w:pos="4680"/>
              </w:tabs>
              <w:suppressAutoHyphens/>
              <w:rPr>
                <w:b/>
                <w:spacing w:val="-2"/>
                <w:sz w:val="24"/>
                <w:szCs w:val="24"/>
              </w:rPr>
            </w:pPr>
            <w:r w:rsidRPr="00762063">
              <w:rPr>
                <w:b/>
                <w:spacing w:val="-2"/>
                <w:sz w:val="24"/>
                <w:szCs w:val="24"/>
              </w:rPr>
              <w:t>)</w:t>
            </w:r>
          </w:p>
          <w:p w:rsidR="004E1CBC" w:rsidRPr="00762063" w:rsidRDefault="004E1CBC" w:rsidP="00227107">
            <w:pPr>
              <w:tabs>
                <w:tab w:val="center" w:pos="4680"/>
              </w:tabs>
              <w:suppressAutoHyphens/>
              <w:rPr>
                <w:b/>
                <w:spacing w:val="-2"/>
                <w:sz w:val="24"/>
                <w:szCs w:val="24"/>
              </w:rPr>
            </w:pPr>
            <w:r w:rsidRPr="00762063">
              <w:rPr>
                <w:b/>
                <w:spacing w:val="-2"/>
                <w:sz w:val="24"/>
                <w:szCs w:val="24"/>
              </w:rPr>
              <w:t>)</w:t>
            </w:r>
          </w:p>
          <w:p w:rsidR="004E1CBC" w:rsidRPr="00762063" w:rsidRDefault="004E1CBC" w:rsidP="00227107">
            <w:pPr>
              <w:tabs>
                <w:tab w:val="center" w:pos="4680"/>
              </w:tabs>
              <w:suppressAutoHyphens/>
              <w:rPr>
                <w:b/>
                <w:spacing w:val="-2"/>
                <w:sz w:val="24"/>
                <w:szCs w:val="24"/>
              </w:rPr>
            </w:pPr>
            <w:r w:rsidRPr="00762063">
              <w:rPr>
                <w:b/>
                <w:spacing w:val="-2"/>
                <w:sz w:val="24"/>
                <w:szCs w:val="24"/>
              </w:rPr>
              <w:t>)</w:t>
            </w:r>
          </w:p>
          <w:p w:rsidR="004E1CBC" w:rsidRPr="00762063" w:rsidRDefault="004E1CBC" w:rsidP="00227107">
            <w:pPr>
              <w:tabs>
                <w:tab w:val="center" w:pos="4680"/>
              </w:tabs>
              <w:suppressAutoHyphens/>
              <w:rPr>
                <w:b/>
                <w:spacing w:val="-2"/>
                <w:sz w:val="24"/>
                <w:szCs w:val="24"/>
              </w:rPr>
            </w:pPr>
            <w:r w:rsidRPr="00762063">
              <w:rPr>
                <w:b/>
                <w:spacing w:val="-2"/>
                <w:sz w:val="24"/>
                <w:szCs w:val="24"/>
              </w:rPr>
              <w:t xml:space="preserve">) </w:t>
            </w:r>
          </w:p>
        </w:tc>
        <w:tc>
          <w:tcPr>
            <w:tcW w:w="4248" w:type="dxa"/>
          </w:tcPr>
          <w:p w:rsidR="004E1CBC" w:rsidRPr="00762063" w:rsidRDefault="004E1CBC" w:rsidP="00227107">
            <w:pPr>
              <w:tabs>
                <w:tab w:val="center" w:pos="4680"/>
              </w:tabs>
              <w:suppressAutoHyphens/>
              <w:rPr>
                <w:spacing w:val="-2"/>
                <w:sz w:val="24"/>
                <w:szCs w:val="24"/>
              </w:rPr>
            </w:pPr>
          </w:p>
          <w:p w:rsidR="004E1CBC" w:rsidRPr="00762063" w:rsidRDefault="004E1CBC" w:rsidP="00227107">
            <w:pPr>
              <w:pStyle w:val="TOAHeading"/>
              <w:tabs>
                <w:tab w:val="clear" w:pos="9360"/>
                <w:tab w:val="center" w:pos="4680"/>
              </w:tabs>
              <w:rPr>
                <w:spacing w:val="-2"/>
                <w:sz w:val="24"/>
                <w:szCs w:val="24"/>
              </w:rPr>
            </w:pPr>
          </w:p>
          <w:p w:rsidR="004E1CBC" w:rsidRPr="00762063" w:rsidRDefault="004E1CBC" w:rsidP="00227107">
            <w:pPr>
              <w:tabs>
                <w:tab w:val="center" w:pos="4680"/>
              </w:tabs>
              <w:suppressAutoHyphens/>
              <w:rPr>
                <w:spacing w:val="-2"/>
                <w:sz w:val="24"/>
                <w:szCs w:val="24"/>
              </w:rPr>
            </w:pPr>
            <w:r w:rsidRPr="00762063">
              <w:rPr>
                <w:spacing w:val="-2"/>
                <w:sz w:val="24"/>
                <w:szCs w:val="24"/>
              </w:rPr>
              <w:t>WT Docket No. 17-200</w:t>
            </w:r>
          </w:p>
          <w:p w:rsidR="004E1CBC" w:rsidRPr="00762063" w:rsidRDefault="004E1CBC" w:rsidP="00227107">
            <w:pPr>
              <w:tabs>
                <w:tab w:val="center" w:pos="4680"/>
              </w:tabs>
              <w:suppressAutoHyphens/>
              <w:rPr>
                <w:spacing w:val="-2"/>
                <w:sz w:val="24"/>
                <w:szCs w:val="24"/>
              </w:rPr>
            </w:pPr>
          </w:p>
        </w:tc>
      </w:tr>
    </w:tbl>
    <w:p w:rsidR="004E1CBC" w:rsidRPr="00762063" w:rsidRDefault="004E1CBC" w:rsidP="004E1CBC">
      <w:pPr>
        <w:rPr>
          <w:sz w:val="24"/>
          <w:szCs w:val="24"/>
        </w:rPr>
      </w:pPr>
    </w:p>
    <w:p w:rsidR="004E1CBC" w:rsidRDefault="004E1CBC" w:rsidP="004E1CBC">
      <w:pPr>
        <w:rPr>
          <w:sz w:val="24"/>
          <w:szCs w:val="24"/>
        </w:rPr>
      </w:pPr>
      <w:r w:rsidRPr="00762063">
        <w:rPr>
          <w:sz w:val="24"/>
          <w:szCs w:val="24"/>
        </w:rPr>
        <w:t>To: The Commission</w:t>
      </w:r>
    </w:p>
    <w:p w:rsidR="004E1CBC" w:rsidRDefault="004E1CBC" w:rsidP="004E1CBC">
      <w:pPr>
        <w:rPr>
          <w:sz w:val="24"/>
          <w:szCs w:val="24"/>
        </w:rPr>
      </w:pPr>
    </w:p>
    <w:p w:rsidR="000F3E53" w:rsidRDefault="000F3E53"/>
    <w:p w:rsidR="00762063" w:rsidRDefault="00762063"/>
    <w:p w:rsidR="00762063" w:rsidRDefault="00762063" w:rsidP="00762063">
      <w:pPr>
        <w:jc w:val="center"/>
        <w:rPr>
          <w:b/>
          <w:sz w:val="28"/>
          <w:szCs w:val="28"/>
        </w:rPr>
      </w:pPr>
      <w:r w:rsidRPr="00762063">
        <w:rPr>
          <w:b/>
          <w:sz w:val="28"/>
          <w:szCs w:val="28"/>
        </w:rPr>
        <w:t>Comments of Southern California Edison</w:t>
      </w:r>
    </w:p>
    <w:p w:rsidR="003047E6" w:rsidRDefault="003047E6" w:rsidP="00762063">
      <w:pPr>
        <w:jc w:val="center"/>
        <w:rPr>
          <w:b/>
          <w:sz w:val="28"/>
          <w:szCs w:val="28"/>
        </w:rPr>
      </w:pPr>
    </w:p>
    <w:p w:rsidR="003047E6" w:rsidRPr="009649E5" w:rsidRDefault="003047E6" w:rsidP="000F3E53">
      <w:pPr>
        <w:pStyle w:val="ListParagraph"/>
        <w:numPr>
          <w:ilvl w:val="0"/>
          <w:numId w:val="1"/>
        </w:numPr>
        <w:outlineLvl w:val="0"/>
        <w:rPr>
          <w:b/>
          <w:sz w:val="24"/>
          <w:szCs w:val="28"/>
        </w:rPr>
      </w:pPr>
      <w:bookmarkStart w:id="2" w:name="_Toc10204860"/>
      <w:r w:rsidRPr="009649E5">
        <w:rPr>
          <w:b/>
          <w:sz w:val="24"/>
          <w:szCs w:val="28"/>
        </w:rPr>
        <w:t>Introduction</w:t>
      </w:r>
      <w:bookmarkEnd w:id="2"/>
    </w:p>
    <w:p w:rsidR="00762063" w:rsidRDefault="00762063" w:rsidP="00762063">
      <w:pPr>
        <w:jc w:val="center"/>
        <w:rPr>
          <w:b/>
          <w:sz w:val="28"/>
          <w:szCs w:val="28"/>
        </w:rPr>
      </w:pPr>
    </w:p>
    <w:p w:rsidR="00762063" w:rsidRPr="00762063" w:rsidRDefault="00762063" w:rsidP="009649E5">
      <w:pPr>
        <w:pStyle w:val="NoSpacing"/>
        <w:spacing w:line="480" w:lineRule="auto"/>
      </w:pPr>
      <w:r>
        <w:rPr>
          <w:b/>
          <w:sz w:val="28"/>
          <w:szCs w:val="28"/>
        </w:rPr>
        <w:tab/>
      </w:r>
      <w:r w:rsidRPr="00762063">
        <w:rPr>
          <w:szCs w:val="24"/>
        </w:rPr>
        <w:t>These Comments are submitted by Southern California Edison (“SCE”)</w:t>
      </w:r>
      <w:r w:rsidR="00360A82">
        <w:rPr>
          <w:szCs w:val="24"/>
        </w:rPr>
        <w:t xml:space="preserve"> in response to the Commission’s NPRM</w:t>
      </w:r>
      <w:r w:rsidR="00360A82">
        <w:rPr>
          <w:rStyle w:val="FootnoteReference"/>
          <w:szCs w:val="24"/>
        </w:rPr>
        <w:footnoteReference w:id="1"/>
      </w:r>
      <w:r w:rsidR="00360A82">
        <w:rPr>
          <w:szCs w:val="24"/>
        </w:rPr>
        <w:t xml:space="preserve"> in the above referenced Docket</w:t>
      </w:r>
      <w:r w:rsidRPr="00762063">
        <w:rPr>
          <w:szCs w:val="24"/>
        </w:rPr>
        <w:t>.</w:t>
      </w:r>
      <w:r>
        <w:rPr>
          <w:sz w:val="28"/>
          <w:szCs w:val="28"/>
        </w:rPr>
        <w:t xml:space="preserve">   </w:t>
      </w:r>
      <w:r w:rsidRPr="00762063">
        <w:t xml:space="preserve">SCE is one of the largest electric utilities in the United States, providing service to most of the south-central region of California which includes some 15 million residential and industrial customers across 50,000 square miles.  These customers depend on SCE to deliver electrical service to them safely, securely and reliably. </w:t>
      </w:r>
    </w:p>
    <w:p w:rsidR="00A81028" w:rsidRDefault="00762063" w:rsidP="009649E5">
      <w:pPr>
        <w:widowControl/>
        <w:spacing w:line="480" w:lineRule="auto"/>
        <w:rPr>
          <w:rFonts w:eastAsiaTheme="minorHAnsi" w:cs="Arial"/>
          <w:snapToGrid/>
          <w:kern w:val="0"/>
          <w:sz w:val="24"/>
          <w:szCs w:val="22"/>
        </w:rPr>
      </w:pPr>
      <w:r w:rsidRPr="00762063">
        <w:rPr>
          <w:rFonts w:eastAsiaTheme="minorHAnsi" w:cs="Arial"/>
          <w:snapToGrid/>
          <w:kern w:val="0"/>
          <w:sz w:val="24"/>
          <w:szCs w:val="22"/>
        </w:rPr>
        <w:tab/>
        <w:t xml:space="preserve">SCE currently holds 100 licenses in the 900 MHz band which it actively employs to provide both secure internal voice communications and data communications in support of its various operations in the region. </w:t>
      </w:r>
      <w:r w:rsidR="00815C39">
        <w:rPr>
          <w:rFonts w:eastAsiaTheme="minorHAnsi" w:cs="Arial"/>
          <w:snapToGrid/>
          <w:kern w:val="0"/>
          <w:sz w:val="24"/>
          <w:szCs w:val="22"/>
        </w:rPr>
        <w:t xml:space="preserve"> </w:t>
      </w:r>
      <w:r w:rsidR="00055478">
        <w:rPr>
          <w:rFonts w:eastAsiaTheme="minorHAnsi" w:cs="Arial"/>
          <w:snapToGrid/>
          <w:kern w:val="0"/>
          <w:sz w:val="24"/>
          <w:szCs w:val="22"/>
        </w:rPr>
        <w:t>(The portion of the 900 MHz band at issue in this proceeding shall be hereafter referred to as the “</w:t>
      </w:r>
      <w:r w:rsidR="00B15B79">
        <w:rPr>
          <w:rFonts w:eastAsiaTheme="minorHAnsi" w:cs="Arial"/>
          <w:snapToGrid/>
          <w:kern w:val="0"/>
          <w:sz w:val="24"/>
          <w:szCs w:val="22"/>
        </w:rPr>
        <w:t>9</w:t>
      </w:r>
      <w:r w:rsidR="00055478">
        <w:rPr>
          <w:rFonts w:eastAsiaTheme="minorHAnsi" w:cs="Arial"/>
          <w:snapToGrid/>
          <w:kern w:val="0"/>
          <w:sz w:val="24"/>
          <w:szCs w:val="22"/>
        </w:rPr>
        <w:t xml:space="preserve">00 MHz Band.”)  </w:t>
      </w:r>
      <w:r w:rsidRPr="00762063">
        <w:rPr>
          <w:rFonts w:eastAsiaTheme="minorHAnsi" w:cs="Arial"/>
          <w:snapToGrid/>
          <w:kern w:val="0"/>
          <w:sz w:val="24"/>
          <w:szCs w:val="22"/>
        </w:rPr>
        <w:t xml:space="preserve">As a critical infrastructure provider to millions of Californians, SCE shares the view expressed by many commenters that there is an </w:t>
      </w:r>
      <w:r w:rsidRPr="00762063">
        <w:rPr>
          <w:rFonts w:eastAsiaTheme="minorHAnsi" w:cs="Arial"/>
          <w:snapToGrid/>
          <w:kern w:val="0"/>
          <w:sz w:val="24"/>
          <w:szCs w:val="22"/>
        </w:rPr>
        <w:lastRenderedPageBreak/>
        <w:t xml:space="preserve">urgent need for improved and expanded telecommunications resources to ensure the reliability, security and safety of the nation’s electrical utility infrastructure.  </w:t>
      </w:r>
    </w:p>
    <w:p w:rsidR="00762063" w:rsidRPr="00762063" w:rsidRDefault="00A81028" w:rsidP="009649E5">
      <w:pPr>
        <w:widowControl/>
        <w:spacing w:line="480" w:lineRule="auto"/>
        <w:rPr>
          <w:rFonts w:eastAsiaTheme="minorHAnsi" w:cs="Arial"/>
          <w:snapToGrid/>
          <w:kern w:val="0"/>
          <w:sz w:val="24"/>
          <w:szCs w:val="22"/>
        </w:rPr>
      </w:pPr>
      <w:r>
        <w:rPr>
          <w:rFonts w:eastAsiaTheme="minorHAnsi" w:cs="Arial"/>
          <w:snapToGrid/>
          <w:kern w:val="0"/>
          <w:sz w:val="24"/>
          <w:szCs w:val="22"/>
        </w:rPr>
        <w:tab/>
      </w:r>
      <w:r w:rsidR="00762063" w:rsidRPr="00762063">
        <w:rPr>
          <w:rFonts w:eastAsiaTheme="minorHAnsi" w:cs="Arial"/>
          <w:snapToGrid/>
          <w:kern w:val="0"/>
          <w:sz w:val="24"/>
          <w:szCs w:val="22"/>
        </w:rPr>
        <w:t xml:space="preserve">Just </w:t>
      </w:r>
      <w:r w:rsidR="00815C39">
        <w:rPr>
          <w:rFonts w:eastAsiaTheme="minorHAnsi" w:cs="Arial"/>
          <w:snapToGrid/>
          <w:kern w:val="0"/>
          <w:sz w:val="24"/>
          <w:szCs w:val="22"/>
        </w:rPr>
        <w:t>last year</w:t>
      </w:r>
      <w:r w:rsidR="00762063" w:rsidRPr="00762063">
        <w:rPr>
          <w:rFonts w:eastAsiaTheme="minorHAnsi" w:cs="Arial"/>
          <w:snapToGrid/>
          <w:kern w:val="0"/>
          <w:sz w:val="24"/>
          <w:szCs w:val="22"/>
        </w:rPr>
        <w:t xml:space="preserve">, SCE and thousands of its customers experienced the Woolsey wild fire in the Ventura County – Los Angeles region that consumed nearly 100,000 acres of land area and destroyed millions of dollars’ worth of property.  The Camp Fire in northern California simultaneously wreaked devastating damage to a large swath of northern California and took many lives. In fact, 10 of the 20 most destructive wildfires in California have happened since 2015.  Wildfires like these present an immediate and public threat to California. </w:t>
      </w:r>
      <w:r w:rsidR="00815C39">
        <w:rPr>
          <w:rFonts w:eastAsiaTheme="minorHAnsi" w:cs="Arial"/>
          <w:snapToGrid/>
          <w:kern w:val="0"/>
          <w:sz w:val="24"/>
          <w:szCs w:val="22"/>
        </w:rPr>
        <w:t xml:space="preserve"> </w:t>
      </w:r>
      <w:r w:rsidR="00513247">
        <w:rPr>
          <w:rFonts w:eastAsiaTheme="minorHAnsi" w:cs="Arial"/>
          <w:snapToGrid/>
          <w:kern w:val="0"/>
          <w:sz w:val="24"/>
          <w:szCs w:val="22"/>
        </w:rPr>
        <w:t>B</w:t>
      </w:r>
      <w:r w:rsidR="00513247" w:rsidRPr="00762063">
        <w:rPr>
          <w:rFonts w:eastAsiaTheme="minorHAnsi" w:cs="Arial"/>
          <w:snapToGrid/>
          <w:kern w:val="0"/>
          <w:sz w:val="24"/>
          <w:szCs w:val="22"/>
        </w:rPr>
        <w:t>roadband visual and data monitoring of electrical facilities in remote locations is critical to mitigate electric infrastructure risk and ensure fire events are detected immediately and extinguished before they grow into major public safety events.</w:t>
      </w:r>
      <w:r w:rsidR="00513247">
        <w:rPr>
          <w:rFonts w:eastAsiaTheme="minorHAnsi" w:cs="Arial"/>
          <w:snapToGrid/>
          <w:kern w:val="0"/>
          <w:sz w:val="24"/>
          <w:szCs w:val="22"/>
        </w:rPr>
        <w:t xml:space="preserve">  </w:t>
      </w:r>
      <w:r w:rsidR="00815C39">
        <w:rPr>
          <w:rFonts w:eastAsiaTheme="minorHAnsi" w:cs="Arial"/>
          <w:snapToGrid/>
          <w:kern w:val="0"/>
          <w:sz w:val="24"/>
          <w:szCs w:val="22"/>
        </w:rPr>
        <w:t>While west coast utilities have suffered increasingly from effects of a persistent drought-rain-drought cycle that makes wildfires more frequent, more damaging, and harder to control, utilities along the Gulf coast and the Atlantic seaboard experience the opposite problem – hurricanes and tropical storms that occur with greate</w:t>
      </w:r>
      <w:r w:rsidR="00055478">
        <w:rPr>
          <w:rFonts w:eastAsiaTheme="minorHAnsi" w:cs="Arial"/>
          <w:snapToGrid/>
          <w:kern w:val="0"/>
          <w:sz w:val="24"/>
          <w:szCs w:val="22"/>
        </w:rPr>
        <w:t>r frequency than in the past that wreak</w:t>
      </w:r>
      <w:r w:rsidR="00815C39">
        <w:rPr>
          <w:rFonts w:eastAsiaTheme="minorHAnsi" w:cs="Arial"/>
          <w:snapToGrid/>
          <w:kern w:val="0"/>
          <w:sz w:val="24"/>
          <w:szCs w:val="22"/>
        </w:rPr>
        <w:t xml:space="preserve"> more widespread damage to the regions affected than ever before</w:t>
      </w:r>
    </w:p>
    <w:p w:rsidR="00815C39" w:rsidRDefault="00762063" w:rsidP="009649E5">
      <w:pPr>
        <w:widowControl/>
        <w:spacing w:line="480" w:lineRule="auto"/>
        <w:rPr>
          <w:rFonts w:eastAsiaTheme="minorHAnsi" w:cs="Arial"/>
          <w:snapToGrid/>
          <w:kern w:val="0"/>
          <w:sz w:val="24"/>
          <w:szCs w:val="22"/>
        </w:rPr>
      </w:pPr>
      <w:r w:rsidRPr="00762063">
        <w:rPr>
          <w:rFonts w:eastAsiaTheme="minorHAnsi" w:cs="Arial"/>
          <w:snapToGrid/>
          <w:kern w:val="0"/>
          <w:sz w:val="24"/>
          <w:szCs w:val="22"/>
        </w:rPr>
        <w:tab/>
        <w:t xml:space="preserve">At the same time, </w:t>
      </w:r>
      <w:r w:rsidR="00815C39">
        <w:rPr>
          <w:rFonts w:eastAsiaTheme="minorHAnsi" w:cs="Arial"/>
          <w:snapToGrid/>
          <w:kern w:val="0"/>
          <w:sz w:val="24"/>
          <w:szCs w:val="22"/>
        </w:rPr>
        <w:t xml:space="preserve">the nation’s </w:t>
      </w:r>
      <w:r w:rsidRPr="00762063">
        <w:rPr>
          <w:rFonts w:eastAsiaTheme="minorHAnsi" w:cs="Arial"/>
          <w:snapToGrid/>
          <w:kern w:val="0"/>
          <w:sz w:val="24"/>
          <w:szCs w:val="22"/>
        </w:rPr>
        <w:t xml:space="preserve">utilities are coming under increasing threats from hackers and </w:t>
      </w:r>
      <w:r w:rsidR="00513247">
        <w:rPr>
          <w:rFonts w:eastAsiaTheme="minorHAnsi" w:cs="Arial"/>
          <w:snapToGrid/>
          <w:kern w:val="0"/>
          <w:sz w:val="24"/>
          <w:szCs w:val="22"/>
        </w:rPr>
        <w:t>cyberterrorists</w:t>
      </w:r>
      <w:r w:rsidRPr="00762063">
        <w:rPr>
          <w:rFonts w:eastAsiaTheme="minorHAnsi" w:cs="Arial"/>
          <w:snapToGrid/>
          <w:kern w:val="0"/>
          <w:sz w:val="24"/>
          <w:szCs w:val="22"/>
        </w:rPr>
        <w:t xml:space="preserve">.  As network management functions become more and more digitized, it becomes increasingly important that utilities like SCE maintain a communications network that is impervious to the kind of electronic intrusions that third party networks are susceptible to.  High level security of the network against outside manipulation is essential to reliable operations, and that level of security can only be achieved by a closely owned, controlled and protected network structure. </w:t>
      </w:r>
    </w:p>
    <w:p w:rsidR="000C78FD" w:rsidRPr="000C78FD" w:rsidRDefault="000C78FD" w:rsidP="009649E5">
      <w:pPr>
        <w:widowControl/>
        <w:spacing w:line="480" w:lineRule="auto"/>
        <w:rPr>
          <w:rFonts w:eastAsiaTheme="minorHAnsi" w:cs="Arial"/>
          <w:snapToGrid/>
          <w:kern w:val="0"/>
          <w:sz w:val="24"/>
          <w:szCs w:val="24"/>
        </w:rPr>
      </w:pPr>
      <w:r>
        <w:rPr>
          <w:rFonts w:eastAsiaTheme="minorHAnsi" w:cs="Arial"/>
          <w:snapToGrid/>
          <w:kern w:val="0"/>
          <w:sz w:val="24"/>
          <w:szCs w:val="22"/>
        </w:rPr>
        <w:lastRenderedPageBreak/>
        <w:tab/>
      </w:r>
      <w:r w:rsidR="00513247">
        <w:rPr>
          <w:rFonts w:ascii="Times" w:hAnsi="Times" w:cs="Times"/>
          <w:sz w:val="24"/>
          <w:szCs w:val="24"/>
        </w:rPr>
        <w:t xml:space="preserve">Further complicating the challenges faced by utilities is the fact that the risks associated </w:t>
      </w:r>
      <w:r w:rsidR="007242B4">
        <w:rPr>
          <w:rFonts w:ascii="Times" w:hAnsi="Times" w:cs="Times"/>
          <w:sz w:val="24"/>
          <w:szCs w:val="24"/>
        </w:rPr>
        <w:t xml:space="preserve">with </w:t>
      </w:r>
      <w:r w:rsidR="007242B4" w:rsidRPr="000C78FD">
        <w:rPr>
          <w:rFonts w:ascii="Times" w:hAnsi="Times" w:cs="Times"/>
          <w:sz w:val="24"/>
          <w:szCs w:val="24"/>
        </w:rPr>
        <w:t>negligence</w:t>
      </w:r>
      <w:r w:rsidRPr="000C78FD">
        <w:rPr>
          <w:rFonts w:ascii="Times" w:hAnsi="Times" w:cs="Times"/>
          <w:sz w:val="24"/>
          <w:szCs w:val="24"/>
        </w:rPr>
        <w:t xml:space="preserve"> or non</w:t>
      </w:r>
      <w:r w:rsidR="00513247">
        <w:rPr>
          <w:rFonts w:ascii="Times" w:hAnsi="Times" w:cs="Times"/>
          <w:sz w:val="24"/>
          <w:szCs w:val="24"/>
        </w:rPr>
        <w:t>performance are</w:t>
      </w:r>
      <w:r w:rsidRPr="000C78FD">
        <w:rPr>
          <w:rFonts w:ascii="Times" w:hAnsi="Times" w:cs="Times"/>
          <w:sz w:val="24"/>
          <w:szCs w:val="24"/>
        </w:rPr>
        <w:t xml:space="preserve"> increasing so significantly as to be unsustainable.  As the recent bankruptcy of a large utility in northern </w:t>
      </w:r>
      <w:r w:rsidR="007242B4" w:rsidRPr="000C78FD">
        <w:rPr>
          <w:rFonts w:ascii="Times" w:hAnsi="Times" w:cs="Times"/>
          <w:sz w:val="24"/>
          <w:szCs w:val="24"/>
        </w:rPr>
        <w:t>California</w:t>
      </w:r>
      <w:r w:rsidRPr="000C78FD">
        <w:rPr>
          <w:rFonts w:ascii="Times" w:hAnsi="Times" w:cs="Times"/>
          <w:sz w:val="24"/>
          <w:szCs w:val="24"/>
        </w:rPr>
        <w:t xml:space="preserve"> demonstrated, the strict liability imposed by law on utilities in </w:t>
      </w:r>
      <w:r w:rsidR="007242B4" w:rsidRPr="000C78FD">
        <w:rPr>
          <w:rFonts w:ascii="Times" w:hAnsi="Times" w:cs="Times"/>
          <w:sz w:val="24"/>
          <w:szCs w:val="24"/>
        </w:rPr>
        <w:t>California</w:t>
      </w:r>
      <w:r w:rsidRPr="000C78FD">
        <w:rPr>
          <w:rFonts w:ascii="Times" w:hAnsi="Times" w:cs="Times"/>
          <w:sz w:val="24"/>
          <w:szCs w:val="24"/>
        </w:rPr>
        <w:t xml:space="preserve"> subjects them to catastrophic liabilities when an equipment malfunction causes a</w:t>
      </w:r>
      <w:r w:rsidR="00513247">
        <w:rPr>
          <w:rFonts w:ascii="Times" w:hAnsi="Times" w:cs="Times"/>
          <w:sz w:val="24"/>
          <w:szCs w:val="24"/>
        </w:rPr>
        <w:t>n uncontrollable f</w:t>
      </w:r>
      <w:r w:rsidRPr="000C78FD">
        <w:rPr>
          <w:rFonts w:ascii="Times" w:hAnsi="Times" w:cs="Times"/>
          <w:sz w:val="24"/>
          <w:szCs w:val="24"/>
        </w:rPr>
        <w:t xml:space="preserve">ire to start.  </w:t>
      </w:r>
      <w:r w:rsidR="003047E6">
        <w:rPr>
          <w:rFonts w:ascii="Times" w:hAnsi="Times" w:cs="Times"/>
          <w:sz w:val="24"/>
          <w:szCs w:val="24"/>
        </w:rPr>
        <w:t>Resulting damages</w:t>
      </w:r>
      <w:r w:rsidRPr="000C78FD">
        <w:rPr>
          <w:rFonts w:ascii="Times" w:hAnsi="Times" w:cs="Times"/>
          <w:sz w:val="24"/>
          <w:szCs w:val="24"/>
        </w:rPr>
        <w:t xml:space="preserve"> can be in the </w:t>
      </w:r>
      <w:r w:rsidRPr="003047E6">
        <w:rPr>
          <w:rFonts w:ascii="Times" w:hAnsi="Times" w:cs="Times"/>
          <w:i/>
          <w:sz w:val="24"/>
          <w:szCs w:val="24"/>
        </w:rPr>
        <w:t xml:space="preserve">billions </w:t>
      </w:r>
      <w:r w:rsidRPr="000C78FD">
        <w:rPr>
          <w:rFonts w:ascii="Times" w:hAnsi="Times" w:cs="Times"/>
          <w:sz w:val="24"/>
          <w:szCs w:val="24"/>
        </w:rPr>
        <w:t>of dollars</w:t>
      </w:r>
      <w:r w:rsidR="003047E6">
        <w:rPr>
          <w:rFonts w:ascii="Times" w:hAnsi="Times" w:cs="Times"/>
          <w:sz w:val="24"/>
          <w:szCs w:val="24"/>
        </w:rPr>
        <w:t>,</w:t>
      </w:r>
      <w:r w:rsidRPr="000C78FD">
        <w:rPr>
          <w:rFonts w:ascii="Times" w:hAnsi="Times" w:cs="Times"/>
          <w:sz w:val="24"/>
          <w:szCs w:val="24"/>
        </w:rPr>
        <w:t xml:space="preserve"> and third party service providers have </w:t>
      </w:r>
      <w:r w:rsidR="003047E6">
        <w:rPr>
          <w:rFonts w:ascii="Times" w:hAnsi="Times" w:cs="Times"/>
          <w:sz w:val="24"/>
          <w:szCs w:val="24"/>
        </w:rPr>
        <w:t xml:space="preserve">not surprisingly </w:t>
      </w:r>
      <w:r w:rsidRPr="000C78FD">
        <w:rPr>
          <w:rFonts w:ascii="Times" w:hAnsi="Times" w:cs="Times"/>
          <w:sz w:val="24"/>
          <w:szCs w:val="24"/>
        </w:rPr>
        <w:t xml:space="preserve">refused to accept the </w:t>
      </w:r>
      <w:r w:rsidR="00513247">
        <w:rPr>
          <w:rFonts w:ascii="Times" w:hAnsi="Times" w:cs="Times"/>
          <w:sz w:val="24"/>
          <w:szCs w:val="24"/>
        </w:rPr>
        <w:t>daunting</w:t>
      </w:r>
      <w:r w:rsidRPr="000C78FD">
        <w:rPr>
          <w:rFonts w:ascii="Times" w:hAnsi="Times" w:cs="Times"/>
          <w:sz w:val="24"/>
          <w:szCs w:val="24"/>
        </w:rPr>
        <w:t xml:space="preserve"> liabilities </w:t>
      </w:r>
      <w:r w:rsidR="00513247">
        <w:rPr>
          <w:rFonts w:ascii="Times" w:hAnsi="Times" w:cs="Times"/>
          <w:sz w:val="24"/>
          <w:szCs w:val="24"/>
        </w:rPr>
        <w:t>stemming from</w:t>
      </w:r>
      <w:r w:rsidRPr="000C78FD">
        <w:rPr>
          <w:rFonts w:ascii="Times" w:hAnsi="Times" w:cs="Times"/>
          <w:sz w:val="24"/>
          <w:szCs w:val="24"/>
        </w:rPr>
        <w:t xml:space="preserve"> non-performance.  For this reason, as well as the benefits and security of an internally controlled and operated network, it is imperative that utilities own and operate their own communications systems.</w:t>
      </w:r>
    </w:p>
    <w:p w:rsidR="00513247" w:rsidRDefault="00815C39" w:rsidP="009649E5">
      <w:pPr>
        <w:spacing w:line="480" w:lineRule="auto"/>
        <w:rPr>
          <w:rFonts w:eastAsiaTheme="minorHAnsi" w:cs="Arial"/>
          <w:snapToGrid/>
          <w:kern w:val="0"/>
          <w:sz w:val="24"/>
          <w:szCs w:val="22"/>
        </w:rPr>
      </w:pPr>
      <w:r>
        <w:rPr>
          <w:rFonts w:eastAsiaTheme="minorHAnsi" w:cs="Arial"/>
          <w:snapToGrid/>
          <w:kern w:val="0"/>
          <w:sz w:val="24"/>
          <w:szCs w:val="22"/>
        </w:rPr>
        <w:tab/>
      </w:r>
      <w:r w:rsidR="00513247">
        <w:rPr>
          <w:rFonts w:eastAsiaTheme="minorHAnsi" w:cs="Arial"/>
          <w:snapToGrid/>
          <w:kern w:val="0"/>
          <w:sz w:val="24"/>
          <w:szCs w:val="22"/>
        </w:rPr>
        <w:t xml:space="preserve">The electrical utility industry in this country is </w:t>
      </w:r>
      <w:r w:rsidR="003047E6">
        <w:rPr>
          <w:rFonts w:eastAsiaTheme="minorHAnsi" w:cs="Arial"/>
          <w:snapToGrid/>
          <w:kern w:val="0"/>
          <w:sz w:val="24"/>
          <w:szCs w:val="22"/>
        </w:rPr>
        <w:t xml:space="preserve">now </w:t>
      </w:r>
      <w:r w:rsidR="00513247">
        <w:rPr>
          <w:rFonts w:eastAsiaTheme="minorHAnsi" w:cs="Arial"/>
          <w:snapToGrid/>
          <w:kern w:val="0"/>
          <w:sz w:val="24"/>
          <w:szCs w:val="22"/>
        </w:rPr>
        <w:t xml:space="preserve">at a historic threshold.  The </w:t>
      </w:r>
      <w:r w:rsidR="007242B4">
        <w:rPr>
          <w:rFonts w:eastAsiaTheme="minorHAnsi" w:cs="Arial"/>
          <w:snapToGrid/>
          <w:kern w:val="0"/>
          <w:sz w:val="24"/>
          <w:szCs w:val="22"/>
        </w:rPr>
        <w:t>telecommunications</w:t>
      </w:r>
      <w:r w:rsidR="00513247">
        <w:rPr>
          <w:rFonts w:eastAsiaTheme="minorHAnsi" w:cs="Arial"/>
          <w:snapToGrid/>
          <w:kern w:val="0"/>
          <w:sz w:val="24"/>
          <w:szCs w:val="22"/>
        </w:rPr>
        <w:t xml:space="preserve"> methods, equipment, and networks of the 20</w:t>
      </w:r>
      <w:r w:rsidR="00513247" w:rsidRPr="00513247">
        <w:rPr>
          <w:rFonts w:eastAsiaTheme="minorHAnsi" w:cs="Arial"/>
          <w:snapToGrid/>
          <w:kern w:val="0"/>
          <w:sz w:val="24"/>
          <w:szCs w:val="22"/>
          <w:vertAlign w:val="superscript"/>
        </w:rPr>
        <w:t>th</w:t>
      </w:r>
      <w:r w:rsidR="00513247">
        <w:rPr>
          <w:rFonts w:eastAsiaTheme="minorHAnsi" w:cs="Arial"/>
          <w:snapToGrid/>
          <w:kern w:val="0"/>
          <w:sz w:val="24"/>
          <w:szCs w:val="22"/>
        </w:rPr>
        <w:t xml:space="preserve"> century are no longer up to the task of meeting </w:t>
      </w:r>
      <w:r w:rsidR="00513247" w:rsidRPr="00762063">
        <w:rPr>
          <w:rFonts w:eastAsiaTheme="minorHAnsi" w:cs="Arial"/>
          <w:snapToGrid/>
          <w:kern w:val="0"/>
          <w:sz w:val="24"/>
          <w:szCs w:val="22"/>
        </w:rPr>
        <w:t>21</w:t>
      </w:r>
      <w:r w:rsidR="00513247" w:rsidRPr="00762063">
        <w:rPr>
          <w:rFonts w:eastAsiaTheme="minorHAnsi" w:cs="Arial"/>
          <w:snapToGrid/>
          <w:kern w:val="0"/>
          <w:sz w:val="24"/>
          <w:szCs w:val="22"/>
          <w:vertAlign w:val="superscript"/>
        </w:rPr>
        <w:t>st</w:t>
      </w:r>
      <w:r w:rsidR="00513247" w:rsidRPr="00762063">
        <w:rPr>
          <w:rFonts w:eastAsiaTheme="minorHAnsi" w:cs="Arial"/>
          <w:snapToGrid/>
          <w:kern w:val="0"/>
          <w:sz w:val="24"/>
          <w:szCs w:val="22"/>
        </w:rPr>
        <w:t xml:space="preserve"> century climate conditions and security threats</w:t>
      </w:r>
      <w:r w:rsidR="00513247">
        <w:rPr>
          <w:rFonts w:eastAsiaTheme="minorHAnsi" w:cs="Arial"/>
          <w:snapToGrid/>
          <w:kern w:val="0"/>
          <w:sz w:val="24"/>
          <w:szCs w:val="22"/>
        </w:rPr>
        <w:t xml:space="preserve">, not to mention the increasing complexity of administering the interconnected grids that make up the </w:t>
      </w:r>
      <w:r w:rsidR="002A638B">
        <w:rPr>
          <w:rFonts w:eastAsiaTheme="minorHAnsi" w:cs="Arial"/>
          <w:snapToGrid/>
          <w:kern w:val="0"/>
          <w:sz w:val="24"/>
          <w:szCs w:val="22"/>
        </w:rPr>
        <w:t xml:space="preserve">nation’s </w:t>
      </w:r>
      <w:r w:rsidR="00513247">
        <w:rPr>
          <w:rFonts w:eastAsiaTheme="minorHAnsi" w:cs="Arial"/>
          <w:snapToGrid/>
          <w:kern w:val="0"/>
          <w:sz w:val="24"/>
          <w:szCs w:val="22"/>
        </w:rPr>
        <w:t>electrical infrastructure</w:t>
      </w:r>
      <w:r w:rsidR="00513247" w:rsidRPr="00762063">
        <w:rPr>
          <w:rFonts w:eastAsiaTheme="minorHAnsi" w:cs="Arial"/>
          <w:snapToGrid/>
          <w:kern w:val="0"/>
          <w:sz w:val="24"/>
          <w:szCs w:val="22"/>
        </w:rPr>
        <w:t>.</w:t>
      </w:r>
      <w:r w:rsidR="00513247">
        <w:rPr>
          <w:rFonts w:eastAsiaTheme="minorHAnsi" w:cs="Arial"/>
          <w:snapToGrid/>
          <w:kern w:val="0"/>
          <w:sz w:val="24"/>
          <w:szCs w:val="22"/>
        </w:rPr>
        <w:t xml:space="preserve">   SCE views the current proceeding as </w:t>
      </w:r>
      <w:r w:rsidR="003047E6">
        <w:rPr>
          <w:rFonts w:eastAsiaTheme="minorHAnsi" w:cs="Arial"/>
          <w:snapToGrid/>
          <w:kern w:val="0"/>
          <w:sz w:val="24"/>
          <w:szCs w:val="22"/>
        </w:rPr>
        <w:t xml:space="preserve">holding nothing less than the potential to have a defining, once-in-a-generation impact on the ability of utilities to continue to deliver safe and reliable power to their customers for decades to come.  As will be detailed below, SCE believes the following </w:t>
      </w:r>
      <w:r w:rsidR="002A638B">
        <w:rPr>
          <w:rFonts w:eastAsiaTheme="minorHAnsi" w:cs="Arial"/>
          <w:snapToGrid/>
          <w:kern w:val="0"/>
          <w:sz w:val="24"/>
          <w:szCs w:val="22"/>
        </w:rPr>
        <w:t>broad</w:t>
      </w:r>
      <w:r w:rsidR="004D226F">
        <w:rPr>
          <w:rFonts w:eastAsiaTheme="minorHAnsi" w:cs="Arial"/>
          <w:snapToGrid/>
          <w:kern w:val="0"/>
          <w:sz w:val="24"/>
          <w:szCs w:val="22"/>
        </w:rPr>
        <w:t xml:space="preserve"> </w:t>
      </w:r>
      <w:r w:rsidR="003047E6">
        <w:rPr>
          <w:rFonts w:eastAsiaTheme="minorHAnsi" w:cs="Arial"/>
          <w:snapToGrid/>
          <w:kern w:val="0"/>
          <w:sz w:val="24"/>
          <w:szCs w:val="22"/>
        </w:rPr>
        <w:t>principles should govern the Commission’s action in this proceeding:</w:t>
      </w:r>
    </w:p>
    <w:p w:rsidR="003047E6" w:rsidRPr="004D226F" w:rsidRDefault="003047E6" w:rsidP="009649E5">
      <w:pPr>
        <w:pStyle w:val="ListParagraph"/>
        <w:numPr>
          <w:ilvl w:val="0"/>
          <w:numId w:val="2"/>
        </w:numPr>
        <w:spacing w:line="480" w:lineRule="auto"/>
        <w:rPr>
          <w:sz w:val="28"/>
          <w:szCs w:val="28"/>
        </w:rPr>
      </w:pPr>
      <w:r>
        <w:rPr>
          <w:rFonts w:eastAsiaTheme="minorHAnsi" w:cs="Arial"/>
          <w:snapToGrid/>
          <w:kern w:val="0"/>
          <w:sz w:val="24"/>
          <w:szCs w:val="22"/>
        </w:rPr>
        <w:t>The</w:t>
      </w:r>
      <w:r w:rsidRPr="00762063">
        <w:rPr>
          <w:rFonts w:eastAsiaTheme="minorHAnsi" w:cs="Arial"/>
          <w:snapToGrid/>
          <w:kern w:val="0"/>
          <w:sz w:val="24"/>
          <w:szCs w:val="22"/>
        </w:rPr>
        <w:t xml:space="preserve"> specialized needs of the electric utility industry require the availability of significant dedicated broadband capacity. The highly fractionalized channel allocation which currently governs the 900 MHz band will not be adequate for the special challenges </w:t>
      </w:r>
      <w:r w:rsidR="004D226F">
        <w:rPr>
          <w:rFonts w:eastAsiaTheme="minorHAnsi" w:cs="Arial"/>
          <w:snapToGrid/>
          <w:kern w:val="0"/>
          <w:sz w:val="24"/>
          <w:szCs w:val="22"/>
        </w:rPr>
        <w:t>now faced by the industry.</w:t>
      </w:r>
    </w:p>
    <w:p w:rsidR="004D226F" w:rsidRPr="004D226F" w:rsidRDefault="007242B4" w:rsidP="009649E5">
      <w:pPr>
        <w:pStyle w:val="ListParagraph"/>
        <w:numPr>
          <w:ilvl w:val="0"/>
          <w:numId w:val="2"/>
        </w:numPr>
        <w:spacing w:line="480" w:lineRule="auto"/>
        <w:rPr>
          <w:sz w:val="28"/>
          <w:szCs w:val="28"/>
        </w:rPr>
      </w:pPr>
      <w:r>
        <w:rPr>
          <w:rFonts w:eastAsiaTheme="minorHAnsi" w:cs="Arial"/>
          <w:snapToGrid/>
          <w:kern w:val="0"/>
          <w:sz w:val="24"/>
          <w:szCs w:val="22"/>
        </w:rPr>
        <w:t>Utilities</w:t>
      </w:r>
      <w:r w:rsidR="004D226F">
        <w:rPr>
          <w:rFonts w:eastAsiaTheme="minorHAnsi" w:cs="Arial"/>
          <w:snapToGrid/>
          <w:kern w:val="0"/>
          <w:sz w:val="24"/>
          <w:szCs w:val="22"/>
        </w:rPr>
        <w:t xml:space="preserve"> must have the ability to own and control their own licensed spectrum without </w:t>
      </w:r>
      <w:r w:rsidR="004D226F">
        <w:rPr>
          <w:rFonts w:eastAsiaTheme="minorHAnsi" w:cs="Arial"/>
          <w:snapToGrid/>
          <w:kern w:val="0"/>
          <w:sz w:val="24"/>
          <w:szCs w:val="22"/>
        </w:rPr>
        <w:lastRenderedPageBreak/>
        <w:t>being dependent on third party providers.</w:t>
      </w:r>
    </w:p>
    <w:p w:rsidR="004D226F" w:rsidRPr="007F4B7C" w:rsidRDefault="004D226F" w:rsidP="009649E5">
      <w:pPr>
        <w:pStyle w:val="ListParagraph"/>
        <w:numPr>
          <w:ilvl w:val="0"/>
          <w:numId w:val="2"/>
        </w:numPr>
        <w:spacing w:line="480" w:lineRule="auto"/>
        <w:rPr>
          <w:sz w:val="28"/>
          <w:szCs w:val="28"/>
        </w:rPr>
      </w:pPr>
      <w:r>
        <w:rPr>
          <w:rFonts w:eastAsiaTheme="minorHAnsi" w:cs="Arial"/>
          <w:snapToGrid/>
          <w:kern w:val="0"/>
          <w:sz w:val="24"/>
          <w:szCs w:val="22"/>
        </w:rPr>
        <w:t>Any spectrum reallocation should be flexible enough to allow broadband usage to begin with 1.</w:t>
      </w:r>
      <w:r w:rsidRPr="00A527F1">
        <w:rPr>
          <w:rFonts w:eastAsiaTheme="minorHAnsi" w:cs="Arial"/>
          <w:snapToGrid/>
          <w:kern w:val="0"/>
          <w:sz w:val="24"/>
          <w:szCs w:val="22"/>
        </w:rPr>
        <w:t>4</w:t>
      </w:r>
      <w:r w:rsidR="00A527F1">
        <w:rPr>
          <w:rFonts w:eastAsiaTheme="minorHAnsi" w:cs="Arial"/>
          <w:snapToGrid/>
          <w:kern w:val="0"/>
          <w:sz w:val="24"/>
          <w:szCs w:val="22"/>
        </w:rPr>
        <w:t xml:space="preserve"> x 1.4</w:t>
      </w:r>
      <w:r w:rsidRPr="00A527F1">
        <w:rPr>
          <w:rFonts w:eastAsiaTheme="minorHAnsi" w:cs="Arial"/>
          <w:snapToGrid/>
          <w:kern w:val="0"/>
          <w:sz w:val="24"/>
          <w:szCs w:val="22"/>
        </w:rPr>
        <w:t xml:space="preserve"> MHz</w:t>
      </w:r>
      <w:r>
        <w:rPr>
          <w:rFonts w:eastAsiaTheme="minorHAnsi" w:cs="Arial"/>
          <w:snapToGrid/>
          <w:kern w:val="0"/>
          <w:sz w:val="24"/>
          <w:szCs w:val="22"/>
        </w:rPr>
        <w:t xml:space="preserve"> channels which can be implemented relatively quickly, permitting a graduated and smooth transition of incumbents out of the band so that the </w:t>
      </w:r>
      <w:r w:rsidR="007242B4">
        <w:rPr>
          <w:rFonts w:eastAsiaTheme="minorHAnsi" w:cs="Arial"/>
          <w:snapToGrid/>
          <w:kern w:val="0"/>
          <w:sz w:val="24"/>
          <w:szCs w:val="22"/>
        </w:rPr>
        <w:t>benefits</w:t>
      </w:r>
      <w:r>
        <w:rPr>
          <w:rFonts w:eastAsiaTheme="minorHAnsi" w:cs="Arial"/>
          <w:snapToGrid/>
          <w:kern w:val="0"/>
          <w:sz w:val="24"/>
          <w:szCs w:val="22"/>
        </w:rPr>
        <w:t xml:space="preserve"> of a 3 x 3 MHz broadband license can eventually be realized.  The </w:t>
      </w:r>
      <w:r w:rsidR="007242B4">
        <w:rPr>
          <w:rFonts w:eastAsiaTheme="minorHAnsi" w:cs="Arial"/>
          <w:snapToGrid/>
          <w:kern w:val="0"/>
          <w:sz w:val="24"/>
          <w:szCs w:val="22"/>
        </w:rPr>
        <w:t>Commission should</w:t>
      </w:r>
      <w:r>
        <w:rPr>
          <w:rFonts w:eastAsiaTheme="minorHAnsi" w:cs="Arial"/>
          <w:snapToGrid/>
          <w:kern w:val="0"/>
          <w:sz w:val="24"/>
          <w:szCs w:val="22"/>
        </w:rPr>
        <w:t xml:space="preserve"> also anticipate and provide for the possibility that a full 5 x 5 MHz broadband license may be needed in the future.</w:t>
      </w:r>
    </w:p>
    <w:p w:rsidR="007F4B7C" w:rsidRPr="004D226F" w:rsidRDefault="007F4B7C" w:rsidP="009649E5">
      <w:pPr>
        <w:pStyle w:val="ListParagraph"/>
        <w:numPr>
          <w:ilvl w:val="0"/>
          <w:numId w:val="2"/>
        </w:numPr>
        <w:spacing w:line="480" w:lineRule="auto"/>
        <w:rPr>
          <w:sz w:val="28"/>
          <w:szCs w:val="28"/>
        </w:rPr>
      </w:pPr>
      <w:r>
        <w:rPr>
          <w:rFonts w:eastAsiaTheme="minorHAnsi" w:cs="Arial"/>
          <w:snapToGrid/>
          <w:kern w:val="0"/>
          <w:sz w:val="24"/>
          <w:szCs w:val="22"/>
        </w:rPr>
        <w:t>The continuing need of utilities for narrowband channels at least for a transitional period should be recognized.</w:t>
      </w:r>
      <w:r w:rsidR="00386A72">
        <w:rPr>
          <w:rFonts w:eastAsiaTheme="minorHAnsi" w:cs="Arial"/>
          <w:snapToGrid/>
          <w:kern w:val="0"/>
          <w:sz w:val="24"/>
          <w:szCs w:val="22"/>
        </w:rPr>
        <w:t xml:space="preserve">  Service provided by permanent narrowband licensees should retain the same protection from interference that they currently enjoy, unless they agree otherwise. </w:t>
      </w:r>
    </w:p>
    <w:p w:rsidR="004D226F" w:rsidRPr="007F4B7C" w:rsidRDefault="004D226F" w:rsidP="009649E5">
      <w:pPr>
        <w:pStyle w:val="ListParagraph"/>
        <w:numPr>
          <w:ilvl w:val="0"/>
          <w:numId w:val="2"/>
        </w:numPr>
        <w:spacing w:line="480" w:lineRule="auto"/>
        <w:rPr>
          <w:sz w:val="28"/>
          <w:szCs w:val="28"/>
        </w:rPr>
      </w:pPr>
      <w:r>
        <w:rPr>
          <w:rFonts w:eastAsiaTheme="minorHAnsi" w:cs="Arial"/>
          <w:snapToGrid/>
          <w:kern w:val="0"/>
          <w:sz w:val="24"/>
          <w:szCs w:val="22"/>
        </w:rPr>
        <w:t xml:space="preserve">In order to accomplish the objectives of this proceeding, it is likely that additional spectrum outside the 900 MHz </w:t>
      </w:r>
      <w:r w:rsidR="00A527F1">
        <w:rPr>
          <w:rFonts w:eastAsiaTheme="minorHAnsi" w:cs="Arial"/>
          <w:snapToGrid/>
          <w:kern w:val="0"/>
          <w:sz w:val="24"/>
          <w:szCs w:val="22"/>
        </w:rPr>
        <w:t>B</w:t>
      </w:r>
      <w:r>
        <w:rPr>
          <w:rFonts w:eastAsiaTheme="minorHAnsi" w:cs="Arial"/>
          <w:snapToGrid/>
          <w:kern w:val="0"/>
          <w:sz w:val="24"/>
          <w:szCs w:val="22"/>
        </w:rPr>
        <w:t xml:space="preserve">and will be needed to simultaneously accommodate the needs of incumbents and the new broadband licensee.  </w:t>
      </w:r>
      <w:r w:rsidR="007F4B7C">
        <w:rPr>
          <w:rFonts w:eastAsiaTheme="minorHAnsi" w:cs="Arial"/>
          <w:snapToGrid/>
          <w:kern w:val="0"/>
          <w:sz w:val="24"/>
          <w:szCs w:val="22"/>
        </w:rPr>
        <w:t xml:space="preserve">The </w:t>
      </w:r>
      <w:r w:rsidR="007242B4">
        <w:rPr>
          <w:rFonts w:eastAsiaTheme="minorHAnsi" w:cs="Arial"/>
          <w:snapToGrid/>
          <w:kern w:val="0"/>
          <w:sz w:val="24"/>
          <w:szCs w:val="22"/>
        </w:rPr>
        <w:t>Commission</w:t>
      </w:r>
      <w:r w:rsidR="007F4B7C">
        <w:rPr>
          <w:rFonts w:eastAsiaTheme="minorHAnsi" w:cs="Arial"/>
          <w:snapToGrid/>
          <w:kern w:val="0"/>
          <w:sz w:val="24"/>
          <w:szCs w:val="22"/>
        </w:rPr>
        <w:t xml:space="preserve"> should therefore explore the </w:t>
      </w:r>
      <w:r w:rsidR="007242B4">
        <w:rPr>
          <w:rFonts w:eastAsiaTheme="minorHAnsi" w:cs="Arial"/>
          <w:snapToGrid/>
          <w:kern w:val="0"/>
          <w:sz w:val="24"/>
          <w:szCs w:val="22"/>
        </w:rPr>
        <w:t>availability</w:t>
      </w:r>
      <w:r w:rsidR="007F4B7C">
        <w:rPr>
          <w:rFonts w:eastAsiaTheme="minorHAnsi" w:cs="Arial"/>
          <w:snapToGrid/>
          <w:kern w:val="0"/>
          <w:sz w:val="24"/>
          <w:szCs w:val="22"/>
        </w:rPr>
        <w:t xml:space="preserve"> of other relatively low band frequencies for this purpose.</w:t>
      </w:r>
    </w:p>
    <w:p w:rsidR="007F4B7C" w:rsidRPr="007F4B7C" w:rsidRDefault="002A638B" w:rsidP="009649E5">
      <w:pPr>
        <w:pStyle w:val="ListParagraph"/>
        <w:numPr>
          <w:ilvl w:val="0"/>
          <w:numId w:val="2"/>
        </w:numPr>
        <w:spacing w:line="480" w:lineRule="auto"/>
        <w:rPr>
          <w:sz w:val="28"/>
          <w:szCs w:val="28"/>
        </w:rPr>
      </w:pPr>
      <w:r>
        <w:rPr>
          <w:rFonts w:eastAsiaTheme="minorHAnsi" w:cs="Arial"/>
          <w:snapToGrid/>
          <w:kern w:val="0"/>
          <w:sz w:val="24"/>
          <w:szCs w:val="22"/>
        </w:rPr>
        <w:t>Eligibility for</w:t>
      </w:r>
      <w:r w:rsidR="007F4B7C">
        <w:rPr>
          <w:rFonts w:eastAsiaTheme="minorHAnsi" w:cs="Arial"/>
          <w:snapToGrid/>
          <w:kern w:val="0"/>
          <w:sz w:val="24"/>
          <w:szCs w:val="22"/>
        </w:rPr>
        <w:t xml:space="preserve"> the broadband license </w:t>
      </w:r>
      <w:r w:rsidR="007242B4">
        <w:rPr>
          <w:rFonts w:eastAsiaTheme="minorHAnsi" w:cs="Arial"/>
          <w:snapToGrid/>
          <w:kern w:val="0"/>
          <w:sz w:val="24"/>
          <w:szCs w:val="22"/>
        </w:rPr>
        <w:t>sho</w:t>
      </w:r>
      <w:r w:rsidR="00A81028">
        <w:rPr>
          <w:rFonts w:eastAsiaTheme="minorHAnsi" w:cs="Arial"/>
          <w:snapToGrid/>
          <w:kern w:val="0"/>
          <w:sz w:val="24"/>
          <w:szCs w:val="22"/>
        </w:rPr>
        <w:t>ul</w:t>
      </w:r>
      <w:r w:rsidR="007242B4">
        <w:rPr>
          <w:rFonts w:eastAsiaTheme="minorHAnsi" w:cs="Arial"/>
          <w:snapToGrid/>
          <w:kern w:val="0"/>
          <w:sz w:val="24"/>
          <w:szCs w:val="22"/>
        </w:rPr>
        <w:t>d</w:t>
      </w:r>
      <w:r w:rsidR="007F4B7C">
        <w:rPr>
          <w:rFonts w:eastAsiaTheme="minorHAnsi" w:cs="Arial"/>
          <w:snapToGrid/>
          <w:kern w:val="0"/>
          <w:sz w:val="24"/>
          <w:szCs w:val="22"/>
        </w:rPr>
        <w:t xml:space="preserve"> not be restricted to current large holders of SMR spectrum but should be open to all incumbents in the band.</w:t>
      </w:r>
    </w:p>
    <w:p w:rsidR="007F4B7C" w:rsidRPr="007F4B7C" w:rsidRDefault="007F4B7C" w:rsidP="009649E5">
      <w:pPr>
        <w:pStyle w:val="ListParagraph"/>
        <w:numPr>
          <w:ilvl w:val="0"/>
          <w:numId w:val="2"/>
        </w:numPr>
        <w:spacing w:line="480" w:lineRule="auto"/>
        <w:rPr>
          <w:sz w:val="28"/>
          <w:szCs w:val="28"/>
        </w:rPr>
      </w:pPr>
      <w:r>
        <w:rPr>
          <w:rFonts w:eastAsiaTheme="minorHAnsi" w:cs="Arial"/>
          <w:snapToGrid/>
          <w:kern w:val="0"/>
          <w:sz w:val="24"/>
          <w:szCs w:val="22"/>
        </w:rPr>
        <w:t xml:space="preserve">The urgent needs of Critical </w:t>
      </w:r>
      <w:r w:rsidR="007242B4">
        <w:rPr>
          <w:rFonts w:eastAsiaTheme="minorHAnsi" w:cs="Arial"/>
          <w:snapToGrid/>
          <w:kern w:val="0"/>
          <w:sz w:val="24"/>
          <w:szCs w:val="22"/>
        </w:rPr>
        <w:t>Infrastructure</w:t>
      </w:r>
      <w:r>
        <w:rPr>
          <w:rFonts w:eastAsiaTheme="minorHAnsi" w:cs="Arial"/>
          <w:snapToGrid/>
          <w:kern w:val="0"/>
          <w:sz w:val="24"/>
          <w:szCs w:val="22"/>
        </w:rPr>
        <w:t xml:space="preserve"> Industry applicants should be prioritized over the possibility of ceding this small spectrum band to non-utilities for generalized broadband purposes that are already being served elsewhere.</w:t>
      </w:r>
    </w:p>
    <w:p w:rsidR="007F4B7C" w:rsidRPr="007F4B7C" w:rsidRDefault="007F4B7C" w:rsidP="009649E5">
      <w:pPr>
        <w:pStyle w:val="ListParagraph"/>
        <w:numPr>
          <w:ilvl w:val="0"/>
          <w:numId w:val="2"/>
        </w:numPr>
        <w:spacing w:line="480" w:lineRule="auto"/>
        <w:rPr>
          <w:sz w:val="28"/>
          <w:szCs w:val="28"/>
        </w:rPr>
      </w:pPr>
      <w:r>
        <w:rPr>
          <w:rFonts w:eastAsiaTheme="minorHAnsi" w:cs="Arial"/>
          <w:snapToGrid/>
          <w:kern w:val="0"/>
          <w:sz w:val="24"/>
          <w:szCs w:val="22"/>
        </w:rPr>
        <w:t>The process of transitioning incumbents out of the broadband channel whether by voluntary agreement or FCC-conducted auction should be expeditious and include strong incentives for incumbents to relocate.</w:t>
      </w:r>
    </w:p>
    <w:p w:rsidR="007F4B7C" w:rsidRPr="003047E6" w:rsidRDefault="007F4B7C" w:rsidP="009649E5">
      <w:pPr>
        <w:pStyle w:val="ListParagraph"/>
        <w:numPr>
          <w:ilvl w:val="0"/>
          <w:numId w:val="2"/>
        </w:numPr>
        <w:spacing w:line="480" w:lineRule="auto"/>
        <w:rPr>
          <w:sz w:val="28"/>
          <w:szCs w:val="28"/>
        </w:rPr>
      </w:pPr>
      <w:r>
        <w:rPr>
          <w:rFonts w:eastAsiaTheme="minorHAnsi" w:cs="Arial"/>
          <w:snapToGrid/>
          <w:kern w:val="0"/>
          <w:sz w:val="24"/>
          <w:szCs w:val="22"/>
        </w:rPr>
        <w:lastRenderedPageBreak/>
        <w:t>Incumbents who have pro</w:t>
      </w:r>
      <w:r w:rsidR="002A638B">
        <w:rPr>
          <w:rFonts w:eastAsiaTheme="minorHAnsi" w:cs="Arial"/>
          <w:snapToGrid/>
          <w:kern w:val="0"/>
          <w:sz w:val="24"/>
          <w:szCs w:val="22"/>
        </w:rPr>
        <w:t xml:space="preserve">vided little or no service over </w:t>
      </w:r>
      <w:r>
        <w:rPr>
          <w:rFonts w:eastAsiaTheme="minorHAnsi" w:cs="Arial"/>
          <w:snapToGrid/>
          <w:kern w:val="0"/>
          <w:sz w:val="24"/>
          <w:szCs w:val="22"/>
        </w:rPr>
        <w:t>their spectrum should not be granted huge financial windfalls at the public’s expense.</w:t>
      </w:r>
    </w:p>
    <w:p w:rsidR="00815C39" w:rsidRPr="00762063" w:rsidRDefault="00815C39" w:rsidP="00815C39">
      <w:pPr>
        <w:widowControl/>
        <w:rPr>
          <w:rFonts w:eastAsiaTheme="minorHAnsi" w:cs="Arial"/>
          <w:snapToGrid/>
          <w:kern w:val="0"/>
          <w:sz w:val="24"/>
          <w:szCs w:val="22"/>
        </w:rPr>
      </w:pPr>
      <w:r w:rsidRPr="00762063">
        <w:rPr>
          <w:rFonts w:eastAsiaTheme="minorHAnsi" w:cs="Arial"/>
          <w:snapToGrid/>
          <w:kern w:val="0"/>
          <w:sz w:val="24"/>
          <w:szCs w:val="22"/>
        </w:rPr>
        <w:tab/>
      </w:r>
    </w:p>
    <w:p w:rsidR="00762063" w:rsidRDefault="002A638B" w:rsidP="009649E5">
      <w:pPr>
        <w:widowControl/>
        <w:spacing w:line="480" w:lineRule="auto"/>
        <w:rPr>
          <w:rFonts w:eastAsiaTheme="minorHAnsi" w:cs="Arial"/>
          <w:snapToGrid/>
          <w:kern w:val="0"/>
          <w:sz w:val="24"/>
          <w:szCs w:val="22"/>
        </w:rPr>
      </w:pPr>
      <w:r>
        <w:rPr>
          <w:rFonts w:eastAsiaTheme="minorHAnsi" w:cs="Arial"/>
          <w:snapToGrid/>
          <w:kern w:val="0"/>
          <w:sz w:val="24"/>
          <w:szCs w:val="22"/>
        </w:rPr>
        <w:t xml:space="preserve">SCE will explain below how these principles can be addressed in the </w:t>
      </w:r>
      <w:r w:rsidR="007242B4">
        <w:rPr>
          <w:rFonts w:eastAsiaTheme="minorHAnsi" w:cs="Arial"/>
          <w:snapToGrid/>
          <w:kern w:val="0"/>
          <w:sz w:val="24"/>
          <w:szCs w:val="22"/>
        </w:rPr>
        <w:t>context</w:t>
      </w:r>
      <w:r>
        <w:rPr>
          <w:rFonts w:eastAsiaTheme="minorHAnsi" w:cs="Arial"/>
          <w:snapToGrid/>
          <w:kern w:val="0"/>
          <w:sz w:val="24"/>
          <w:szCs w:val="22"/>
        </w:rPr>
        <w:t xml:space="preserve"> </w:t>
      </w:r>
      <w:r w:rsidR="007242B4">
        <w:rPr>
          <w:rFonts w:eastAsiaTheme="minorHAnsi" w:cs="Arial"/>
          <w:snapToGrid/>
          <w:kern w:val="0"/>
          <w:sz w:val="24"/>
          <w:szCs w:val="22"/>
        </w:rPr>
        <w:t>of issues</w:t>
      </w:r>
      <w:r>
        <w:rPr>
          <w:rFonts w:eastAsiaTheme="minorHAnsi" w:cs="Arial"/>
          <w:snapToGrid/>
          <w:kern w:val="0"/>
          <w:sz w:val="24"/>
          <w:szCs w:val="22"/>
        </w:rPr>
        <w:t xml:space="preserve"> raised in the NPRM.</w:t>
      </w:r>
    </w:p>
    <w:p w:rsidR="002A638B" w:rsidRDefault="002A638B" w:rsidP="009649E5">
      <w:pPr>
        <w:keepNext/>
        <w:keepLines/>
        <w:widowControl/>
        <w:rPr>
          <w:rFonts w:eastAsiaTheme="minorHAnsi" w:cs="Arial"/>
          <w:snapToGrid/>
          <w:kern w:val="0"/>
          <w:sz w:val="24"/>
          <w:szCs w:val="22"/>
        </w:rPr>
      </w:pPr>
    </w:p>
    <w:p w:rsidR="002A638B" w:rsidRPr="009649E5" w:rsidRDefault="002A638B" w:rsidP="000F3E53">
      <w:pPr>
        <w:pStyle w:val="ListParagraph"/>
        <w:keepNext/>
        <w:keepLines/>
        <w:widowControl/>
        <w:numPr>
          <w:ilvl w:val="0"/>
          <w:numId w:val="1"/>
        </w:numPr>
        <w:outlineLvl w:val="0"/>
        <w:rPr>
          <w:rFonts w:eastAsiaTheme="minorHAnsi" w:cs="Arial"/>
          <w:b/>
          <w:snapToGrid/>
          <w:kern w:val="0"/>
          <w:sz w:val="24"/>
          <w:szCs w:val="22"/>
        </w:rPr>
      </w:pPr>
      <w:bookmarkStart w:id="3" w:name="_Toc10204861"/>
      <w:r w:rsidRPr="009649E5">
        <w:rPr>
          <w:rFonts w:eastAsiaTheme="minorHAnsi" w:cs="Arial"/>
          <w:b/>
          <w:snapToGrid/>
          <w:kern w:val="0"/>
          <w:sz w:val="24"/>
          <w:szCs w:val="22"/>
        </w:rPr>
        <w:t>Questions Posed by the NPRM</w:t>
      </w:r>
      <w:bookmarkEnd w:id="3"/>
    </w:p>
    <w:p w:rsidR="007242B4" w:rsidRDefault="007242B4" w:rsidP="009649E5">
      <w:pPr>
        <w:keepNext/>
        <w:keepLines/>
        <w:widowControl/>
        <w:rPr>
          <w:rFonts w:eastAsiaTheme="minorHAnsi" w:cs="Arial"/>
          <w:snapToGrid/>
          <w:kern w:val="0"/>
          <w:sz w:val="24"/>
          <w:szCs w:val="22"/>
        </w:rPr>
      </w:pPr>
    </w:p>
    <w:p w:rsidR="007242B4" w:rsidRPr="009649E5" w:rsidRDefault="007242B4" w:rsidP="000F3E53">
      <w:pPr>
        <w:pStyle w:val="ListParagraph"/>
        <w:keepNext/>
        <w:keepLines/>
        <w:widowControl/>
        <w:numPr>
          <w:ilvl w:val="0"/>
          <w:numId w:val="6"/>
        </w:numPr>
        <w:ind w:left="1080"/>
        <w:outlineLvl w:val="1"/>
        <w:rPr>
          <w:rFonts w:eastAsiaTheme="minorHAnsi" w:cs="Arial"/>
          <w:b/>
          <w:snapToGrid/>
          <w:kern w:val="0"/>
          <w:sz w:val="24"/>
          <w:szCs w:val="22"/>
        </w:rPr>
      </w:pPr>
      <w:bookmarkStart w:id="4" w:name="_Toc10204862"/>
      <w:r w:rsidRPr="009649E5">
        <w:rPr>
          <w:rFonts w:eastAsiaTheme="minorHAnsi" w:cs="Arial"/>
          <w:b/>
          <w:snapToGrid/>
          <w:kern w:val="0"/>
          <w:sz w:val="24"/>
          <w:szCs w:val="22"/>
          <w:u w:val="single"/>
        </w:rPr>
        <w:t xml:space="preserve">The Need for a Broadband </w:t>
      </w:r>
      <w:r w:rsidR="009C7763" w:rsidRPr="009649E5">
        <w:rPr>
          <w:rFonts w:eastAsiaTheme="minorHAnsi" w:cs="Arial"/>
          <w:b/>
          <w:snapToGrid/>
          <w:kern w:val="0"/>
          <w:sz w:val="24"/>
          <w:szCs w:val="22"/>
          <w:u w:val="single"/>
        </w:rPr>
        <w:t>Allocation</w:t>
      </w:r>
      <w:bookmarkEnd w:id="4"/>
      <w:r w:rsidRPr="009649E5">
        <w:rPr>
          <w:rFonts w:eastAsiaTheme="minorHAnsi" w:cs="Arial"/>
          <w:b/>
          <w:snapToGrid/>
          <w:kern w:val="0"/>
          <w:sz w:val="24"/>
          <w:szCs w:val="22"/>
        </w:rPr>
        <w:t xml:space="preserve">  </w:t>
      </w:r>
    </w:p>
    <w:p w:rsidR="007242B4" w:rsidRDefault="007242B4" w:rsidP="009649E5">
      <w:pPr>
        <w:keepNext/>
        <w:keepLines/>
        <w:widowControl/>
        <w:rPr>
          <w:rFonts w:eastAsiaTheme="minorHAnsi" w:cs="Arial"/>
          <w:snapToGrid/>
          <w:kern w:val="0"/>
          <w:sz w:val="24"/>
          <w:szCs w:val="22"/>
        </w:rPr>
      </w:pPr>
    </w:p>
    <w:p w:rsidR="007242B4" w:rsidRDefault="007242B4" w:rsidP="009649E5">
      <w:pPr>
        <w:keepNext/>
        <w:keepLines/>
        <w:widowControl/>
        <w:spacing w:line="480" w:lineRule="auto"/>
        <w:rPr>
          <w:rFonts w:eastAsiaTheme="minorHAnsi" w:cs="Arial"/>
          <w:snapToGrid/>
          <w:kern w:val="0"/>
          <w:sz w:val="24"/>
          <w:szCs w:val="22"/>
        </w:rPr>
      </w:pPr>
      <w:r>
        <w:rPr>
          <w:rFonts w:eastAsiaTheme="minorHAnsi" w:cs="Arial"/>
          <w:snapToGrid/>
          <w:kern w:val="0"/>
          <w:sz w:val="24"/>
          <w:szCs w:val="22"/>
        </w:rPr>
        <w:tab/>
        <w:t>The current 900 MHz channel plan consists of fragmented narrowband channels that are not adequate for the applications necessary for current and planned utility communications operations, including real-time video monitoring of electrical facilities and instantaneou</w:t>
      </w:r>
      <w:r w:rsidR="00994EB6">
        <w:rPr>
          <w:rFonts w:eastAsiaTheme="minorHAnsi" w:cs="Arial"/>
          <w:snapToGrid/>
          <w:kern w:val="0"/>
          <w:sz w:val="24"/>
          <w:szCs w:val="22"/>
        </w:rPr>
        <w:t xml:space="preserve">s shut down of current when faults occur. </w:t>
      </w:r>
      <w:r>
        <w:rPr>
          <w:rFonts w:eastAsiaTheme="minorHAnsi" w:cs="Arial"/>
          <w:snapToGrid/>
          <w:kern w:val="0"/>
          <w:sz w:val="24"/>
          <w:szCs w:val="22"/>
        </w:rPr>
        <w:t xml:space="preserve">  </w:t>
      </w:r>
      <w:r w:rsidR="007B78D6" w:rsidRPr="007B78D6">
        <w:rPr>
          <w:sz w:val="24"/>
          <w:szCs w:val="24"/>
        </w:rPr>
        <w:t>Grid modernization and resiliency requirements call for high capacity, low latency, and robust cybersecurity controls.</w:t>
      </w:r>
      <w:r w:rsidR="00994EB6">
        <w:rPr>
          <w:rFonts w:eastAsiaTheme="minorHAnsi" w:cs="Arial"/>
          <w:snapToGrid/>
          <w:kern w:val="0"/>
          <w:sz w:val="24"/>
          <w:szCs w:val="22"/>
        </w:rPr>
        <w:t xml:space="preserve"> None of these can be accomplished without the functionality available from a broadband spectrum configuration.</w:t>
      </w:r>
    </w:p>
    <w:p w:rsidR="00994EB6" w:rsidRDefault="00994EB6" w:rsidP="009649E5">
      <w:pPr>
        <w:spacing w:line="480" w:lineRule="auto"/>
        <w:rPr>
          <w:rFonts w:eastAsiaTheme="minorHAnsi" w:cs="Arial"/>
          <w:snapToGrid/>
          <w:kern w:val="0"/>
          <w:sz w:val="24"/>
          <w:szCs w:val="22"/>
        </w:rPr>
      </w:pPr>
      <w:r>
        <w:rPr>
          <w:rFonts w:eastAsiaTheme="minorHAnsi" w:cs="Arial"/>
          <w:snapToGrid/>
          <w:kern w:val="0"/>
          <w:sz w:val="24"/>
          <w:szCs w:val="22"/>
        </w:rPr>
        <w:tab/>
        <w:t xml:space="preserve">As one of the largest electrical utilities in the country, SCE is being confronted with the urgency of implementing these broadband-based measures more quickly than smaller </w:t>
      </w:r>
      <w:r w:rsidR="00D50C7B">
        <w:rPr>
          <w:rFonts w:eastAsiaTheme="minorHAnsi" w:cs="Arial"/>
          <w:snapToGrid/>
          <w:kern w:val="0"/>
          <w:sz w:val="24"/>
          <w:szCs w:val="22"/>
        </w:rPr>
        <w:t>utilities</w:t>
      </w:r>
      <w:r>
        <w:rPr>
          <w:rFonts w:eastAsiaTheme="minorHAnsi" w:cs="Arial"/>
          <w:snapToGrid/>
          <w:kern w:val="0"/>
          <w:sz w:val="24"/>
          <w:szCs w:val="22"/>
        </w:rPr>
        <w:t xml:space="preserve"> because the complexity and breadth of its infrastructure demands a capability for instantaneous response over a huge area with mill</w:t>
      </w:r>
      <w:r w:rsidR="00A91524">
        <w:rPr>
          <w:rFonts w:eastAsiaTheme="minorHAnsi" w:cs="Arial"/>
          <w:snapToGrid/>
          <w:kern w:val="0"/>
          <w:sz w:val="24"/>
          <w:szCs w:val="22"/>
        </w:rPr>
        <w:t>i</w:t>
      </w:r>
      <w:r>
        <w:rPr>
          <w:rFonts w:eastAsiaTheme="minorHAnsi" w:cs="Arial"/>
          <w:snapToGrid/>
          <w:kern w:val="0"/>
          <w:sz w:val="24"/>
          <w:szCs w:val="22"/>
        </w:rPr>
        <w:t xml:space="preserve">ons of customer locations and thousands of critical electrical junctures and installations.   Eventually, smaller utilities will also require at least some of the capabilities required by SCE.  The Commission has </w:t>
      </w:r>
      <w:r w:rsidR="00A91524">
        <w:rPr>
          <w:rFonts w:eastAsiaTheme="minorHAnsi" w:cs="Arial"/>
          <w:snapToGrid/>
          <w:kern w:val="0"/>
          <w:sz w:val="24"/>
          <w:szCs w:val="22"/>
        </w:rPr>
        <w:t xml:space="preserve">fully </w:t>
      </w:r>
      <w:r>
        <w:rPr>
          <w:rFonts w:eastAsiaTheme="minorHAnsi" w:cs="Arial"/>
          <w:snapToGrid/>
          <w:kern w:val="0"/>
          <w:sz w:val="24"/>
          <w:szCs w:val="22"/>
        </w:rPr>
        <w:t>recognized the absolute need for</w:t>
      </w:r>
      <w:r w:rsidR="00A91524">
        <w:rPr>
          <w:rFonts w:eastAsiaTheme="minorHAnsi" w:cs="Arial"/>
          <w:snapToGrid/>
          <w:kern w:val="0"/>
          <w:sz w:val="24"/>
          <w:szCs w:val="22"/>
        </w:rPr>
        <w:t xml:space="preserve"> ubiquitous</w:t>
      </w:r>
      <w:r>
        <w:rPr>
          <w:rFonts w:eastAsiaTheme="minorHAnsi" w:cs="Arial"/>
          <w:snapToGrid/>
          <w:kern w:val="0"/>
          <w:sz w:val="24"/>
          <w:szCs w:val="22"/>
        </w:rPr>
        <w:t xml:space="preserve"> broadband access for consumers and small businesses throughout the country. The need for broadband capacity is multiplied exponentially when </w:t>
      </w:r>
      <w:r w:rsidR="00A91524">
        <w:rPr>
          <w:rFonts w:eastAsiaTheme="minorHAnsi" w:cs="Arial"/>
          <w:snapToGrid/>
          <w:kern w:val="0"/>
          <w:sz w:val="24"/>
          <w:szCs w:val="22"/>
        </w:rPr>
        <w:t xml:space="preserve">satisfying </w:t>
      </w:r>
      <w:r w:rsidR="00A81028">
        <w:rPr>
          <w:rFonts w:eastAsiaTheme="minorHAnsi" w:cs="Arial"/>
          <w:snapToGrid/>
          <w:kern w:val="0"/>
          <w:sz w:val="24"/>
          <w:szCs w:val="22"/>
        </w:rPr>
        <w:t xml:space="preserve">both </w:t>
      </w:r>
      <w:r>
        <w:rPr>
          <w:rFonts w:eastAsiaTheme="minorHAnsi" w:cs="Arial"/>
          <w:snapToGrid/>
          <w:kern w:val="0"/>
          <w:sz w:val="24"/>
          <w:szCs w:val="22"/>
        </w:rPr>
        <w:t xml:space="preserve">the </w:t>
      </w:r>
      <w:r w:rsidR="00A91524">
        <w:rPr>
          <w:rFonts w:eastAsiaTheme="minorHAnsi" w:cs="Arial"/>
          <w:snapToGrid/>
          <w:kern w:val="0"/>
          <w:sz w:val="24"/>
          <w:szCs w:val="22"/>
        </w:rPr>
        <w:t>standard of</w:t>
      </w:r>
      <w:r>
        <w:rPr>
          <w:rFonts w:eastAsiaTheme="minorHAnsi" w:cs="Arial"/>
          <w:snapToGrid/>
          <w:kern w:val="0"/>
          <w:sz w:val="24"/>
          <w:szCs w:val="22"/>
        </w:rPr>
        <w:t xml:space="preserve"> near-perfect reliability in critical systems</w:t>
      </w:r>
      <w:r w:rsidR="00A91524">
        <w:rPr>
          <w:rFonts w:eastAsiaTheme="minorHAnsi" w:cs="Arial"/>
          <w:snapToGrid/>
          <w:kern w:val="0"/>
          <w:sz w:val="24"/>
          <w:szCs w:val="22"/>
        </w:rPr>
        <w:t xml:space="preserve"> and the nature and size of the various loads that the utility telecom network will be required to provision and sustain.  </w:t>
      </w:r>
      <w:r w:rsidR="00545AD9" w:rsidRPr="00545AD9">
        <w:rPr>
          <w:rFonts w:ascii="Times" w:hAnsi="Times" w:cs="Times"/>
          <w:sz w:val="24"/>
          <w:szCs w:val="24"/>
        </w:rPr>
        <w:t xml:space="preserve">The 900 MHz </w:t>
      </w:r>
      <w:r w:rsidR="00A527F1">
        <w:rPr>
          <w:rFonts w:ascii="Times" w:hAnsi="Times" w:cs="Times"/>
          <w:sz w:val="24"/>
          <w:szCs w:val="24"/>
        </w:rPr>
        <w:t>B</w:t>
      </w:r>
      <w:r w:rsidR="00545AD9">
        <w:rPr>
          <w:rFonts w:ascii="Times" w:hAnsi="Times" w:cs="Times"/>
          <w:sz w:val="24"/>
          <w:szCs w:val="24"/>
        </w:rPr>
        <w:t xml:space="preserve">and </w:t>
      </w:r>
      <w:r w:rsidR="00545AD9" w:rsidRPr="00545AD9">
        <w:rPr>
          <w:rFonts w:ascii="Times" w:hAnsi="Times" w:cs="Times"/>
          <w:sz w:val="24"/>
          <w:szCs w:val="24"/>
        </w:rPr>
        <w:t xml:space="preserve">is the most </w:t>
      </w:r>
      <w:r w:rsidR="00545AD9" w:rsidRPr="00545AD9">
        <w:rPr>
          <w:rFonts w:ascii="Times" w:hAnsi="Times" w:cs="Times"/>
          <w:sz w:val="24"/>
          <w:szCs w:val="24"/>
        </w:rPr>
        <w:lastRenderedPageBreak/>
        <w:t xml:space="preserve">cost-effective solution for a critical infrastructure communications network </w:t>
      </w:r>
      <w:r w:rsidR="00A81028">
        <w:rPr>
          <w:rFonts w:ascii="Times" w:hAnsi="Times" w:cs="Times"/>
          <w:sz w:val="24"/>
          <w:szCs w:val="24"/>
        </w:rPr>
        <w:t>and will incur the least cost</w:t>
      </w:r>
      <w:r w:rsidR="00545AD9" w:rsidRPr="00545AD9">
        <w:rPr>
          <w:rFonts w:ascii="Times" w:hAnsi="Times" w:cs="Times"/>
          <w:sz w:val="24"/>
          <w:szCs w:val="24"/>
        </w:rPr>
        <w:t xml:space="preserve"> for rate-payers.</w:t>
      </w:r>
      <w:r w:rsidR="00545AD9" w:rsidRPr="00545AD9">
        <w:rPr>
          <w:rFonts w:ascii="Times" w:hAnsi="Times" w:cs="Times"/>
        </w:rPr>
        <w:t xml:space="preserve">  </w:t>
      </w:r>
      <w:r w:rsidR="00A91524">
        <w:rPr>
          <w:rFonts w:eastAsiaTheme="minorHAnsi" w:cs="Arial"/>
          <w:snapToGrid/>
          <w:kern w:val="0"/>
          <w:sz w:val="24"/>
          <w:szCs w:val="22"/>
        </w:rPr>
        <w:t>SCE therefor</w:t>
      </w:r>
      <w:r w:rsidR="00055478">
        <w:rPr>
          <w:rFonts w:eastAsiaTheme="minorHAnsi" w:cs="Arial"/>
          <w:snapToGrid/>
          <w:kern w:val="0"/>
          <w:sz w:val="24"/>
          <w:szCs w:val="22"/>
        </w:rPr>
        <w:t>e</w:t>
      </w:r>
      <w:r w:rsidR="00A91524">
        <w:rPr>
          <w:rFonts w:eastAsiaTheme="minorHAnsi" w:cs="Arial"/>
          <w:snapToGrid/>
          <w:kern w:val="0"/>
          <w:sz w:val="24"/>
          <w:szCs w:val="22"/>
        </w:rPr>
        <w:t xml:space="preserve"> applauds the </w:t>
      </w:r>
      <w:r w:rsidR="00D50C7B">
        <w:rPr>
          <w:rFonts w:eastAsiaTheme="minorHAnsi" w:cs="Arial"/>
          <w:snapToGrid/>
          <w:kern w:val="0"/>
          <w:sz w:val="24"/>
          <w:szCs w:val="22"/>
        </w:rPr>
        <w:t>Commission</w:t>
      </w:r>
      <w:r w:rsidR="00A91524">
        <w:rPr>
          <w:rFonts w:eastAsiaTheme="minorHAnsi" w:cs="Arial"/>
          <w:snapToGrid/>
          <w:kern w:val="0"/>
          <w:sz w:val="24"/>
          <w:szCs w:val="22"/>
        </w:rPr>
        <w:t xml:space="preserve"> for recognizing the need for broadband in this particular industry segment and its willingness to rearrange the 900 MHz band to accommodate it.</w:t>
      </w:r>
    </w:p>
    <w:p w:rsidR="00A91524" w:rsidRDefault="00A91524" w:rsidP="007242B4">
      <w:pPr>
        <w:widowControl/>
        <w:rPr>
          <w:rFonts w:eastAsiaTheme="minorHAnsi" w:cs="Arial"/>
          <w:snapToGrid/>
          <w:kern w:val="0"/>
          <w:sz w:val="24"/>
          <w:szCs w:val="22"/>
        </w:rPr>
      </w:pPr>
    </w:p>
    <w:p w:rsidR="00A91524" w:rsidRPr="009649E5" w:rsidRDefault="00A91524" w:rsidP="000F3E53">
      <w:pPr>
        <w:pStyle w:val="ListParagraph"/>
        <w:numPr>
          <w:ilvl w:val="0"/>
          <w:numId w:val="6"/>
        </w:numPr>
        <w:autoSpaceDE w:val="0"/>
        <w:autoSpaceDN w:val="0"/>
        <w:adjustRightInd w:val="0"/>
        <w:spacing w:before="240" w:after="240"/>
        <w:ind w:left="1080"/>
        <w:outlineLvl w:val="1"/>
        <w:rPr>
          <w:rFonts w:ascii="Times" w:hAnsi="Times" w:cs="Times"/>
          <w:b/>
          <w:sz w:val="24"/>
          <w:szCs w:val="24"/>
        </w:rPr>
      </w:pPr>
      <w:bookmarkStart w:id="5" w:name="_Toc10204863"/>
      <w:r w:rsidRPr="009649E5">
        <w:rPr>
          <w:rFonts w:ascii="Times" w:hAnsi="Times" w:cs="Times"/>
          <w:b/>
          <w:sz w:val="24"/>
          <w:szCs w:val="24"/>
          <w:u w:val="single"/>
        </w:rPr>
        <w:t>Size of the Broadband Channel</w:t>
      </w:r>
      <w:bookmarkEnd w:id="5"/>
      <w:r w:rsidRPr="009649E5">
        <w:rPr>
          <w:rFonts w:ascii="Times" w:hAnsi="Times" w:cs="Times"/>
          <w:b/>
          <w:sz w:val="24"/>
          <w:szCs w:val="24"/>
        </w:rPr>
        <w:t xml:space="preserve">  </w:t>
      </w:r>
    </w:p>
    <w:p w:rsidR="00085A98" w:rsidRDefault="00A91524" w:rsidP="009649E5">
      <w:pPr>
        <w:autoSpaceDE w:val="0"/>
        <w:autoSpaceDN w:val="0"/>
        <w:adjustRightInd w:val="0"/>
        <w:spacing w:before="240" w:after="240" w:line="480" w:lineRule="auto"/>
        <w:rPr>
          <w:rFonts w:ascii="Times" w:hAnsi="Times" w:cs="Times"/>
          <w:sz w:val="24"/>
          <w:szCs w:val="24"/>
        </w:rPr>
      </w:pPr>
      <w:r>
        <w:rPr>
          <w:rFonts w:ascii="Times" w:hAnsi="Times" w:cs="Times"/>
          <w:sz w:val="24"/>
          <w:szCs w:val="24"/>
        </w:rPr>
        <w:tab/>
      </w:r>
      <w:r w:rsidR="001E12DC">
        <w:rPr>
          <w:rFonts w:ascii="Times" w:hAnsi="Times" w:cs="Times"/>
          <w:sz w:val="24"/>
          <w:szCs w:val="24"/>
        </w:rPr>
        <w:t xml:space="preserve">The Commission requested comment on the appropriate size of the proposed broadband channel.  </w:t>
      </w:r>
      <w:r w:rsidRPr="007242B4">
        <w:rPr>
          <w:rFonts w:ascii="Times" w:hAnsi="Times" w:cs="Times"/>
          <w:sz w:val="24"/>
          <w:szCs w:val="24"/>
        </w:rPr>
        <w:t>A b</w:t>
      </w:r>
      <w:r>
        <w:rPr>
          <w:rFonts w:ascii="Times" w:hAnsi="Times" w:cs="Times"/>
          <w:sz w:val="24"/>
          <w:szCs w:val="24"/>
        </w:rPr>
        <w:t>roadband licensee requires a 3 x</w:t>
      </w:r>
      <w:r w:rsidRPr="007242B4">
        <w:rPr>
          <w:rFonts w:ascii="Times" w:hAnsi="Times" w:cs="Times"/>
          <w:sz w:val="24"/>
          <w:szCs w:val="24"/>
        </w:rPr>
        <w:t xml:space="preserve"> 3 MHz channel </w:t>
      </w:r>
      <w:r>
        <w:rPr>
          <w:rFonts w:ascii="Times" w:hAnsi="Times" w:cs="Times"/>
          <w:sz w:val="24"/>
          <w:szCs w:val="24"/>
        </w:rPr>
        <w:t xml:space="preserve">allocation </w:t>
      </w:r>
      <w:r w:rsidRPr="007242B4">
        <w:rPr>
          <w:rFonts w:ascii="Times" w:hAnsi="Times" w:cs="Times"/>
          <w:sz w:val="24"/>
          <w:szCs w:val="24"/>
        </w:rPr>
        <w:t xml:space="preserve">to take </w:t>
      </w:r>
      <w:r>
        <w:rPr>
          <w:rFonts w:ascii="Times" w:hAnsi="Times" w:cs="Times"/>
          <w:sz w:val="24"/>
          <w:szCs w:val="24"/>
        </w:rPr>
        <w:t xml:space="preserve">full </w:t>
      </w:r>
      <w:r w:rsidRPr="007242B4">
        <w:rPr>
          <w:rFonts w:ascii="Times" w:hAnsi="Times" w:cs="Times"/>
          <w:sz w:val="24"/>
          <w:szCs w:val="24"/>
        </w:rPr>
        <w:t>advantage of 5G innovations</w:t>
      </w:r>
      <w:r w:rsidR="001E12DC">
        <w:rPr>
          <w:rFonts w:ascii="Times" w:hAnsi="Times" w:cs="Times"/>
          <w:sz w:val="24"/>
          <w:szCs w:val="24"/>
        </w:rPr>
        <w:t xml:space="preserve"> under</w:t>
      </w:r>
      <w:r>
        <w:rPr>
          <w:rFonts w:ascii="Times" w:hAnsi="Times" w:cs="Times"/>
          <w:sz w:val="24"/>
          <w:szCs w:val="24"/>
        </w:rPr>
        <w:t xml:space="preserve"> prevailing LTE protocols.  </w:t>
      </w:r>
      <w:r w:rsidRPr="007242B4">
        <w:rPr>
          <w:rFonts w:ascii="Times" w:hAnsi="Times" w:cs="Times"/>
          <w:sz w:val="24"/>
          <w:szCs w:val="24"/>
        </w:rPr>
        <w:t xml:space="preserve">However, in congested regions with considerable narrowband usage, broadband licensees </w:t>
      </w:r>
      <w:r>
        <w:rPr>
          <w:rFonts w:ascii="Times" w:hAnsi="Times" w:cs="Times"/>
          <w:sz w:val="24"/>
          <w:szCs w:val="24"/>
        </w:rPr>
        <w:t>may</w:t>
      </w:r>
      <w:r w:rsidRPr="007242B4">
        <w:rPr>
          <w:rFonts w:ascii="Times" w:hAnsi="Times" w:cs="Times"/>
          <w:sz w:val="24"/>
          <w:szCs w:val="24"/>
        </w:rPr>
        <w:t xml:space="preserve"> sp</w:t>
      </w:r>
      <w:r>
        <w:rPr>
          <w:rFonts w:ascii="Times" w:hAnsi="Times" w:cs="Times"/>
          <w:sz w:val="24"/>
          <w:szCs w:val="24"/>
        </w:rPr>
        <w:t xml:space="preserve">end years clearing the entire 3 x </w:t>
      </w:r>
      <w:r w:rsidRPr="007242B4">
        <w:rPr>
          <w:rFonts w:ascii="Times" w:hAnsi="Times" w:cs="Times"/>
          <w:sz w:val="24"/>
          <w:szCs w:val="24"/>
        </w:rPr>
        <w:t xml:space="preserve">3 MHz broadband channel. </w:t>
      </w:r>
      <w:r w:rsidR="00DD2712" w:rsidRPr="00DD2712">
        <w:rPr>
          <w:rFonts w:ascii="Times" w:hAnsi="Times" w:cs="Times"/>
          <w:sz w:val="24"/>
          <w:szCs w:val="24"/>
        </w:rPr>
        <w:t xml:space="preserve">In some cases, </w:t>
      </w:r>
      <w:r w:rsidR="00DD2712">
        <w:rPr>
          <w:rFonts w:ascii="Times" w:hAnsi="Times" w:cs="Times"/>
          <w:sz w:val="24"/>
          <w:szCs w:val="24"/>
        </w:rPr>
        <w:t xml:space="preserve">incumbent utilities have recently installed </w:t>
      </w:r>
      <w:r w:rsidR="00DD2712" w:rsidRPr="00DD2712">
        <w:rPr>
          <w:rFonts w:ascii="Times" w:hAnsi="Times" w:cs="Times"/>
          <w:sz w:val="24"/>
          <w:szCs w:val="24"/>
        </w:rPr>
        <w:t>updates to Phase 2 digital narrowband systems</w:t>
      </w:r>
      <w:r w:rsidR="00DD2712">
        <w:rPr>
          <w:rFonts w:ascii="Times" w:hAnsi="Times" w:cs="Times"/>
          <w:sz w:val="24"/>
          <w:szCs w:val="24"/>
        </w:rPr>
        <w:t>.  Under utility regulation accounting requirements</w:t>
      </w:r>
      <w:r w:rsidR="00DD2712" w:rsidRPr="00DD2712">
        <w:rPr>
          <w:rFonts w:ascii="Times" w:hAnsi="Times" w:cs="Times"/>
          <w:sz w:val="24"/>
          <w:szCs w:val="24"/>
        </w:rPr>
        <w:t>,</w:t>
      </w:r>
      <w:r w:rsidR="00DD2712">
        <w:rPr>
          <w:rFonts w:ascii="Times" w:hAnsi="Times" w:cs="Times"/>
          <w:sz w:val="24"/>
          <w:szCs w:val="24"/>
        </w:rPr>
        <w:t xml:space="preserve"> these facilities must be</w:t>
      </w:r>
      <w:r w:rsidR="00DD2712" w:rsidRPr="00DD2712">
        <w:rPr>
          <w:rFonts w:ascii="Times" w:hAnsi="Times" w:cs="Times"/>
          <w:sz w:val="24"/>
          <w:szCs w:val="24"/>
        </w:rPr>
        <w:t xml:space="preserve"> amortized over a period of </w:t>
      </w:r>
      <w:r w:rsidR="00DD2712">
        <w:rPr>
          <w:rFonts w:ascii="Times" w:hAnsi="Times" w:cs="Times"/>
          <w:sz w:val="24"/>
          <w:szCs w:val="24"/>
        </w:rPr>
        <w:t>several years before th</w:t>
      </w:r>
      <w:r w:rsidR="00DD2712" w:rsidRPr="00DD2712">
        <w:rPr>
          <w:rFonts w:ascii="Times" w:hAnsi="Times" w:cs="Times"/>
          <w:sz w:val="24"/>
          <w:szCs w:val="24"/>
        </w:rPr>
        <w:t>e systems can be transitioned to broadband.</w:t>
      </w:r>
      <w:r w:rsidR="00DD2712">
        <w:rPr>
          <w:rFonts w:ascii="Times" w:hAnsi="Times" w:cs="Times"/>
          <w:sz w:val="24"/>
          <w:szCs w:val="24"/>
        </w:rPr>
        <w:t xml:space="preserve">   This important fact of regulatory life must be recognized in estimating the speed with which incumbent narrowband systems can be retired and converted to broadband.  </w:t>
      </w:r>
      <w:r w:rsidRPr="007242B4">
        <w:rPr>
          <w:rFonts w:ascii="Times" w:hAnsi="Times" w:cs="Times"/>
          <w:sz w:val="24"/>
          <w:szCs w:val="24"/>
        </w:rPr>
        <w:t xml:space="preserve">In order to expedite the rollout of broadband in these situations, </w:t>
      </w:r>
      <w:r w:rsidR="00DD2712">
        <w:rPr>
          <w:rFonts w:ascii="Times" w:hAnsi="Times" w:cs="Times"/>
          <w:sz w:val="24"/>
          <w:szCs w:val="24"/>
        </w:rPr>
        <w:t>therefor</w:t>
      </w:r>
      <w:r w:rsidR="00A81028">
        <w:rPr>
          <w:rFonts w:ascii="Times" w:hAnsi="Times" w:cs="Times"/>
          <w:sz w:val="24"/>
          <w:szCs w:val="24"/>
        </w:rPr>
        <w:t>e</w:t>
      </w:r>
      <w:r w:rsidR="00DD2712">
        <w:rPr>
          <w:rFonts w:ascii="Times" w:hAnsi="Times" w:cs="Times"/>
          <w:sz w:val="24"/>
          <w:szCs w:val="24"/>
        </w:rPr>
        <w:t xml:space="preserve">, </w:t>
      </w:r>
      <w:r w:rsidRPr="007242B4">
        <w:rPr>
          <w:rFonts w:ascii="Times" w:hAnsi="Times" w:cs="Times"/>
          <w:sz w:val="24"/>
          <w:szCs w:val="24"/>
        </w:rPr>
        <w:t>the FCC should allow an interim</w:t>
      </w:r>
      <w:r>
        <w:rPr>
          <w:rFonts w:ascii="Times" w:hAnsi="Times" w:cs="Times"/>
          <w:sz w:val="24"/>
          <w:szCs w:val="24"/>
        </w:rPr>
        <w:t xml:space="preserve"> 1.4 x</w:t>
      </w:r>
      <w:r w:rsidRPr="007242B4">
        <w:rPr>
          <w:rFonts w:ascii="Times" w:hAnsi="Times" w:cs="Times"/>
          <w:sz w:val="24"/>
          <w:szCs w:val="24"/>
        </w:rPr>
        <w:t xml:space="preserve"> 1.4 MHz channel deployment within the proposed </w:t>
      </w:r>
      <w:r w:rsidR="00DD2712">
        <w:rPr>
          <w:rFonts w:ascii="Times" w:hAnsi="Times" w:cs="Times"/>
          <w:sz w:val="24"/>
          <w:szCs w:val="24"/>
        </w:rPr>
        <w:t xml:space="preserve">3 x 3 MHz </w:t>
      </w:r>
      <w:r w:rsidRPr="007242B4">
        <w:rPr>
          <w:rFonts w:ascii="Times" w:hAnsi="Times" w:cs="Times"/>
          <w:sz w:val="24"/>
          <w:szCs w:val="24"/>
        </w:rPr>
        <w:t xml:space="preserve">broadband segment which the licensee could clear earlier to start operations. </w:t>
      </w:r>
      <w:r w:rsidR="001E12DC">
        <w:rPr>
          <w:rFonts w:ascii="Times" w:hAnsi="Times" w:cs="Times"/>
          <w:sz w:val="24"/>
          <w:szCs w:val="24"/>
        </w:rPr>
        <w:t>1.4 x 1.4 channel widths are consistent with LTE protocols, though they permit more limited applications. By permitting such a configuration under the umbrella of the standard 3 x 3 MHz channel</w:t>
      </w:r>
      <w:r w:rsidR="00DD2712">
        <w:rPr>
          <w:rFonts w:ascii="Times" w:hAnsi="Times" w:cs="Times"/>
          <w:sz w:val="24"/>
          <w:szCs w:val="24"/>
        </w:rPr>
        <w:t>s</w:t>
      </w:r>
      <w:r w:rsidR="001E12DC">
        <w:rPr>
          <w:rFonts w:ascii="Times" w:hAnsi="Times" w:cs="Times"/>
          <w:sz w:val="24"/>
          <w:szCs w:val="24"/>
        </w:rPr>
        <w:t xml:space="preserve">, the Commission would permit a graduated and less disruptive path to clearing incumbents from the band over a period of several years.  At the same time, it would permit the goal of broadband capability to be achieved considerably earlier </w:t>
      </w:r>
      <w:r w:rsidR="00085A98">
        <w:rPr>
          <w:rFonts w:ascii="Times" w:hAnsi="Times" w:cs="Times"/>
          <w:sz w:val="24"/>
          <w:szCs w:val="24"/>
        </w:rPr>
        <w:t xml:space="preserve">than would otherwise be possible, </w:t>
      </w:r>
      <w:r w:rsidR="001E12DC">
        <w:rPr>
          <w:rFonts w:ascii="Times" w:hAnsi="Times" w:cs="Times"/>
          <w:sz w:val="24"/>
          <w:szCs w:val="24"/>
        </w:rPr>
        <w:t xml:space="preserve">with </w:t>
      </w:r>
      <w:r w:rsidR="00DD2712">
        <w:rPr>
          <w:rFonts w:ascii="Times" w:hAnsi="Times" w:cs="Times"/>
          <w:sz w:val="24"/>
          <w:szCs w:val="24"/>
        </w:rPr>
        <w:t>some</w:t>
      </w:r>
      <w:r w:rsidR="001E12DC">
        <w:rPr>
          <w:rFonts w:ascii="Times" w:hAnsi="Times" w:cs="Times"/>
          <w:sz w:val="24"/>
          <w:szCs w:val="24"/>
        </w:rPr>
        <w:t xml:space="preserve"> of the benefits of broadband </w:t>
      </w:r>
      <w:r w:rsidR="00DD2712">
        <w:rPr>
          <w:rFonts w:ascii="Times" w:hAnsi="Times" w:cs="Times"/>
          <w:sz w:val="24"/>
          <w:szCs w:val="24"/>
        </w:rPr>
        <w:t>being</w:t>
      </w:r>
      <w:r w:rsidR="001E12DC">
        <w:rPr>
          <w:rFonts w:ascii="Times" w:hAnsi="Times" w:cs="Times"/>
          <w:sz w:val="24"/>
          <w:szCs w:val="24"/>
        </w:rPr>
        <w:t xml:space="preserve"> available almost immediately.  </w:t>
      </w:r>
      <w:r w:rsidR="00DD2712">
        <w:rPr>
          <w:rFonts w:ascii="Times" w:hAnsi="Times" w:cs="Times"/>
          <w:sz w:val="24"/>
          <w:szCs w:val="24"/>
        </w:rPr>
        <w:tab/>
      </w:r>
    </w:p>
    <w:p w:rsidR="00A91524" w:rsidRDefault="00085A98" w:rsidP="009649E5">
      <w:pPr>
        <w:autoSpaceDE w:val="0"/>
        <w:autoSpaceDN w:val="0"/>
        <w:adjustRightInd w:val="0"/>
        <w:spacing w:before="240" w:after="240" w:line="480" w:lineRule="auto"/>
        <w:rPr>
          <w:rFonts w:ascii="Times" w:hAnsi="Times" w:cs="Times"/>
          <w:sz w:val="24"/>
          <w:szCs w:val="24"/>
        </w:rPr>
      </w:pPr>
      <w:r>
        <w:rPr>
          <w:rFonts w:ascii="Times" w:hAnsi="Times" w:cs="Times"/>
          <w:sz w:val="24"/>
          <w:szCs w:val="24"/>
        </w:rPr>
        <w:lastRenderedPageBreak/>
        <w:tab/>
      </w:r>
      <w:r w:rsidR="00DD2712">
        <w:rPr>
          <w:rFonts w:ascii="Times" w:hAnsi="Times" w:cs="Times"/>
          <w:sz w:val="24"/>
          <w:szCs w:val="24"/>
        </w:rPr>
        <w:t>Over a period of 15 years, SCE</w:t>
      </w:r>
      <w:r w:rsidR="00A91524" w:rsidRPr="007242B4">
        <w:rPr>
          <w:rFonts w:ascii="Times" w:hAnsi="Times" w:cs="Times"/>
          <w:sz w:val="24"/>
          <w:szCs w:val="24"/>
        </w:rPr>
        <w:t xml:space="preserve"> expect</w:t>
      </w:r>
      <w:r w:rsidR="00DD2712">
        <w:rPr>
          <w:rFonts w:ascii="Times" w:hAnsi="Times" w:cs="Times"/>
          <w:sz w:val="24"/>
          <w:szCs w:val="24"/>
        </w:rPr>
        <w:t>s</w:t>
      </w:r>
      <w:r w:rsidR="00A91524" w:rsidRPr="007242B4">
        <w:rPr>
          <w:rFonts w:ascii="Times" w:hAnsi="Times" w:cs="Times"/>
          <w:sz w:val="24"/>
          <w:szCs w:val="24"/>
        </w:rPr>
        <w:t xml:space="preserve"> m</w:t>
      </w:r>
      <w:r w:rsidR="00DD2712">
        <w:rPr>
          <w:rFonts w:ascii="Times" w:hAnsi="Times" w:cs="Times"/>
          <w:sz w:val="24"/>
          <w:szCs w:val="24"/>
        </w:rPr>
        <w:t xml:space="preserve">ost </w:t>
      </w:r>
      <w:r w:rsidR="00A91524" w:rsidRPr="007242B4">
        <w:rPr>
          <w:rFonts w:ascii="Times" w:hAnsi="Times" w:cs="Times"/>
          <w:sz w:val="24"/>
          <w:szCs w:val="24"/>
        </w:rPr>
        <w:t xml:space="preserve">of the </w:t>
      </w:r>
      <w:r w:rsidR="00DD2712">
        <w:rPr>
          <w:rFonts w:ascii="Times" w:hAnsi="Times" w:cs="Times"/>
          <w:sz w:val="24"/>
          <w:szCs w:val="24"/>
        </w:rPr>
        <w:t xml:space="preserve">current </w:t>
      </w:r>
      <w:r w:rsidR="00A91524" w:rsidRPr="007242B4">
        <w:rPr>
          <w:rFonts w:ascii="Times" w:hAnsi="Times" w:cs="Times"/>
          <w:sz w:val="24"/>
          <w:szCs w:val="24"/>
        </w:rPr>
        <w:t xml:space="preserve">narrowband systems to become obsolete </w:t>
      </w:r>
      <w:r w:rsidR="00DD2712">
        <w:rPr>
          <w:rFonts w:ascii="Times" w:hAnsi="Times" w:cs="Times"/>
          <w:sz w:val="24"/>
          <w:szCs w:val="24"/>
        </w:rPr>
        <w:t xml:space="preserve">or otherwise go out of service.  </w:t>
      </w:r>
      <w:r w:rsidR="00A91524" w:rsidRPr="007242B4">
        <w:rPr>
          <w:rFonts w:ascii="Times" w:hAnsi="Times" w:cs="Times"/>
          <w:sz w:val="24"/>
          <w:szCs w:val="24"/>
        </w:rPr>
        <w:t xml:space="preserve"> </w:t>
      </w:r>
      <w:r w:rsidR="00DD2712">
        <w:rPr>
          <w:rFonts w:ascii="Times" w:hAnsi="Times" w:cs="Times"/>
          <w:sz w:val="24"/>
          <w:szCs w:val="24"/>
        </w:rPr>
        <w:t xml:space="preserve">Prudent regulatory foresight suggests that the Commission should anticipate this development now by granting the broadband licensee the right to </w:t>
      </w:r>
      <w:r w:rsidR="00A91524" w:rsidRPr="007242B4">
        <w:rPr>
          <w:rFonts w:ascii="Times" w:hAnsi="Times" w:cs="Times"/>
          <w:sz w:val="24"/>
          <w:szCs w:val="24"/>
        </w:rPr>
        <w:t xml:space="preserve">expand </w:t>
      </w:r>
      <w:r>
        <w:rPr>
          <w:rFonts w:ascii="Times" w:hAnsi="Times" w:cs="Times"/>
          <w:sz w:val="24"/>
          <w:szCs w:val="24"/>
        </w:rPr>
        <w:t xml:space="preserve">their </w:t>
      </w:r>
      <w:r w:rsidR="00A91524" w:rsidRPr="007242B4">
        <w:rPr>
          <w:rFonts w:ascii="Times" w:hAnsi="Times" w:cs="Times"/>
          <w:sz w:val="24"/>
          <w:szCs w:val="24"/>
        </w:rPr>
        <w:t xml:space="preserve">broadband deployments to </w:t>
      </w:r>
      <w:r>
        <w:rPr>
          <w:rFonts w:ascii="Times" w:hAnsi="Times" w:cs="Times"/>
          <w:sz w:val="24"/>
          <w:szCs w:val="24"/>
        </w:rPr>
        <w:t xml:space="preserve">a full </w:t>
      </w:r>
      <w:r w:rsidR="00A81028">
        <w:rPr>
          <w:rFonts w:ascii="Times" w:hAnsi="Times" w:cs="Times"/>
          <w:sz w:val="24"/>
          <w:szCs w:val="24"/>
        </w:rPr>
        <w:t>5 x</w:t>
      </w:r>
      <w:r w:rsidR="00A91524" w:rsidRPr="007242B4">
        <w:rPr>
          <w:rFonts w:ascii="Times" w:hAnsi="Times" w:cs="Times"/>
          <w:sz w:val="24"/>
          <w:szCs w:val="24"/>
        </w:rPr>
        <w:t xml:space="preserve"> 5 MHz </w:t>
      </w:r>
      <w:r>
        <w:rPr>
          <w:rFonts w:ascii="Times" w:hAnsi="Times" w:cs="Times"/>
          <w:sz w:val="24"/>
          <w:szCs w:val="24"/>
        </w:rPr>
        <w:t xml:space="preserve">at such time in the future </w:t>
      </w:r>
      <w:r w:rsidR="00A81028">
        <w:rPr>
          <w:rFonts w:ascii="Times" w:hAnsi="Times" w:cs="Times"/>
          <w:sz w:val="24"/>
          <w:szCs w:val="24"/>
        </w:rPr>
        <w:t>as</w:t>
      </w:r>
      <w:r w:rsidR="00A91524" w:rsidRPr="007242B4">
        <w:rPr>
          <w:rFonts w:ascii="Times" w:hAnsi="Times" w:cs="Times"/>
          <w:sz w:val="24"/>
          <w:szCs w:val="24"/>
        </w:rPr>
        <w:t xml:space="preserve"> all </w:t>
      </w:r>
      <w:r>
        <w:rPr>
          <w:rFonts w:ascii="Times" w:hAnsi="Times" w:cs="Times"/>
          <w:sz w:val="24"/>
          <w:szCs w:val="24"/>
        </w:rPr>
        <w:t xml:space="preserve">inband </w:t>
      </w:r>
      <w:r w:rsidR="00A91524" w:rsidRPr="007242B4">
        <w:rPr>
          <w:rFonts w:ascii="Times" w:hAnsi="Times" w:cs="Times"/>
          <w:sz w:val="24"/>
          <w:szCs w:val="24"/>
        </w:rPr>
        <w:t xml:space="preserve">incumbents have been satisfactorily cleared or </w:t>
      </w:r>
      <w:r>
        <w:rPr>
          <w:rFonts w:ascii="Times" w:hAnsi="Times" w:cs="Times"/>
          <w:sz w:val="24"/>
          <w:szCs w:val="24"/>
        </w:rPr>
        <w:t>accommodat</w:t>
      </w:r>
      <w:r w:rsidR="00A91524" w:rsidRPr="007242B4">
        <w:rPr>
          <w:rFonts w:ascii="Times" w:hAnsi="Times" w:cs="Times"/>
          <w:sz w:val="24"/>
          <w:szCs w:val="24"/>
        </w:rPr>
        <w:t>ed</w:t>
      </w:r>
      <w:r>
        <w:rPr>
          <w:rFonts w:ascii="Times" w:hAnsi="Times" w:cs="Times"/>
          <w:sz w:val="24"/>
          <w:szCs w:val="24"/>
        </w:rPr>
        <w:t xml:space="preserve">, and interference to </w:t>
      </w:r>
      <w:r w:rsidR="00D50C7B">
        <w:rPr>
          <w:rFonts w:ascii="Times" w:hAnsi="Times" w:cs="Times"/>
          <w:sz w:val="24"/>
          <w:szCs w:val="24"/>
        </w:rPr>
        <w:t>adjacent band</w:t>
      </w:r>
      <w:r>
        <w:rPr>
          <w:rFonts w:ascii="Times" w:hAnsi="Times" w:cs="Times"/>
          <w:sz w:val="24"/>
          <w:szCs w:val="24"/>
        </w:rPr>
        <w:t xml:space="preserve"> operators has been eliminated or resolved by agreement.  If the band does not clear as SCE projects, the Commission will have lost nothing, but if the </w:t>
      </w:r>
      <w:r w:rsidR="00B50F0F">
        <w:rPr>
          <w:rFonts w:ascii="Times" w:hAnsi="Times" w:cs="Times"/>
          <w:sz w:val="24"/>
          <w:szCs w:val="24"/>
        </w:rPr>
        <w:t>band does clear, the remaining 4</w:t>
      </w:r>
      <w:r>
        <w:rPr>
          <w:rFonts w:ascii="Times" w:hAnsi="Times" w:cs="Times"/>
          <w:sz w:val="24"/>
          <w:szCs w:val="24"/>
        </w:rPr>
        <w:t xml:space="preserve"> MHz of the 900 MHz band can be put to immediate use without the need for a further rulemaking process.</w:t>
      </w:r>
    </w:p>
    <w:p w:rsidR="00085A98" w:rsidRPr="009649E5" w:rsidRDefault="00085A98" w:rsidP="000F3E53">
      <w:pPr>
        <w:pStyle w:val="ListParagraph"/>
        <w:numPr>
          <w:ilvl w:val="0"/>
          <w:numId w:val="6"/>
        </w:numPr>
        <w:autoSpaceDE w:val="0"/>
        <w:autoSpaceDN w:val="0"/>
        <w:adjustRightInd w:val="0"/>
        <w:spacing w:before="240" w:after="240"/>
        <w:outlineLvl w:val="1"/>
        <w:rPr>
          <w:rFonts w:ascii="Times" w:hAnsi="Times" w:cs="Times"/>
          <w:b/>
          <w:sz w:val="24"/>
          <w:szCs w:val="24"/>
        </w:rPr>
      </w:pPr>
      <w:bookmarkStart w:id="6" w:name="_Toc10204864"/>
      <w:r w:rsidRPr="009649E5">
        <w:rPr>
          <w:rFonts w:ascii="Times" w:hAnsi="Times" w:cs="Times"/>
          <w:b/>
          <w:sz w:val="24"/>
          <w:szCs w:val="24"/>
          <w:u w:val="single"/>
        </w:rPr>
        <w:t>Eligibility for the Broadband License</w:t>
      </w:r>
      <w:bookmarkEnd w:id="6"/>
      <w:r w:rsidRPr="009649E5">
        <w:rPr>
          <w:rFonts w:ascii="Times" w:hAnsi="Times" w:cs="Times"/>
          <w:b/>
          <w:sz w:val="24"/>
          <w:szCs w:val="24"/>
        </w:rPr>
        <w:t xml:space="preserve">  </w:t>
      </w:r>
    </w:p>
    <w:p w:rsidR="00A91524" w:rsidRDefault="00A91524" w:rsidP="009649E5">
      <w:pPr>
        <w:autoSpaceDE w:val="0"/>
        <w:autoSpaceDN w:val="0"/>
        <w:adjustRightInd w:val="0"/>
        <w:spacing w:before="240" w:after="240" w:line="480" w:lineRule="auto"/>
        <w:rPr>
          <w:rFonts w:ascii="Times" w:hAnsi="Times" w:cs="Times"/>
          <w:sz w:val="24"/>
          <w:szCs w:val="24"/>
        </w:rPr>
      </w:pPr>
      <w:r>
        <w:rPr>
          <w:rFonts w:ascii="Times" w:hAnsi="Times" w:cs="Times"/>
          <w:sz w:val="24"/>
          <w:szCs w:val="24"/>
        </w:rPr>
        <w:tab/>
      </w:r>
      <w:r w:rsidR="00085A98">
        <w:rPr>
          <w:rFonts w:ascii="Times" w:hAnsi="Times" w:cs="Times"/>
          <w:sz w:val="24"/>
          <w:szCs w:val="24"/>
        </w:rPr>
        <w:t xml:space="preserve">The Commission proposes to limit eligibility for the broadband license to entities which hold all 20 of the </w:t>
      </w:r>
      <w:r w:rsidR="009C7763">
        <w:rPr>
          <w:rFonts w:ascii="Times" w:hAnsi="Times" w:cs="Times"/>
          <w:sz w:val="24"/>
          <w:szCs w:val="24"/>
        </w:rPr>
        <w:t xml:space="preserve">900 MHz </w:t>
      </w:r>
      <w:r w:rsidR="00085A98">
        <w:rPr>
          <w:rFonts w:ascii="Times" w:hAnsi="Times" w:cs="Times"/>
          <w:sz w:val="24"/>
          <w:szCs w:val="24"/>
        </w:rPr>
        <w:t>SMR licenses in any given market area.</w:t>
      </w:r>
      <w:r w:rsidR="009C7763">
        <w:rPr>
          <w:rFonts w:ascii="Times" w:hAnsi="Times" w:cs="Times"/>
          <w:sz w:val="24"/>
          <w:szCs w:val="24"/>
        </w:rPr>
        <w:t xml:space="preserve">  NPRM at ¶ 28.  SCE strongly objects to this proposal for a number of reasons.</w:t>
      </w:r>
    </w:p>
    <w:p w:rsidR="009C7763" w:rsidRDefault="009C7763" w:rsidP="009649E5">
      <w:pPr>
        <w:pStyle w:val="ListParagraph"/>
        <w:numPr>
          <w:ilvl w:val="0"/>
          <w:numId w:val="7"/>
        </w:numPr>
        <w:autoSpaceDE w:val="0"/>
        <w:autoSpaceDN w:val="0"/>
        <w:adjustRightInd w:val="0"/>
        <w:spacing w:before="240" w:after="240" w:line="480" w:lineRule="auto"/>
        <w:rPr>
          <w:rFonts w:ascii="Times" w:hAnsi="Times" w:cs="Times"/>
          <w:sz w:val="24"/>
          <w:szCs w:val="24"/>
        </w:rPr>
      </w:pPr>
      <w:r>
        <w:rPr>
          <w:rFonts w:ascii="Times" w:hAnsi="Times" w:cs="Times"/>
          <w:sz w:val="24"/>
          <w:szCs w:val="24"/>
        </w:rPr>
        <w:t>Th</w:t>
      </w:r>
      <w:r w:rsidR="00C57D67">
        <w:rPr>
          <w:rFonts w:ascii="Times" w:hAnsi="Times" w:cs="Times"/>
          <w:sz w:val="24"/>
          <w:szCs w:val="24"/>
        </w:rPr>
        <w:t>is eligibility criterion effectivel</w:t>
      </w:r>
      <w:r>
        <w:rPr>
          <w:rFonts w:ascii="Times" w:hAnsi="Times" w:cs="Times"/>
          <w:sz w:val="24"/>
          <w:szCs w:val="24"/>
        </w:rPr>
        <w:t xml:space="preserve">y limits eligibility for the </w:t>
      </w:r>
      <w:r w:rsidR="00D50C7B">
        <w:rPr>
          <w:rFonts w:ascii="Times" w:hAnsi="Times" w:cs="Times"/>
          <w:sz w:val="24"/>
          <w:szCs w:val="24"/>
        </w:rPr>
        <w:t>broadband</w:t>
      </w:r>
      <w:r>
        <w:rPr>
          <w:rFonts w:ascii="Times" w:hAnsi="Times" w:cs="Times"/>
          <w:sz w:val="24"/>
          <w:szCs w:val="24"/>
        </w:rPr>
        <w:t xml:space="preserve"> license</w:t>
      </w:r>
      <w:r w:rsidR="00C57D67">
        <w:rPr>
          <w:rFonts w:ascii="Times" w:hAnsi="Times" w:cs="Times"/>
          <w:sz w:val="24"/>
          <w:szCs w:val="24"/>
        </w:rPr>
        <w:t xml:space="preserve"> as a practical matter</w:t>
      </w:r>
      <w:r>
        <w:rPr>
          <w:rFonts w:ascii="Times" w:hAnsi="Times" w:cs="Times"/>
          <w:sz w:val="24"/>
          <w:szCs w:val="24"/>
        </w:rPr>
        <w:t xml:space="preserve"> to a single company, pdv</w:t>
      </w:r>
      <w:r w:rsidR="007C7FF8">
        <w:rPr>
          <w:rFonts w:ascii="Times" w:hAnsi="Times" w:cs="Times"/>
          <w:sz w:val="24"/>
          <w:szCs w:val="24"/>
        </w:rPr>
        <w:t xml:space="preserve"> wireless</w:t>
      </w:r>
      <w:r>
        <w:rPr>
          <w:rFonts w:ascii="Times" w:hAnsi="Times" w:cs="Times"/>
          <w:sz w:val="24"/>
          <w:szCs w:val="24"/>
        </w:rPr>
        <w:t xml:space="preserve">.  While SCE recognizes the </w:t>
      </w:r>
      <w:r w:rsidR="00D50C7B">
        <w:rPr>
          <w:rFonts w:ascii="Times" w:hAnsi="Times" w:cs="Times"/>
          <w:sz w:val="24"/>
          <w:szCs w:val="24"/>
        </w:rPr>
        <w:t>important</w:t>
      </w:r>
      <w:r>
        <w:rPr>
          <w:rFonts w:ascii="Times" w:hAnsi="Times" w:cs="Times"/>
          <w:sz w:val="24"/>
          <w:szCs w:val="24"/>
        </w:rPr>
        <w:t xml:space="preserve"> part pdv has played in moving the process of band realignment to its present posture</w:t>
      </w:r>
      <w:r w:rsidR="007C7FF8">
        <w:rPr>
          <w:rFonts w:ascii="Times" w:hAnsi="Times" w:cs="Times"/>
          <w:sz w:val="24"/>
          <w:szCs w:val="24"/>
        </w:rPr>
        <w:t xml:space="preserve">, </w:t>
      </w:r>
      <w:r w:rsidR="00D50C7B">
        <w:rPr>
          <w:rFonts w:ascii="Times" w:hAnsi="Times" w:cs="Times"/>
          <w:sz w:val="24"/>
          <w:szCs w:val="24"/>
        </w:rPr>
        <w:t>that</w:t>
      </w:r>
      <w:r>
        <w:rPr>
          <w:rFonts w:ascii="Times" w:hAnsi="Times" w:cs="Times"/>
          <w:sz w:val="24"/>
          <w:szCs w:val="24"/>
        </w:rPr>
        <w:t xml:space="preserve"> contribution should not result in pdv being the sole eligible broadband licensee.  As currently proposed, the </w:t>
      </w:r>
      <w:r w:rsidR="00C57D67">
        <w:rPr>
          <w:rFonts w:ascii="Times" w:hAnsi="Times" w:cs="Times"/>
          <w:sz w:val="24"/>
          <w:szCs w:val="24"/>
        </w:rPr>
        <w:t xml:space="preserve">highly restricted </w:t>
      </w:r>
      <w:r>
        <w:rPr>
          <w:rFonts w:ascii="Times" w:hAnsi="Times" w:cs="Times"/>
          <w:sz w:val="24"/>
          <w:szCs w:val="24"/>
        </w:rPr>
        <w:t xml:space="preserve">eligibility </w:t>
      </w:r>
      <w:r w:rsidR="00C57D67">
        <w:rPr>
          <w:rFonts w:ascii="Times" w:hAnsi="Times" w:cs="Times"/>
          <w:sz w:val="24"/>
          <w:szCs w:val="24"/>
        </w:rPr>
        <w:t xml:space="preserve">criterion </w:t>
      </w:r>
      <w:r>
        <w:rPr>
          <w:rFonts w:ascii="Times" w:hAnsi="Times" w:cs="Times"/>
          <w:sz w:val="24"/>
          <w:szCs w:val="24"/>
        </w:rPr>
        <w:t>gives every appearance of being a benefit that is designed to be awarded to only one company without regard to the legitimate needs of other interested parties and without recognition of the benefits to the public which will accrue</w:t>
      </w:r>
      <w:r w:rsidR="00C57D67">
        <w:rPr>
          <w:rFonts w:ascii="Times" w:hAnsi="Times" w:cs="Times"/>
          <w:sz w:val="24"/>
          <w:szCs w:val="24"/>
        </w:rPr>
        <w:t xml:space="preserve"> from making the</w:t>
      </w:r>
      <w:r>
        <w:rPr>
          <w:rFonts w:ascii="Times" w:hAnsi="Times" w:cs="Times"/>
          <w:sz w:val="24"/>
          <w:szCs w:val="24"/>
        </w:rPr>
        <w:t xml:space="preserve"> broadband license more broadly available</w:t>
      </w:r>
      <w:r w:rsidR="007C7FF8">
        <w:rPr>
          <w:rFonts w:ascii="Times" w:hAnsi="Times" w:cs="Times"/>
          <w:sz w:val="24"/>
          <w:szCs w:val="24"/>
        </w:rPr>
        <w:t xml:space="preserve"> to utilities</w:t>
      </w:r>
      <w:r>
        <w:rPr>
          <w:rFonts w:ascii="Times" w:hAnsi="Times" w:cs="Times"/>
          <w:sz w:val="24"/>
          <w:szCs w:val="24"/>
        </w:rPr>
        <w:t xml:space="preserve">. </w:t>
      </w:r>
    </w:p>
    <w:p w:rsidR="00565080" w:rsidRDefault="00565080" w:rsidP="00565080">
      <w:pPr>
        <w:pStyle w:val="ListParagraph"/>
        <w:autoSpaceDE w:val="0"/>
        <w:autoSpaceDN w:val="0"/>
        <w:adjustRightInd w:val="0"/>
        <w:spacing w:before="240" w:after="240"/>
        <w:ind w:left="1080"/>
        <w:rPr>
          <w:rFonts w:ascii="Times" w:hAnsi="Times" w:cs="Times"/>
          <w:sz w:val="24"/>
          <w:szCs w:val="24"/>
        </w:rPr>
      </w:pPr>
    </w:p>
    <w:p w:rsidR="00565080" w:rsidRDefault="00565080" w:rsidP="009649E5">
      <w:pPr>
        <w:pStyle w:val="ListParagraph"/>
        <w:numPr>
          <w:ilvl w:val="0"/>
          <w:numId w:val="7"/>
        </w:numPr>
        <w:autoSpaceDE w:val="0"/>
        <w:autoSpaceDN w:val="0"/>
        <w:adjustRightInd w:val="0"/>
        <w:spacing w:before="240" w:after="240" w:line="480" w:lineRule="auto"/>
        <w:rPr>
          <w:rFonts w:ascii="Times" w:hAnsi="Times" w:cs="Times"/>
          <w:sz w:val="24"/>
          <w:szCs w:val="24"/>
        </w:rPr>
      </w:pPr>
      <w:r w:rsidRPr="00565080">
        <w:rPr>
          <w:rFonts w:ascii="Times" w:hAnsi="Times" w:cs="Times"/>
          <w:sz w:val="24"/>
          <w:szCs w:val="24"/>
        </w:rPr>
        <w:lastRenderedPageBreak/>
        <w:t>Migrating to broadband for utilities is critical in the next phase of the country’s critical infrastructure grid modernization</w:t>
      </w:r>
      <w:r w:rsidR="007C7FF8">
        <w:rPr>
          <w:rFonts w:ascii="Times" w:hAnsi="Times" w:cs="Times"/>
          <w:sz w:val="24"/>
          <w:szCs w:val="24"/>
        </w:rPr>
        <w:t>.  This modernization effort</w:t>
      </w:r>
      <w:r w:rsidRPr="00565080">
        <w:rPr>
          <w:rFonts w:ascii="Times" w:hAnsi="Times" w:cs="Times"/>
          <w:sz w:val="24"/>
          <w:szCs w:val="24"/>
        </w:rPr>
        <w:t xml:space="preserve"> will increase safety, security and grid resiliency in the interest of all rate-payers and the general public. </w:t>
      </w:r>
      <w:r w:rsidR="007C7FF8">
        <w:rPr>
          <w:rFonts w:ascii="Times" w:hAnsi="Times" w:cs="Times"/>
          <w:sz w:val="24"/>
          <w:szCs w:val="24"/>
        </w:rPr>
        <w:t>A</w:t>
      </w:r>
      <w:r w:rsidRPr="00565080">
        <w:rPr>
          <w:rFonts w:ascii="Times" w:hAnsi="Times" w:cs="Times"/>
          <w:sz w:val="24"/>
          <w:szCs w:val="24"/>
        </w:rPr>
        <w:t xml:space="preserve"> communications network for utilities is the neural network for providing these essential services to the public.  Grid modernization requires a </w:t>
      </w:r>
      <w:r w:rsidR="007C7FF8">
        <w:rPr>
          <w:rFonts w:ascii="Times" w:hAnsi="Times" w:cs="Times"/>
          <w:sz w:val="24"/>
          <w:szCs w:val="24"/>
        </w:rPr>
        <w:t>highly</w:t>
      </w:r>
      <w:r w:rsidRPr="00565080">
        <w:rPr>
          <w:rFonts w:ascii="Times" w:hAnsi="Times" w:cs="Times"/>
          <w:sz w:val="24"/>
          <w:szCs w:val="24"/>
        </w:rPr>
        <w:t xml:space="preserve"> sophisticated communications network</w:t>
      </w:r>
      <w:r w:rsidR="007C7FF8">
        <w:rPr>
          <w:rFonts w:ascii="Times" w:hAnsi="Times" w:cs="Times"/>
          <w:sz w:val="24"/>
          <w:szCs w:val="24"/>
        </w:rPr>
        <w:t xml:space="preserve">.  </w:t>
      </w:r>
      <w:r w:rsidRPr="00565080">
        <w:rPr>
          <w:rFonts w:ascii="Times" w:hAnsi="Times" w:cs="Times"/>
          <w:sz w:val="24"/>
          <w:szCs w:val="24"/>
        </w:rPr>
        <w:t xml:space="preserve"> No </w:t>
      </w:r>
      <w:r>
        <w:rPr>
          <w:rFonts w:ascii="Times" w:hAnsi="Times" w:cs="Times"/>
          <w:sz w:val="24"/>
          <w:szCs w:val="24"/>
        </w:rPr>
        <w:t>non-utility</w:t>
      </w:r>
      <w:r w:rsidR="00322EB7">
        <w:rPr>
          <w:rFonts w:ascii="Times" w:hAnsi="Times" w:cs="Times"/>
          <w:sz w:val="24"/>
          <w:szCs w:val="24"/>
        </w:rPr>
        <w:t xml:space="preserve"> can better grasp</w:t>
      </w:r>
      <w:r w:rsidRPr="00565080">
        <w:rPr>
          <w:rFonts w:ascii="Times" w:hAnsi="Times" w:cs="Times"/>
          <w:sz w:val="24"/>
          <w:szCs w:val="24"/>
        </w:rPr>
        <w:t xml:space="preserve"> the critical nature of these communication systems and </w:t>
      </w:r>
      <w:r w:rsidR="00322EB7">
        <w:rPr>
          <w:rFonts w:ascii="Times" w:hAnsi="Times" w:cs="Times"/>
          <w:sz w:val="24"/>
          <w:szCs w:val="24"/>
        </w:rPr>
        <w:t xml:space="preserve">the </w:t>
      </w:r>
      <w:r w:rsidRPr="00565080">
        <w:rPr>
          <w:rFonts w:ascii="Times" w:hAnsi="Times" w:cs="Times"/>
          <w:sz w:val="24"/>
          <w:szCs w:val="24"/>
        </w:rPr>
        <w:t xml:space="preserve">risks </w:t>
      </w:r>
      <w:r w:rsidR="00322EB7">
        <w:rPr>
          <w:rFonts w:ascii="Times" w:hAnsi="Times" w:cs="Times"/>
          <w:sz w:val="24"/>
          <w:szCs w:val="24"/>
        </w:rPr>
        <w:t>to</w:t>
      </w:r>
      <w:r w:rsidRPr="00565080">
        <w:rPr>
          <w:rFonts w:ascii="Times" w:hAnsi="Times" w:cs="Times"/>
          <w:sz w:val="24"/>
          <w:szCs w:val="24"/>
        </w:rPr>
        <w:t xml:space="preserve"> the electric grid and gas distribution systems than the utilities themselves. It is </w:t>
      </w:r>
      <w:r w:rsidR="007C7FF8">
        <w:rPr>
          <w:rFonts w:ascii="Times" w:hAnsi="Times" w:cs="Times"/>
          <w:sz w:val="24"/>
          <w:szCs w:val="24"/>
        </w:rPr>
        <w:t xml:space="preserve">therefore </w:t>
      </w:r>
      <w:r w:rsidRPr="00565080">
        <w:rPr>
          <w:rFonts w:ascii="Times" w:hAnsi="Times" w:cs="Times"/>
          <w:sz w:val="24"/>
          <w:szCs w:val="24"/>
        </w:rPr>
        <w:t xml:space="preserve">essential that all utilities that own and operate critical infrastructure have prioritized access to broadband spectrum </w:t>
      </w:r>
      <w:r w:rsidR="007C7FF8">
        <w:rPr>
          <w:rFonts w:ascii="Times" w:hAnsi="Times" w:cs="Times"/>
          <w:sz w:val="24"/>
          <w:szCs w:val="24"/>
        </w:rPr>
        <w:t xml:space="preserve">in order </w:t>
      </w:r>
      <w:r w:rsidRPr="00565080">
        <w:rPr>
          <w:rFonts w:ascii="Times" w:hAnsi="Times" w:cs="Times"/>
          <w:sz w:val="24"/>
          <w:szCs w:val="24"/>
        </w:rPr>
        <w:t xml:space="preserve">to be able to </w:t>
      </w:r>
      <w:r w:rsidR="007C7FF8">
        <w:rPr>
          <w:rFonts w:ascii="Times" w:hAnsi="Times" w:cs="Times"/>
          <w:sz w:val="24"/>
          <w:szCs w:val="24"/>
        </w:rPr>
        <w:t>fulfill their public interest responsibility to safely and reliably deliver power and fuel to the people</w:t>
      </w:r>
      <w:r w:rsidRPr="00565080">
        <w:rPr>
          <w:rFonts w:ascii="Times" w:hAnsi="Times" w:cs="Times"/>
          <w:sz w:val="24"/>
          <w:szCs w:val="24"/>
        </w:rPr>
        <w:t xml:space="preserve"> of the United States.</w:t>
      </w:r>
    </w:p>
    <w:p w:rsidR="009C7763" w:rsidRDefault="007C7FF8" w:rsidP="009649E5">
      <w:pPr>
        <w:pStyle w:val="ListParagraph"/>
        <w:autoSpaceDE w:val="0"/>
        <w:autoSpaceDN w:val="0"/>
        <w:adjustRightInd w:val="0"/>
        <w:spacing w:before="240" w:after="240" w:line="480" w:lineRule="auto"/>
        <w:ind w:left="1080"/>
        <w:rPr>
          <w:rFonts w:ascii="Times" w:hAnsi="Times" w:cs="Times"/>
          <w:sz w:val="24"/>
          <w:szCs w:val="24"/>
        </w:rPr>
      </w:pPr>
      <w:r>
        <w:rPr>
          <w:rFonts w:ascii="Times" w:hAnsi="Times" w:cs="Times"/>
          <w:sz w:val="24"/>
          <w:szCs w:val="24"/>
        </w:rPr>
        <w:tab/>
      </w:r>
      <w:r w:rsidR="00C57D67">
        <w:rPr>
          <w:rFonts w:ascii="Times" w:hAnsi="Times" w:cs="Times"/>
          <w:sz w:val="24"/>
          <w:szCs w:val="24"/>
        </w:rPr>
        <w:t xml:space="preserve">While the driving principle which has moved this proceeding forward is the need to make broadband capability available to </w:t>
      </w:r>
      <w:r w:rsidR="00D50C7B">
        <w:rPr>
          <w:rFonts w:ascii="Times" w:hAnsi="Times" w:cs="Times"/>
          <w:sz w:val="24"/>
          <w:szCs w:val="24"/>
        </w:rPr>
        <w:t>utilities</w:t>
      </w:r>
      <w:r w:rsidR="00C57D67">
        <w:rPr>
          <w:rFonts w:ascii="Times" w:hAnsi="Times" w:cs="Times"/>
          <w:sz w:val="24"/>
          <w:szCs w:val="24"/>
        </w:rPr>
        <w:t xml:space="preserve">, the fact of the matter is that pdv is not an electrical utility, nor has it even committed to make its broadband capacity </w:t>
      </w:r>
      <w:r w:rsidR="00D50C7B">
        <w:rPr>
          <w:rFonts w:ascii="Times" w:hAnsi="Times" w:cs="Times"/>
          <w:sz w:val="24"/>
          <w:szCs w:val="24"/>
        </w:rPr>
        <w:t>available</w:t>
      </w:r>
      <w:r w:rsidR="00C57D67">
        <w:rPr>
          <w:rFonts w:ascii="Times" w:hAnsi="Times" w:cs="Times"/>
          <w:sz w:val="24"/>
          <w:szCs w:val="24"/>
        </w:rPr>
        <w:t xml:space="preserve"> to electrical utilities on an exclusive or even a preferred basis.  Pdv could sell its license for a handsome profit to a common carrier entity </w:t>
      </w:r>
      <w:r w:rsidR="00D50C7B">
        <w:rPr>
          <w:rFonts w:ascii="Times" w:hAnsi="Times" w:cs="Times"/>
          <w:sz w:val="24"/>
          <w:szCs w:val="24"/>
        </w:rPr>
        <w:t>which</w:t>
      </w:r>
      <w:r w:rsidR="00C57D67">
        <w:rPr>
          <w:rFonts w:ascii="Times" w:hAnsi="Times" w:cs="Times"/>
          <w:sz w:val="24"/>
          <w:szCs w:val="24"/>
        </w:rPr>
        <w:t xml:space="preserve"> </w:t>
      </w:r>
      <w:r w:rsidR="00D50C7B">
        <w:rPr>
          <w:rFonts w:ascii="Times" w:hAnsi="Times" w:cs="Times"/>
          <w:sz w:val="24"/>
          <w:szCs w:val="24"/>
        </w:rPr>
        <w:t>would simply</w:t>
      </w:r>
      <w:r w:rsidR="00C57D67">
        <w:rPr>
          <w:rFonts w:ascii="Times" w:hAnsi="Times" w:cs="Times"/>
          <w:sz w:val="24"/>
          <w:szCs w:val="24"/>
        </w:rPr>
        <w:t xml:space="preserve"> add this bit of </w:t>
      </w:r>
      <w:r w:rsidR="00D50C7B">
        <w:rPr>
          <w:rFonts w:ascii="Times" w:hAnsi="Times" w:cs="Times"/>
          <w:sz w:val="24"/>
          <w:szCs w:val="24"/>
        </w:rPr>
        <w:t>spectrum</w:t>
      </w:r>
      <w:r w:rsidR="00C57D67">
        <w:rPr>
          <w:rFonts w:ascii="Times" w:hAnsi="Times" w:cs="Times"/>
          <w:sz w:val="24"/>
          <w:szCs w:val="24"/>
        </w:rPr>
        <w:t xml:space="preserve"> to its already large broadband spectrum holdings.  This eventuality would completely </w:t>
      </w:r>
      <w:r w:rsidR="008F4E52">
        <w:rPr>
          <w:rFonts w:ascii="Times" w:hAnsi="Times" w:cs="Times"/>
          <w:sz w:val="24"/>
          <w:szCs w:val="24"/>
        </w:rPr>
        <w:t>subvert</w:t>
      </w:r>
      <w:r w:rsidR="00C57D67">
        <w:rPr>
          <w:rFonts w:ascii="Times" w:hAnsi="Times" w:cs="Times"/>
          <w:sz w:val="24"/>
          <w:szCs w:val="24"/>
        </w:rPr>
        <w:t xml:space="preserve"> the unde</w:t>
      </w:r>
      <w:r w:rsidR="00252A34">
        <w:rPr>
          <w:rFonts w:ascii="Times" w:hAnsi="Times" w:cs="Times"/>
          <w:sz w:val="24"/>
          <w:szCs w:val="24"/>
        </w:rPr>
        <w:t>r</w:t>
      </w:r>
      <w:r w:rsidR="00C57D67">
        <w:rPr>
          <w:rFonts w:ascii="Times" w:hAnsi="Times" w:cs="Times"/>
          <w:sz w:val="24"/>
          <w:szCs w:val="24"/>
        </w:rPr>
        <w:t>lying objective of this proceeding and divert the spectrum’s usage from its best and highest use.</w:t>
      </w:r>
      <w:r w:rsidR="00755836">
        <w:rPr>
          <w:rFonts w:ascii="Times" w:hAnsi="Times" w:cs="Times"/>
          <w:sz w:val="24"/>
          <w:szCs w:val="24"/>
        </w:rPr>
        <w:t xml:space="preserve">  SCE recognizes that in many rural markets there may be little interest by smaller utilities in assembling the spectrum package needed to qualify for a broadband license, so in those markets pdv will likely become the default holder of 6 MHz of spectrum marketable to common carriers.  SCE asks only that this not be a foregone conclusion in markets where </w:t>
      </w:r>
      <w:r w:rsidR="00D50C7B">
        <w:rPr>
          <w:rFonts w:ascii="Times" w:hAnsi="Times" w:cs="Times"/>
          <w:sz w:val="24"/>
          <w:szCs w:val="24"/>
        </w:rPr>
        <w:lastRenderedPageBreak/>
        <w:t>utilities</w:t>
      </w:r>
      <w:r w:rsidR="00755836">
        <w:rPr>
          <w:rFonts w:ascii="Times" w:hAnsi="Times" w:cs="Times"/>
          <w:sz w:val="24"/>
          <w:szCs w:val="24"/>
        </w:rPr>
        <w:t xml:space="preserve"> do desire the broadband license.</w:t>
      </w:r>
    </w:p>
    <w:p w:rsidR="00322EB7" w:rsidRDefault="00322EB7" w:rsidP="00565080">
      <w:pPr>
        <w:pStyle w:val="ListParagraph"/>
        <w:autoSpaceDE w:val="0"/>
        <w:autoSpaceDN w:val="0"/>
        <w:adjustRightInd w:val="0"/>
        <w:spacing w:before="240" w:after="240"/>
        <w:ind w:left="1080"/>
        <w:rPr>
          <w:rFonts w:ascii="Times" w:hAnsi="Times" w:cs="Times"/>
          <w:sz w:val="24"/>
          <w:szCs w:val="24"/>
        </w:rPr>
      </w:pPr>
    </w:p>
    <w:p w:rsidR="00322EB7" w:rsidRPr="008F4E52" w:rsidRDefault="00C57D67" w:rsidP="00322EB7">
      <w:pPr>
        <w:pStyle w:val="ListParagraph"/>
        <w:numPr>
          <w:ilvl w:val="0"/>
          <w:numId w:val="7"/>
        </w:numPr>
        <w:autoSpaceDE w:val="0"/>
        <w:autoSpaceDN w:val="0"/>
        <w:adjustRightInd w:val="0"/>
        <w:spacing w:before="240" w:after="240" w:line="480" w:lineRule="auto"/>
        <w:rPr>
          <w:rFonts w:ascii="Times" w:hAnsi="Times" w:cs="Times"/>
          <w:sz w:val="24"/>
          <w:szCs w:val="24"/>
        </w:rPr>
      </w:pPr>
      <w:r w:rsidRPr="008F4E52">
        <w:rPr>
          <w:rFonts w:ascii="Times" w:hAnsi="Times" w:cs="Times"/>
          <w:sz w:val="24"/>
          <w:szCs w:val="24"/>
        </w:rPr>
        <w:t xml:space="preserve">SCE and other utilities have carefully considered the possibility of leasing spectrum from a third party provider, whether pdv or an existing broadband common carrier.  The result of this analysis is always that such an arrangement will not work. </w:t>
      </w:r>
      <w:r w:rsidR="009E1E98" w:rsidRPr="008F4E52">
        <w:rPr>
          <w:rFonts w:ascii="Times" w:hAnsi="Times" w:cs="Times"/>
          <w:sz w:val="24"/>
          <w:szCs w:val="24"/>
        </w:rPr>
        <w:t>First</w:t>
      </w:r>
      <w:r w:rsidRPr="008F4E52">
        <w:rPr>
          <w:rFonts w:ascii="Times" w:hAnsi="Times" w:cs="Times"/>
          <w:sz w:val="24"/>
          <w:szCs w:val="24"/>
        </w:rPr>
        <w:t>, as indicated above, third party providers have been unwilling to assume the virtually unlimited liability which would come with leasing spectrum to a utility.</w:t>
      </w:r>
      <w:r w:rsidR="009E1E98" w:rsidRPr="008F4E52">
        <w:rPr>
          <w:rFonts w:ascii="Times" w:hAnsi="Times" w:cs="Times"/>
          <w:sz w:val="24"/>
          <w:szCs w:val="24"/>
        </w:rPr>
        <w:t xml:space="preserve">  Second, the security and reliability of the broadband network envisioned by SCE and other </w:t>
      </w:r>
      <w:r w:rsidR="00E352AA" w:rsidRPr="008F4E52">
        <w:rPr>
          <w:rFonts w:ascii="Times" w:hAnsi="Times" w:cs="Times"/>
          <w:sz w:val="24"/>
          <w:szCs w:val="24"/>
        </w:rPr>
        <w:t>utilities</w:t>
      </w:r>
      <w:r w:rsidR="009E1E98" w:rsidRPr="008F4E52">
        <w:rPr>
          <w:rFonts w:ascii="Times" w:hAnsi="Times" w:cs="Times"/>
          <w:sz w:val="24"/>
          <w:szCs w:val="24"/>
        </w:rPr>
        <w:t xml:space="preserve"> requires the spectrum license to be owned b</w:t>
      </w:r>
      <w:r w:rsidR="00E352AA" w:rsidRPr="008F4E52">
        <w:rPr>
          <w:rFonts w:ascii="Times" w:hAnsi="Times" w:cs="Times"/>
          <w:sz w:val="24"/>
          <w:szCs w:val="24"/>
        </w:rPr>
        <w:t>y the utilities themselves.  SCE</w:t>
      </w:r>
      <w:r w:rsidR="009E1E98" w:rsidRPr="008F4E52">
        <w:rPr>
          <w:rFonts w:ascii="Times" w:hAnsi="Times" w:cs="Times"/>
          <w:sz w:val="24"/>
          <w:szCs w:val="24"/>
        </w:rPr>
        <w:t xml:space="preserve">, for example, contemplates a stand-alone network that is completely sealed off from access from the internet as the strongest firewall against intrusion by outside hackers.  The risk from such threats is extremely high and SCE intends to do everything necessary to prevent all outside access.  Without complete ownership </w:t>
      </w:r>
      <w:r w:rsidR="00E352AA" w:rsidRPr="008F4E52">
        <w:rPr>
          <w:rFonts w:ascii="Times" w:hAnsi="Times" w:cs="Times"/>
          <w:sz w:val="24"/>
          <w:szCs w:val="24"/>
        </w:rPr>
        <w:t>and control</w:t>
      </w:r>
      <w:r w:rsidR="009E1E98" w:rsidRPr="008F4E52">
        <w:rPr>
          <w:rFonts w:ascii="Times" w:hAnsi="Times" w:cs="Times"/>
          <w:sz w:val="24"/>
          <w:szCs w:val="24"/>
        </w:rPr>
        <w:t xml:space="preserve"> of the spectrum, this high degree of security cannot be assured.</w:t>
      </w:r>
    </w:p>
    <w:p w:rsidR="00322EB7" w:rsidRDefault="008F4E52" w:rsidP="008F4E52">
      <w:pPr>
        <w:pStyle w:val="ListParagraph"/>
        <w:autoSpaceDE w:val="0"/>
        <w:autoSpaceDN w:val="0"/>
        <w:adjustRightInd w:val="0"/>
        <w:spacing w:before="240" w:after="240" w:line="480" w:lineRule="auto"/>
        <w:ind w:left="1080"/>
        <w:rPr>
          <w:rFonts w:ascii="Times" w:hAnsi="Times" w:cs="Times"/>
          <w:sz w:val="24"/>
          <w:szCs w:val="24"/>
        </w:rPr>
      </w:pPr>
      <w:r>
        <w:rPr>
          <w:rFonts w:ascii="Times" w:hAnsi="Times" w:cs="Times"/>
          <w:sz w:val="24"/>
          <w:szCs w:val="24"/>
        </w:rPr>
        <w:tab/>
      </w:r>
      <w:r w:rsidR="009E1E98">
        <w:rPr>
          <w:rFonts w:ascii="Times" w:hAnsi="Times" w:cs="Times"/>
          <w:sz w:val="24"/>
          <w:szCs w:val="24"/>
        </w:rPr>
        <w:t xml:space="preserve">If utilities had to lease their capacity from a non-utility third party, they would be subject to pricing </w:t>
      </w:r>
      <w:r w:rsidR="00E352AA">
        <w:rPr>
          <w:rFonts w:ascii="Times" w:hAnsi="Times" w:cs="Times"/>
          <w:sz w:val="24"/>
          <w:szCs w:val="24"/>
        </w:rPr>
        <w:t>demands</w:t>
      </w:r>
      <w:r w:rsidR="009E1E98">
        <w:rPr>
          <w:rFonts w:ascii="Times" w:hAnsi="Times" w:cs="Times"/>
          <w:sz w:val="24"/>
          <w:szCs w:val="24"/>
        </w:rPr>
        <w:t xml:space="preserve"> that only a single source provider could make.  Utilit</w:t>
      </w:r>
      <w:r w:rsidR="00252A34">
        <w:rPr>
          <w:rFonts w:ascii="Times" w:hAnsi="Times" w:cs="Times"/>
          <w:sz w:val="24"/>
          <w:szCs w:val="24"/>
        </w:rPr>
        <w:t>i</w:t>
      </w:r>
      <w:r>
        <w:rPr>
          <w:rFonts w:ascii="Times" w:hAnsi="Times" w:cs="Times"/>
          <w:sz w:val="24"/>
          <w:szCs w:val="24"/>
        </w:rPr>
        <w:t>es which</w:t>
      </w:r>
      <w:r w:rsidR="009E1E98">
        <w:rPr>
          <w:rFonts w:ascii="Times" w:hAnsi="Times" w:cs="Times"/>
          <w:sz w:val="24"/>
          <w:szCs w:val="24"/>
        </w:rPr>
        <w:t xml:space="preserve"> </w:t>
      </w:r>
      <w:r w:rsidR="00252A34">
        <w:rPr>
          <w:rFonts w:ascii="Times" w:hAnsi="Times" w:cs="Times"/>
          <w:sz w:val="24"/>
          <w:szCs w:val="24"/>
        </w:rPr>
        <w:t>a</w:t>
      </w:r>
      <w:r w:rsidR="009E1E98">
        <w:rPr>
          <w:rFonts w:ascii="Times" w:hAnsi="Times" w:cs="Times"/>
          <w:sz w:val="24"/>
          <w:szCs w:val="24"/>
        </w:rPr>
        <w:t xml:space="preserve">re supported by rates approved by state regulators and passed on to their customers must be very judicious about their expense obligations. Just as </w:t>
      </w:r>
      <w:r w:rsidR="00E352AA">
        <w:rPr>
          <w:rFonts w:ascii="Times" w:hAnsi="Times" w:cs="Times"/>
          <w:sz w:val="24"/>
          <w:szCs w:val="24"/>
        </w:rPr>
        <w:t>importantly</w:t>
      </w:r>
      <w:r w:rsidR="009E1E98">
        <w:rPr>
          <w:rFonts w:ascii="Times" w:hAnsi="Times" w:cs="Times"/>
          <w:sz w:val="24"/>
          <w:szCs w:val="24"/>
        </w:rPr>
        <w:t xml:space="preserve">, </w:t>
      </w:r>
      <w:r w:rsidR="00E352AA">
        <w:rPr>
          <w:rFonts w:ascii="Times" w:hAnsi="Times" w:cs="Times"/>
          <w:sz w:val="24"/>
          <w:szCs w:val="24"/>
        </w:rPr>
        <w:t>utilities</w:t>
      </w:r>
      <w:r w:rsidR="009E1E98">
        <w:rPr>
          <w:rFonts w:ascii="Times" w:hAnsi="Times" w:cs="Times"/>
          <w:sz w:val="24"/>
          <w:szCs w:val="24"/>
        </w:rPr>
        <w:t xml:space="preserve"> must think in time horizons that </w:t>
      </w:r>
      <w:r w:rsidR="00E352AA">
        <w:rPr>
          <w:rFonts w:ascii="Times" w:hAnsi="Times" w:cs="Times"/>
          <w:sz w:val="24"/>
          <w:szCs w:val="24"/>
        </w:rPr>
        <w:t>extend</w:t>
      </w:r>
      <w:r w:rsidR="009E1E98">
        <w:rPr>
          <w:rFonts w:ascii="Times" w:hAnsi="Times" w:cs="Times"/>
          <w:sz w:val="24"/>
          <w:szCs w:val="24"/>
        </w:rPr>
        <w:t xml:space="preserve"> out for decades.  They could </w:t>
      </w:r>
      <w:r w:rsidR="00E352AA">
        <w:rPr>
          <w:rFonts w:ascii="Times" w:hAnsi="Times" w:cs="Times"/>
          <w:sz w:val="24"/>
          <w:szCs w:val="24"/>
        </w:rPr>
        <w:t>hardly</w:t>
      </w:r>
      <w:r w:rsidR="009E1E98">
        <w:rPr>
          <w:rFonts w:ascii="Times" w:hAnsi="Times" w:cs="Times"/>
          <w:sz w:val="24"/>
          <w:szCs w:val="24"/>
        </w:rPr>
        <w:t xml:space="preserve"> plan multi-million dollar</w:t>
      </w:r>
      <w:r w:rsidR="00252A34">
        <w:rPr>
          <w:rFonts w:ascii="Times" w:hAnsi="Times" w:cs="Times"/>
          <w:sz w:val="24"/>
          <w:szCs w:val="24"/>
        </w:rPr>
        <w:t xml:space="preserve"> network </w:t>
      </w:r>
      <w:r w:rsidR="00E352AA">
        <w:rPr>
          <w:rFonts w:ascii="Times" w:hAnsi="Times" w:cs="Times"/>
          <w:sz w:val="24"/>
          <w:szCs w:val="24"/>
        </w:rPr>
        <w:t>installations</w:t>
      </w:r>
      <w:r w:rsidR="009E1E98">
        <w:rPr>
          <w:rFonts w:ascii="Times" w:hAnsi="Times" w:cs="Times"/>
          <w:sz w:val="24"/>
          <w:szCs w:val="24"/>
        </w:rPr>
        <w:t xml:space="preserve"> based on typical leasing timelines</w:t>
      </w:r>
      <w:r w:rsidR="00252A34">
        <w:rPr>
          <w:rFonts w:ascii="Times" w:hAnsi="Times" w:cs="Times"/>
          <w:sz w:val="24"/>
          <w:szCs w:val="24"/>
        </w:rPr>
        <w:t xml:space="preserve"> with no assurance that the leases </w:t>
      </w:r>
      <w:r>
        <w:rPr>
          <w:rFonts w:ascii="Times" w:hAnsi="Times" w:cs="Times"/>
          <w:sz w:val="24"/>
          <w:szCs w:val="24"/>
        </w:rPr>
        <w:t>would</w:t>
      </w:r>
      <w:r w:rsidR="00252A34">
        <w:rPr>
          <w:rFonts w:ascii="Times" w:hAnsi="Times" w:cs="Times"/>
          <w:sz w:val="24"/>
          <w:szCs w:val="24"/>
        </w:rPr>
        <w:t xml:space="preserve"> be renewed on reasonable terms at the end of the lease term.  Direct ownership of the broadband license is without a doubt the most cost-effective and reliable means of assuring </w:t>
      </w:r>
      <w:r w:rsidR="00E352AA">
        <w:rPr>
          <w:rFonts w:ascii="Times" w:hAnsi="Times" w:cs="Times"/>
          <w:sz w:val="24"/>
          <w:szCs w:val="24"/>
        </w:rPr>
        <w:t>utilities</w:t>
      </w:r>
      <w:r w:rsidR="00252A34">
        <w:rPr>
          <w:rFonts w:ascii="Times" w:hAnsi="Times" w:cs="Times"/>
          <w:sz w:val="24"/>
          <w:szCs w:val="24"/>
        </w:rPr>
        <w:t xml:space="preserve"> access to t</w:t>
      </w:r>
      <w:r>
        <w:rPr>
          <w:rFonts w:ascii="Times" w:hAnsi="Times" w:cs="Times"/>
          <w:sz w:val="24"/>
          <w:szCs w:val="24"/>
        </w:rPr>
        <w:t>he broadband spectrum they need for the indefinite future.</w:t>
      </w:r>
    </w:p>
    <w:p w:rsidR="00252A34" w:rsidRDefault="00252A34" w:rsidP="00322EB7">
      <w:pPr>
        <w:pStyle w:val="ListParagraph"/>
        <w:autoSpaceDE w:val="0"/>
        <w:autoSpaceDN w:val="0"/>
        <w:adjustRightInd w:val="0"/>
        <w:spacing w:before="240" w:after="240"/>
        <w:ind w:left="1080"/>
        <w:rPr>
          <w:rFonts w:ascii="Times" w:hAnsi="Times" w:cs="Times"/>
          <w:sz w:val="24"/>
          <w:szCs w:val="24"/>
        </w:rPr>
      </w:pPr>
      <w:r>
        <w:rPr>
          <w:rFonts w:ascii="Times" w:hAnsi="Times" w:cs="Times"/>
          <w:sz w:val="24"/>
          <w:szCs w:val="24"/>
        </w:rPr>
        <w:lastRenderedPageBreak/>
        <w:t xml:space="preserve"> </w:t>
      </w:r>
    </w:p>
    <w:p w:rsidR="00322EB7" w:rsidRPr="00322EB7" w:rsidRDefault="00605CF4" w:rsidP="009649E5">
      <w:pPr>
        <w:pStyle w:val="ListParagraph"/>
        <w:widowControl/>
        <w:numPr>
          <w:ilvl w:val="0"/>
          <w:numId w:val="7"/>
        </w:numPr>
        <w:autoSpaceDE w:val="0"/>
        <w:autoSpaceDN w:val="0"/>
        <w:adjustRightInd w:val="0"/>
        <w:spacing w:before="240" w:after="240" w:line="480" w:lineRule="auto"/>
        <w:rPr>
          <w:rFonts w:eastAsiaTheme="minorHAnsi" w:cs="Arial"/>
          <w:snapToGrid/>
          <w:kern w:val="0"/>
          <w:sz w:val="24"/>
          <w:szCs w:val="22"/>
        </w:rPr>
      </w:pPr>
      <w:r w:rsidRPr="00605CF4">
        <w:rPr>
          <w:rFonts w:ascii="Times" w:hAnsi="Times" w:cs="Times"/>
          <w:sz w:val="24"/>
          <w:szCs w:val="24"/>
        </w:rPr>
        <w:t xml:space="preserve">Currently the largest operators of 900 MHz systems in some regions in the nation are the electric and gas utilities.  These utilities provide a critical and essential service to the public and are obliged to take cybersecurity, safety, and service reliability extremely seriously. The communications network for utilities is </w:t>
      </w:r>
      <w:r w:rsidR="008F4E52">
        <w:rPr>
          <w:rFonts w:ascii="Times" w:hAnsi="Times" w:cs="Times"/>
          <w:sz w:val="24"/>
          <w:szCs w:val="24"/>
        </w:rPr>
        <w:t xml:space="preserve">an </w:t>
      </w:r>
      <w:r w:rsidRPr="00605CF4">
        <w:rPr>
          <w:rFonts w:ascii="Times" w:hAnsi="Times" w:cs="Times"/>
          <w:sz w:val="24"/>
          <w:szCs w:val="24"/>
        </w:rPr>
        <w:t xml:space="preserve">essential </w:t>
      </w:r>
      <w:r w:rsidR="008F4E52">
        <w:rPr>
          <w:rFonts w:ascii="Times" w:hAnsi="Times" w:cs="Times"/>
          <w:sz w:val="24"/>
          <w:szCs w:val="24"/>
        </w:rPr>
        <w:t>element in delivering</w:t>
      </w:r>
      <w:r w:rsidRPr="00605CF4">
        <w:rPr>
          <w:rFonts w:ascii="Times" w:hAnsi="Times" w:cs="Times"/>
          <w:sz w:val="24"/>
          <w:szCs w:val="24"/>
        </w:rPr>
        <w:t xml:space="preserve"> these critical services to the public.  Historically, commercial operators have demonstrated little understanding of the specialized communications needs of utilities, driving the need for utilities to build and operate their own critical infrastructure communications networks.  More</w:t>
      </w:r>
      <w:r>
        <w:rPr>
          <w:rFonts w:ascii="Times" w:hAnsi="Times" w:cs="Times"/>
          <w:sz w:val="24"/>
          <w:szCs w:val="24"/>
        </w:rPr>
        <w:t>ov</w:t>
      </w:r>
      <w:r w:rsidRPr="00605CF4">
        <w:rPr>
          <w:rFonts w:ascii="Times" w:hAnsi="Times" w:cs="Times"/>
          <w:sz w:val="24"/>
          <w:szCs w:val="24"/>
        </w:rPr>
        <w:t>er, b</w:t>
      </w:r>
      <w:r w:rsidR="00252A34" w:rsidRPr="00605CF4">
        <w:rPr>
          <w:rFonts w:ascii="Times" w:hAnsi="Times" w:cs="Times"/>
          <w:sz w:val="24"/>
          <w:szCs w:val="24"/>
        </w:rPr>
        <w:t>ecause facilities-based utilities do not compete with each other and because they understand each other’s needs</w:t>
      </w:r>
      <w:r w:rsidRPr="00605CF4">
        <w:rPr>
          <w:rFonts w:ascii="Times" w:hAnsi="Times" w:cs="Times"/>
          <w:sz w:val="24"/>
          <w:szCs w:val="24"/>
        </w:rPr>
        <w:t>, SCE antic</w:t>
      </w:r>
      <w:r w:rsidR="00252A34" w:rsidRPr="00605CF4">
        <w:rPr>
          <w:rFonts w:ascii="Times" w:hAnsi="Times" w:cs="Times"/>
          <w:sz w:val="24"/>
          <w:szCs w:val="24"/>
        </w:rPr>
        <w:t xml:space="preserve">ipates that utilities will be able to readily reach relocation or interference agreements with other </w:t>
      </w:r>
      <w:r w:rsidR="00E352AA" w:rsidRPr="00605CF4">
        <w:rPr>
          <w:rFonts w:ascii="Times" w:hAnsi="Times" w:cs="Times"/>
          <w:sz w:val="24"/>
          <w:szCs w:val="24"/>
        </w:rPr>
        <w:t>utilities</w:t>
      </w:r>
      <w:r w:rsidR="00252A34" w:rsidRPr="00605CF4">
        <w:rPr>
          <w:rFonts w:ascii="Times" w:hAnsi="Times" w:cs="Times"/>
          <w:sz w:val="24"/>
          <w:szCs w:val="24"/>
        </w:rPr>
        <w:t xml:space="preserve"> in the markets where they are licensees and in adjacent markets.</w:t>
      </w:r>
    </w:p>
    <w:p w:rsidR="00A91524" w:rsidRPr="00605CF4" w:rsidRDefault="00252A34" w:rsidP="00322EB7">
      <w:pPr>
        <w:pStyle w:val="ListParagraph"/>
        <w:widowControl/>
        <w:autoSpaceDE w:val="0"/>
        <w:autoSpaceDN w:val="0"/>
        <w:adjustRightInd w:val="0"/>
        <w:spacing w:before="240" w:after="240"/>
        <w:ind w:left="1080"/>
        <w:rPr>
          <w:rFonts w:eastAsiaTheme="minorHAnsi" w:cs="Arial"/>
          <w:snapToGrid/>
          <w:kern w:val="0"/>
          <w:sz w:val="24"/>
          <w:szCs w:val="22"/>
        </w:rPr>
      </w:pPr>
      <w:r w:rsidRPr="00605CF4">
        <w:rPr>
          <w:rFonts w:ascii="Times" w:hAnsi="Times" w:cs="Times"/>
          <w:sz w:val="24"/>
          <w:szCs w:val="24"/>
        </w:rPr>
        <w:t xml:space="preserve"> </w:t>
      </w:r>
    </w:p>
    <w:p w:rsidR="00D50C7B" w:rsidRDefault="00507EA3" w:rsidP="009649E5">
      <w:pPr>
        <w:pStyle w:val="ListParagraph"/>
        <w:numPr>
          <w:ilvl w:val="0"/>
          <w:numId w:val="7"/>
        </w:numPr>
        <w:autoSpaceDE w:val="0"/>
        <w:autoSpaceDN w:val="0"/>
        <w:adjustRightInd w:val="0"/>
        <w:spacing w:before="240" w:after="240" w:line="480" w:lineRule="auto"/>
        <w:rPr>
          <w:rFonts w:ascii="Times" w:hAnsi="Times" w:cs="Times"/>
          <w:sz w:val="24"/>
          <w:szCs w:val="24"/>
        </w:rPr>
      </w:pPr>
      <w:r w:rsidRPr="00D50C7B">
        <w:rPr>
          <w:rFonts w:eastAsiaTheme="minorHAnsi" w:cs="Arial"/>
          <w:snapToGrid/>
          <w:kern w:val="0"/>
          <w:sz w:val="24"/>
          <w:szCs w:val="22"/>
        </w:rPr>
        <w:t xml:space="preserve">Just as eligibility should not be limited to one large incumbent, it should be expansive enough to embrace </w:t>
      </w:r>
      <w:r w:rsidR="005D0C09" w:rsidRPr="008A358B">
        <w:rPr>
          <w:rFonts w:eastAsiaTheme="minorHAnsi" w:cs="Arial"/>
          <w:i/>
          <w:snapToGrid/>
          <w:kern w:val="0"/>
          <w:sz w:val="24"/>
          <w:szCs w:val="22"/>
        </w:rPr>
        <w:t>all</w:t>
      </w:r>
      <w:r w:rsidRPr="00D50C7B">
        <w:rPr>
          <w:rFonts w:eastAsiaTheme="minorHAnsi" w:cs="Arial"/>
          <w:snapToGrid/>
          <w:kern w:val="0"/>
          <w:sz w:val="24"/>
          <w:szCs w:val="22"/>
        </w:rPr>
        <w:t xml:space="preserve"> incumbents who currently own spectrum in the band.</w:t>
      </w:r>
      <w:r w:rsidR="000F726F" w:rsidRPr="00D50C7B">
        <w:rPr>
          <w:rFonts w:eastAsiaTheme="minorHAnsi" w:cs="Arial"/>
          <w:snapToGrid/>
          <w:kern w:val="0"/>
          <w:sz w:val="24"/>
          <w:szCs w:val="22"/>
        </w:rPr>
        <w:t xml:space="preserve">  </w:t>
      </w:r>
      <w:r w:rsidR="008F4E52">
        <w:rPr>
          <w:rFonts w:ascii="Times" w:hAnsi="Times" w:cs="Times"/>
          <w:sz w:val="24"/>
          <w:szCs w:val="24"/>
        </w:rPr>
        <w:t>Given the high-level importance of grid modernization in the decade ahead,</w:t>
      </w:r>
      <w:r w:rsidR="00D50C7B" w:rsidRPr="00D50C7B">
        <w:rPr>
          <w:rFonts w:ascii="Times" w:hAnsi="Times" w:cs="Times"/>
          <w:sz w:val="24"/>
          <w:szCs w:val="24"/>
        </w:rPr>
        <w:t xml:space="preserve"> all utilities that </w:t>
      </w:r>
      <w:r w:rsidR="005D0C09">
        <w:rPr>
          <w:rFonts w:ascii="Times" w:hAnsi="Times" w:cs="Times"/>
          <w:sz w:val="24"/>
          <w:szCs w:val="24"/>
        </w:rPr>
        <w:t>hold 900 MHz Band spectrum</w:t>
      </w:r>
      <w:r w:rsidR="00D50C7B" w:rsidRPr="00D50C7B">
        <w:rPr>
          <w:rFonts w:ascii="Times" w:hAnsi="Times" w:cs="Times"/>
          <w:sz w:val="24"/>
          <w:szCs w:val="24"/>
        </w:rPr>
        <w:t xml:space="preserve"> </w:t>
      </w:r>
      <w:r w:rsidR="008F4E52">
        <w:rPr>
          <w:rFonts w:ascii="Times" w:hAnsi="Times" w:cs="Times"/>
          <w:sz w:val="24"/>
          <w:szCs w:val="24"/>
        </w:rPr>
        <w:t xml:space="preserve">should </w:t>
      </w:r>
      <w:r w:rsidR="00D50C7B" w:rsidRPr="00D50C7B">
        <w:rPr>
          <w:rFonts w:ascii="Times" w:hAnsi="Times" w:cs="Times"/>
          <w:sz w:val="24"/>
          <w:szCs w:val="24"/>
        </w:rPr>
        <w:t>have the opportunity to acquire broadband licenses.</w:t>
      </w:r>
    </w:p>
    <w:p w:rsidR="008F4E52" w:rsidRPr="008F4E52" w:rsidRDefault="008F4E52" w:rsidP="008F4E52">
      <w:pPr>
        <w:pStyle w:val="ListParagraph"/>
        <w:rPr>
          <w:rFonts w:ascii="Times" w:hAnsi="Times" w:cs="Times"/>
          <w:sz w:val="24"/>
          <w:szCs w:val="24"/>
        </w:rPr>
      </w:pPr>
    </w:p>
    <w:p w:rsidR="009649E5" w:rsidRDefault="00605CF4" w:rsidP="00C316BD">
      <w:pPr>
        <w:pStyle w:val="ListParagraph"/>
        <w:keepNext/>
        <w:keepLines/>
        <w:widowControl/>
        <w:numPr>
          <w:ilvl w:val="0"/>
          <w:numId w:val="6"/>
        </w:numPr>
        <w:ind w:left="1080"/>
        <w:outlineLvl w:val="1"/>
        <w:rPr>
          <w:rFonts w:eastAsiaTheme="minorHAnsi" w:cs="Arial"/>
          <w:snapToGrid/>
          <w:kern w:val="0"/>
          <w:sz w:val="24"/>
          <w:szCs w:val="22"/>
        </w:rPr>
      </w:pPr>
      <w:bookmarkStart w:id="7" w:name="_Toc10204865"/>
      <w:r w:rsidRPr="009649E5">
        <w:rPr>
          <w:rFonts w:eastAsiaTheme="minorHAnsi" w:cs="Arial"/>
          <w:b/>
          <w:snapToGrid/>
          <w:kern w:val="0"/>
          <w:sz w:val="24"/>
          <w:szCs w:val="22"/>
          <w:u w:val="single"/>
        </w:rPr>
        <w:lastRenderedPageBreak/>
        <w:t>The Spectrum Aggregation Process</w:t>
      </w:r>
      <w:bookmarkEnd w:id="7"/>
    </w:p>
    <w:p w:rsidR="00B50F0F" w:rsidRDefault="00605CF4" w:rsidP="00C316BD">
      <w:pPr>
        <w:keepNext/>
        <w:keepLines/>
        <w:autoSpaceDE w:val="0"/>
        <w:autoSpaceDN w:val="0"/>
        <w:adjustRightInd w:val="0"/>
        <w:spacing w:before="240" w:after="240" w:line="480" w:lineRule="auto"/>
        <w:rPr>
          <w:rFonts w:eastAsiaTheme="minorHAnsi" w:cs="Arial"/>
          <w:snapToGrid/>
          <w:kern w:val="0"/>
          <w:sz w:val="24"/>
          <w:szCs w:val="22"/>
        </w:rPr>
      </w:pPr>
      <w:r>
        <w:rPr>
          <w:rFonts w:eastAsiaTheme="minorHAnsi" w:cs="Arial"/>
          <w:snapToGrid/>
          <w:kern w:val="0"/>
          <w:sz w:val="24"/>
          <w:szCs w:val="22"/>
        </w:rPr>
        <w:tab/>
        <w:t xml:space="preserve">SCE supports the Commission’s proposal to allow a period of voluntary negotiation </w:t>
      </w:r>
      <w:r w:rsidR="00507EA3">
        <w:rPr>
          <w:rFonts w:eastAsiaTheme="minorHAnsi" w:cs="Arial"/>
          <w:snapToGrid/>
          <w:kern w:val="0"/>
          <w:sz w:val="24"/>
          <w:szCs w:val="22"/>
        </w:rPr>
        <w:t xml:space="preserve">whereby eligible entities can attempt to clear incumbents from the 900 MHz band by a combination of relocation or buyout agreements with other incumbents, return of spectrum to the Commission, and release of spectrum held by the </w:t>
      </w:r>
      <w:r w:rsidR="00E352AA">
        <w:rPr>
          <w:rFonts w:eastAsiaTheme="minorHAnsi" w:cs="Arial"/>
          <w:snapToGrid/>
          <w:kern w:val="0"/>
          <w:sz w:val="24"/>
          <w:szCs w:val="22"/>
        </w:rPr>
        <w:t>Commission</w:t>
      </w:r>
      <w:r w:rsidR="00507EA3">
        <w:rPr>
          <w:rFonts w:eastAsiaTheme="minorHAnsi" w:cs="Arial"/>
          <w:snapToGrid/>
          <w:kern w:val="0"/>
          <w:sz w:val="24"/>
          <w:szCs w:val="22"/>
        </w:rPr>
        <w:t xml:space="preserve"> from inventory.  SCE </w:t>
      </w:r>
      <w:r w:rsidR="00E352AA">
        <w:rPr>
          <w:rFonts w:eastAsiaTheme="minorHAnsi" w:cs="Arial"/>
          <w:snapToGrid/>
          <w:kern w:val="0"/>
          <w:sz w:val="24"/>
          <w:szCs w:val="22"/>
        </w:rPr>
        <w:t>further</w:t>
      </w:r>
      <w:r w:rsidR="00507EA3">
        <w:rPr>
          <w:rFonts w:eastAsiaTheme="minorHAnsi" w:cs="Arial"/>
          <w:snapToGrid/>
          <w:kern w:val="0"/>
          <w:sz w:val="24"/>
          <w:szCs w:val="22"/>
        </w:rPr>
        <w:t xml:space="preserve"> supports the two year time period proposed by the Commission to accomplish this process, since in some markets like </w:t>
      </w:r>
      <w:r w:rsidR="008F4E52">
        <w:rPr>
          <w:rFonts w:eastAsiaTheme="minorHAnsi" w:cs="Arial"/>
          <w:snapToGrid/>
          <w:kern w:val="0"/>
          <w:sz w:val="24"/>
          <w:szCs w:val="22"/>
        </w:rPr>
        <w:t xml:space="preserve">greater </w:t>
      </w:r>
      <w:r w:rsidR="00507EA3">
        <w:rPr>
          <w:rFonts w:eastAsiaTheme="minorHAnsi" w:cs="Arial"/>
          <w:snapToGrid/>
          <w:kern w:val="0"/>
          <w:sz w:val="24"/>
          <w:szCs w:val="22"/>
        </w:rPr>
        <w:t>Los Angeles, there are many individual B/ILT licensees who will need to be cleared.  While expedition of the process is important, SCE feels that two years may well be necessary</w:t>
      </w:r>
      <w:r w:rsidR="00B50F0F">
        <w:rPr>
          <w:rFonts w:eastAsiaTheme="minorHAnsi" w:cs="Arial"/>
          <w:snapToGrid/>
          <w:kern w:val="0"/>
          <w:sz w:val="24"/>
          <w:szCs w:val="22"/>
        </w:rPr>
        <w:t xml:space="preserve"> to accomplish this complex task.  Any further negotia</w:t>
      </w:r>
      <w:r w:rsidR="00E352AA">
        <w:rPr>
          <w:rFonts w:eastAsiaTheme="minorHAnsi" w:cs="Arial"/>
          <w:snapToGrid/>
          <w:kern w:val="0"/>
          <w:sz w:val="24"/>
          <w:szCs w:val="22"/>
        </w:rPr>
        <w:t>ti</w:t>
      </w:r>
      <w:r w:rsidR="00B50F0F">
        <w:rPr>
          <w:rFonts w:eastAsiaTheme="minorHAnsi" w:cs="Arial"/>
          <w:snapToGrid/>
          <w:kern w:val="0"/>
          <w:sz w:val="24"/>
          <w:szCs w:val="22"/>
        </w:rPr>
        <w:t xml:space="preserve">on after that point would probably be useless.  Finally, SCE supports county-based broadband licenses rather than larger </w:t>
      </w:r>
      <w:r w:rsidR="00E352AA">
        <w:rPr>
          <w:rFonts w:eastAsiaTheme="minorHAnsi" w:cs="Arial"/>
          <w:snapToGrid/>
          <w:kern w:val="0"/>
          <w:sz w:val="24"/>
          <w:szCs w:val="22"/>
        </w:rPr>
        <w:t>a</w:t>
      </w:r>
      <w:r w:rsidR="00B50F0F">
        <w:rPr>
          <w:rFonts w:eastAsiaTheme="minorHAnsi" w:cs="Arial"/>
          <w:snapToGrid/>
          <w:kern w:val="0"/>
          <w:sz w:val="24"/>
          <w:szCs w:val="22"/>
        </w:rPr>
        <w:t xml:space="preserve">reas such as MTAs.  Larger areas would in some ways simplify the clearing process </w:t>
      </w:r>
      <w:r w:rsidR="002C4F18">
        <w:rPr>
          <w:rFonts w:eastAsiaTheme="minorHAnsi" w:cs="Arial"/>
          <w:snapToGrid/>
          <w:kern w:val="0"/>
          <w:sz w:val="24"/>
          <w:szCs w:val="22"/>
        </w:rPr>
        <w:t xml:space="preserve">for very large utilities such as itself, but in many parts of the country MTAs would be far larger territories than smaller utilities would ever need, so an MTA-sized license would be a burden rather than a benefit. </w:t>
      </w:r>
    </w:p>
    <w:p w:rsidR="00AC5BC7" w:rsidRDefault="00B50F0F" w:rsidP="009649E5">
      <w:pPr>
        <w:autoSpaceDE w:val="0"/>
        <w:autoSpaceDN w:val="0"/>
        <w:adjustRightInd w:val="0"/>
        <w:spacing w:before="240" w:after="240" w:line="480" w:lineRule="auto"/>
        <w:rPr>
          <w:rFonts w:ascii="Times" w:hAnsi="Times" w:cs="Times"/>
          <w:sz w:val="24"/>
          <w:szCs w:val="24"/>
        </w:rPr>
      </w:pPr>
      <w:r>
        <w:rPr>
          <w:rFonts w:eastAsiaTheme="minorHAnsi" w:cs="Arial"/>
          <w:snapToGrid/>
          <w:kern w:val="0"/>
          <w:sz w:val="24"/>
          <w:szCs w:val="22"/>
        </w:rPr>
        <w:tab/>
        <w:t xml:space="preserve">Several other measures would likely make the </w:t>
      </w:r>
      <w:r w:rsidR="00054575">
        <w:rPr>
          <w:rFonts w:eastAsiaTheme="minorHAnsi" w:cs="Arial"/>
          <w:snapToGrid/>
          <w:kern w:val="0"/>
          <w:sz w:val="24"/>
          <w:szCs w:val="22"/>
        </w:rPr>
        <w:t xml:space="preserve">voluntary </w:t>
      </w:r>
      <w:r>
        <w:rPr>
          <w:rFonts w:eastAsiaTheme="minorHAnsi" w:cs="Arial"/>
          <w:snapToGrid/>
          <w:kern w:val="0"/>
          <w:sz w:val="24"/>
          <w:szCs w:val="22"/>
        </w:rPr>
        <w:t xml:space="preserve">process more likely to succeed.  </w:t>
      </w:r>
      <w:r w:rsidR="0014308D">
        <w:rPr>
          <w:rFonts w:eastAsiaTheme="minorHAnsi" w:cs="Arial"/>
          <w:snapToGrid/>
          <w:kern w:val="0"/>
          <w:sz w:val="24"/>
          <w:szCs w:val="22"/>
        </w:rPr>
        <w:t xml:space="preserve">(i) </w:t>
      </w:r>
      <w:r>
        <w:rPr>
          <w:rFonts w:eastAsiaTheme="minorHAnsi" w:cs="Arial"/>
          <w:snapToGrid/>
          <w:kern w:val="0"/>
          <w:sz w:val="24"/>
          <w:szCs w:val="22"/>
        </w:rPr>
        <w:t xml:space="preserve">First, </w:t>
      </w:r>
      <w:r>
        <w:rPr>
          <w:rFonts w:ascii="Times" w:hAnsi="Times" w:cs="Times"/>
          <w:sz w:val="24"/>
          <w:szCs w:val="24"/>
        </w:rPr>
        <w:t>t</w:t>
      </w:r>
      <w:r w:rsidRPr="00B50F0F">
        <w:rPr>
          <w:rFonts w:ascii="Times" w:hAnsi="Times" w:cs="Times"/>
          <w:sz w:val="24"/>
          <w:szCs w:val="24"/>
        </w:rPr>
        <w:t xml:space="preserve">he FCC should be able to issue as much spectrum </w:t>
      </w:r>
      <w:r w:rsidR="002C4F18">
        <w:rPr>
          <w:rFonts w:ascii="Times" w:hAnsi="Times" w:cs="Times"/>
          <w:sz w:val="24"/>
          <w:szCs w:val="24"/>
        </w:rPr>
        <w:t xml:space="preserve">from inventory </w:t>
      </w:r>
      <w:r w:rsidRPr="00B50F0F">
        <w:rPr>
          <w:rFonts w:ascii="Times" w:hAnsi="Times" w:cs="Times"/>
          <w:sz w:val="24"/>
          <w:szCs w:val="24"/>
        </w:rPr>
        <w:t xml:space="preserve">as necessary to </w:t>
      </w:r>
      <w:r w:rsidR="002C4F18">
        <w:rPr>
          <w:rFonts w:ascii="Times" w:hAnsi="Times" w:cs="Times"/>
          <w:sz w:val="24"/>
          <w:szCs w:val="24"/>
        </w:rPr>
        <w:t>comprise a full 3 x 3 MHz channel allotment, provided the</w:t>
      </w:r>
      <w:r w:rsidRPr="00B50F0F">
        <w:rPr>
          <w:rFonts w:ascii="Times" w:hAnsi="Times" w:cs="Times"/>
          <w:sz w:val="24"/>
          <w:szCs w:val="24"/>
        </w:rPr>
        <w:t xml:space="preserve"> broadband applicant has </w:t>
      </w:r>
      <w:r w:rsidR="002C4F18">
        <w:rPr>
          <w:rFonts w:ascii="Times" w:hAnsi="Times" w:cs="Times"/>
          <w:sz w:val="24"/>
          <w:szCs w:val="24"/>
        </w:rPr>
        <w:t xml:space="preserve">reached agreements to clear at least </w:t>
      </w:r>
      <w:r w:rsidR="00B15B79">
        <w:rPr>
          <w:rFonts w:ascii="Times" w:hAnsi="Times" w:cs="Times"/>
          <w:sz w:val="24"/>
          <w:szCs w:val="24"/>
        </w:rPr>
        <w:t>1.4</w:t>
      </w:r>
      <w:r w:rsidR="002C4F18">
        <w:rPr>
          <w:rFonts w:ascii="Times" w:hAnsi="Times" w:cs="Times"/>
          <w:sz w:val="24"/>
          <w:szCs w:val="24"/>
        </w:rPr>
        <w:t xml:space="preserve"> </w:t>
      </w:r>
      <w:r w:rsidR="00B15B79">
        <w:rPr>
          <w:rFonts w:ascii="Times" w:hAnsi="Times" w:cs="Times"/>
          <w:sz w:val="24"/>
          <w:szCs w:val="24"/>
        </w:rPr>
        <w:t xml:space="preserve">x 1.4 </w:t>
      </w:r>
      <w:r w:rsidR="002C4F18">
        <w:rPr>
          <w:rFonts w:ascii="Times" w:hAnsi="Times" w:cs="Times"/>
          <w:sz w:val="24"/>
          <w:szCs w:val="24"/>
        </w:rPr>
        <w:t>MHz of bandwidth in the market</w:t>
      </w:r>
      <w:r w:rsidRPr="00B50F0F">
        <w:rPr>
          <w:rFonts w:ascii="Times" w:hAnsi="Times" w:cs="Times"/>
          <w:sz w:val="24"/>
          <w:szCs w:val="24"/>
        </w:rPr>
        <w:t xml:space="preserve">.  This can be more than </w:t>
      </w:r>
      <w:r w:rsidRPr="00B15B79">
        <w:rPr>
          <w:rFonts w:ascii="Times" w:hAnsi="Times" w:cs="Times"/>
          <w:sz w:val="24"/>
          <w:szCs w:val="24"/>
        </w:rPr>
        <w:t xml:space="preserve">1 </w:t>
      </w:r>
      <w:r w:rsidR="00E352AA" w:rsidRPr="00B15B79">
        <w:rPr>
          <w:rFonts w:ascii="Times" w:hAnsi="Times" w:cs="Times"/>
          <w:sz w:val="24"/>
          <w:szCs w:val="24"/>
        </w:rPr>
        <w:t>MHz.</w:t>
      </w:r>
      <w:r w:rsidRPr="00B50F0F">
        <w:rPr>
          <w:rFonts w:ascii="Times" w:hAnsi="Times" w:cs="Times"/>
          <w:sz w:val="24"/>
          <w:szCs w:val="24"/>
        </w:rPr>
        <w:t xml:space="preserve">  </w:t>
      </w:r>
    </w:p>
    <w:p w:rsidR="00AC5BC7" w:rsidRDefault="0014308D" w:rsidP="009649E5">
      <w:pPr>
        <w:autoSpaceDE w:val="0"/>
        <w:autoSpaceDN w:val="0"/>
        <w:adjustRightInd w:val="0"/>
        <w:spacing w:before="240" w:after="240" w:line="480" w:lineRule="auto"/>
        <w:rPr>
          <w:rFonts w:ascii="Times" w:hAnsi="Times" w:cs="Times"/>
          <w:sz w:val="24"/>
          <w:szCs w:val="24"/>
        </w:rPr>
      </w:pPr>
      <w:r>
        <w:rPr>
          <w:rFonts w:ascii="Times" w:hAnsi="Times" w:cs="Times"/>
          <w:sz w:val="24"/>
          <w:szCs w:val="24"/>
        </w:rPr>
        <w:t xml:space="preserve">(ii) </w:t>
      </w:r>
      <w:r w:rsidR="002C4F18">
        <w:rPr>
          <w:rFonts w:ascii="Times" w:hAnsi="Times" w:cs="Times"/>
          <w:sz w:val="24"/>
          <w:szCs w:val="24"/>
        </w:rPr>
        <w:t xml:space="preserve">Second, the </w:t>
      </w:r>
      <w:r w:rsidR="00E352AA">
        <w:rPr>
          <w:rFonts w:ascii="Times" w:hAnsi="Times" w:cs="Times"/>
          <w:sz w:val="24"/>
          <w:szCs w:val="24"/>
        </w:rPr>
        <w:t>Commission</w:t>
      </w:r>
      <w:r w:rsidR="002C4F18">
        <w:rPr>
          <w:rFonts w:ascii="Times" w:hAnsi="Times" w:cs="Times"/>
          <w:sz w:val="24"/>
          <w:szCs w:val="24"/>
        </w:rPr>
        <w:t xml:space="preserve"> should allow </w:t>
      </w:r>
      <w:r w:rsidR="00BD63D7">
        <w:rPr>
          <w:rFonts w:ascii="Times" w:hAnsi="Times" w:cs="Times"/>
          <w:sz w:val="24"/>
          <w:szCs w:val="24"/>
        </w:rPr>
        <w:t xml:space="preserve">license </w:t>
      </w:r>
      <w:r w:rsidR="002C4F18">
        <w:rPr>
          <w:rFonts w:ascii="Times" w:hAnsi="Times" w:cs="Times"/>
          <w:sz w:val="24"/>
          <w:szCs w:val="24"/>
        </w:rPr>
        <w:t xml:space="preserve">relocations agreed to by the parties to take place over a period of not </w:t>
      </w:r>
      <w:r w:rsidR="00B15B79">
        <w:rPr>
          <w:rFonts w:ascii="Times" w:hAnsi="Times" w:cs="Times"/>
          <w:sz w:val="24"/>
          <w:szCs w:val="24"/>
        </w:rPr>
        <w:t>less</w:t>
      </w:r>
      <w:r w:rsidR="002C4F18">
        <w:rPr>
          <w:rFonts w:ascii="Times" w:hAnsi="Times" w:cs="Times"/>
          <w:sz w:val="24"/>
          <w:szCs w:val="24"/>
        </w:rPr>
        <w:t xml:space="preserve"> than </w:t>
      </w:r>
      <w:r w:rsidR="002C4F18" w:rsidRPr="00B15B79">
        <w:rPr>
          <w:rFonts w:ascii="Times" w:hAnsi="Times" w:cs="Times"/>
          <w:sz w:val="24"/>
          <w:szCs w:val="24"/>
        </w:rPr>
        <w:t>five years</w:t>
      </w:r>
      <w:r w:rsidR="002C4F18">
        <w:rPr>
          <w:rFonts w:ascii="Times" w:hAnsi="Times" w:cs="Times"/>
          <w:sz w:val="24"/>
          <w:szCs w:val="24"/>
        </w:rPr>
        <w:t xml:space="preserve"> to accommodate the </w:t>
      </w:r>
      <w:r w:rsidR="00BD63D7">
        <w:rPr>
          <w:rFonts w:ascii="Times" w:hAnsi="Times" w:cs="Times"/>
          <w:sz w:val="24"/>
          <w:szCs w:val="24"/>
        </w:rPr>
        <w:t xml:space="preserve">long term </w:t>
      </w:r>
      <w:r w:rsidR="002C4F18">
        <w:rPr>
          <w:rFonts w:ascii="Times" w:hAnsi="Times" w:cs="Times"/>
          <w:sz w:val="24"/>
          <w:szCs w:val="24"/>
        </w:rPr>
        <w:t xml:space="preserve">amortization requirement noted above to which many utilities are subject.  </w:t>
      </w:r>
    </w:p>
    <w:p w:rsidR="00AC5BC7" w:rsidRDefault="0014308D" w:rsidP="009649E5">
      <w:pPr>
        <w:autoSpaceDE w:val="0"/>
        <w:autoSpaceDN w:val="0"/>
        <w:adjustRightInd w:val="0"/>
        <w:spacing w:before="240" w:after="240" w:line="480" w:lineRule="auto"/>
        <w:rPr>
          <w:rFonts w:ascii="Times" w:hAnsi="Times" w:cs="Times"/>
          <w:sz w:val="24"/>
          <w:szCs w:val="24"/>
        </w:rPr>
      </w:pPr>
      <w:r>
        <w:rPr>
          <w:rFonts w:ascii="Times" w:hAnsi="Times" w:cs="Times"/>
          <w:sz w:val="24"/>
          <w:szCs w:val="24"/>
        </w:rPr>
        <w:lastRenderedPageBreak/>
        <w:t xml:space="preserve">(iii) </w:t>
      </w:r>
      <w:r w:rsidR="002C4F18">
        <w:rPr>
          <w:rFonts w:ascii="Times" w:hAnsi="Times" w:cs="Times"/>
          <w:sz w:val="24"/>
          <w:szCs w:val="24"/>
        </w:rPr>
        <w:t xml:space="preserve">Third, the current freeze on new or substantially modified 900 MHz licenses </w:t>
      </w:r>
      <w:r w:rsidR="00996C57">
        <w:rPr>
          <w:rFonts w:ascii="Times" w:hAnsi="Times" w:cs="Times"/>
          <w:sz w:val="24"/>
          <w:szCs w:val="24"/>
        </w:rPr>
        <w:t>sh</w:t>
      </w:r>
      <w:r w:rsidR="002C4F18">
        <w:rPr>
          <w:rFonts w:ascii="Times" w:hAnsi="Times" w:cs="Times"/>
          <w:sz w:val="24"/>
          <w:szCs w:val="24"/>
        </w:rPr>
        <w:t xml:space="preserve">ould be continued until the broadband </w:t>
      </w:r>
      <w:r w:rsidR="00996C57">
        <w:rPr>
          <w:rFonts w:ascii="Times" w:hAnsi="Times" w:cs="Times"/>
          <w:sz w:val="24"/>
          <w:szCs w:val="24"/>
        </w:rPr>
        <w:t>transition</w:t>
      </w:r>
      <w:r w:rsidR="002C4F18">
        <w:rPr>
          <w:rFonts w:ascii="Times" w:hAnsi="Times" w:cs="Times"/>
          <w:sz w:val="24"/>
          <w:szCs w:val="24"/>
        </w:rPr>
        <w:t xml:space="preserve"> period is complete. </w:t>
      </w:r>
      <w:r w:rsidR="00BD63D7">
        <w:rPr>
          <w:rFonts w:ascii="Times" w:hAnsi="Times" w:cs="Times"/>
          <w:sz w:val="24"/>
          <w:szCs w:val="24"/>
        </w:rPr>
        <w:t xml:space="preserve"> This will prevent new </w:t>
      </w:r>
      <w:r w:rsidR="00996C57">
        <w:rPr>
          <w:rFonts w:ascii="Times" w:hAnsi="Times" w:cs="Times"/>
          <w:sz w:val="24"/>
          <w:szCs w:val="24"/>
        </w:rPr>
        <w:t>or modified licens</w:t>
      </w:r>
      <w:r w:rsidR="00E352AA">
        <w:rPr>
          <w:rFonts w:ascii="Times" w:hAnsi="Times" w:cs="Times"/>
          <w:sz w:val="24"/>
          <w:szCs w:val="24"/>
        </w:rPr>
        <w:t>es</w:t>
      </w:r>
      <w:r w:rsidR="00BD63D7">
        <w:rPr>
          <w:rFonts w:ascii="Times" w:hAnsi="Times" w:cs="Times"/>
          <w:sz w:val="24"/>
          <w:szCs w:val="24"/>
        </w:rPr>
        <w:t xml:space="preserve"> from complicating the ongoing clearing process. </w:t>
      </w:r>
    </w:p>
    <w:p w:rsidR="00AC5BC7" w:rsidRDefault="0014308D" w:rsidP="009649E5">
      <w:pPr>
        <w:autoSpaceDE w:val="0"/>
        <w:autoSpaceDN w:val="0"/>
        <w:adjustRightInd w:val="0"/>
        <w:spacing w:before="240" w:after="240" w:line="480" w:lineRule="auto"/>
        <w:rPr>
          <w:rFonts w:ascii="Times" w:hAnsi="Times" w:cs="Times"/>
          <w:sz w:val="24"/>
          <w:szCs w:val="24"/>
        </w:rPr>
      </w:pPr>
      <w:r>
        <w:rPr>
          <w:rFonts w:ascii="Times" w:hAnsi="Times" w:cs="Times"/>
          <w:sz w:val="24"/>
          <w:szCs w:val="24"/>
        </w:rPr>
        <w:t xml:space="preserve">(iv) </w:t>
      </w:r>
      <w:r w:rsidR="002C4F18">
        <w:rPr>
          <w:rFonts w:ascii="Times" w:hAnsi="Times" w:cs="Times"/>
          <w:sz w:val="24"/>
          <w:szCs w:val="24"/>
        </w:rPr>
        <w:t xml:space="preserve">Fourth, </w:t>
      </w:r>
      <w:r w:rsidR="00B65424">
        <w:rPr>
          <w:rFonts w:ascii="Times" w:hAnsi="Times" w:cs="Times"/>
          <w:sz w:val="24"/>
          <w:szCs w:val="24"/>
        </w:rPr>
        <w:t xml:space="preserve">SMR licenses that fail to meet and maintain performance requirements or whose licenses come up for expiration </w:t>
      </w:r>
      <w:r w:rsidR="00D50C7B">
        <w:rPr>
          <w:rFonts w:ascii="Times" w:hAnsi="Times" w:cs="Times"/>
          <w:sz w:val="24"/>
          <w:szCs w:val="24"/>
        </w:rPr>
        <w:t xml:space="preserve">during the relocations process </w:t>
      </w:r>
      <w:r w:rsidR="00B65424">
        <w:rPr>
          <w:rFonts w:ascii="Times" w:hAnsi="Times" w:cs="Times"/>
          <w:sz w:val="24"/>
          <w:szCs w:val="24"/>
        </w:rPr>
        <w:t xml:space="preserve">would not be allowed to renew them.   </w:t>
      </w:r>
      <w:r w:rsidR="00BD63D7">
        <w:rPr>
          <w:rFonts w:ascii="Times" w:hAnsi="Times" w:cs="Times"/>
          <w:sz w:val="24"/>
          <w:szCs w:val="24"/>
        </w:rPr>
        <w:t xml:space="preserve">This is consistent with the statutory principle that no licensee has an </w:t>
      </w:r>
      <w:r w:rsidR="00E352AA">
        <w:rPr>
          <w:rFonts w:ascii="Times" w:hAnsi="Times" w:cs="Times"/>
          <w:sz w:val="24"/>
          <w:szCs w:val="24"/>
        </w:rPr>
        <w:t>ownership</w:t>
      </w:r>
      <w:r w:rsidR="00BD63D7">
        <w:rPr>
          <w:rFonts w:ascii="Times" w:hAnsi="Times" w:cs="Times"/>
          <w:sz w:val="24"/>
          <w:szCs w:val="24"/>
        </w:rPr>
        <w:t xml:space="preserve"> right in its </w:t>
      </w:r>
      <w:r w:rsidR="00E352AA">
        <w:rPr>
          <w:rFonts w:ascii="Times" w:hAnsi="Times" w:cs="Times"/>
          <w:sz w:val="24"/>
          <w:szCs w:val="24"/>
        </w:rPr>
        <w:t>license</w:t>
      </w:r>
      <w:r w:rsidR="00BD63D7">
        <w:rPr>
          <w:rFonts w:ascii="Times" w:hAnsi="Times" w:cs="Times"/>
          <w:sz w:val="24"/>
          <w:szCs w:val="24"/>
        </w:rPr>
        <w:t xml:space="preserve"> beyond its term, so no licensee can have a legal expectation to hold a license beyond that date.</w:t>
      </w:r>
      <w:r w:rsidR="00D50C7B">
        <w:rPr>
          <w:rStyle w:val="FootnoteReference"/>
          <w:rFonts w:ascii="Times" w:hAnsi="Times" w:cs="Times"/>
          <w:sz w:val="24"/>
          <w:szCs w:val="24"/>
        </w:rPr>
        <w:footnoteReference w:id="2"/>
      </w:r>
      <w:r w:rsidR="00BD63D7">
        <w:rPr>
          <w:rFonts w:ascii="Times" w:hAnsi="Times" w:cs="Times"/>
          <w:sz w:val="24"/>
          <w:szCs w:val="24"/>
        </w:rPr>
        <w:t xml:space="preserve">  </w:t>
      </w:r>
      <w:r>
        <w:rPr>
          <w:rFonts w:ascii="Times" w:hAnsi="Times" w:cs="Times"/>
          <w:sz w:val="24"/>
          <w:szCs w:val="24"/>
        </w:rPr>
        <w:t>The</w:t>
      </w:r>
      <w:r w:rsidR="00D50C7B">
        <w:rPr>
          <w:rFonts w:ascii="Times" w:hAnsi="Times" w:cs="Times"/>
          <w:sz w:val="24"/>
          <w:szCs w:val="24"/>
        </w:rPr>
        <w:t xml:space="preserve"> conce</w:t>
      </w:r>
      <w:r w:rsidR="00BD63D7">
        <w:rPr>
          <w:rFonts w:ascii="Times" w:hAnsi="Times" w:cs="Times"/>
          <w:sz w:val="24"/>
          <w:szCs w:val="24"/>
        </w:rPr>
        <w:t>pt is similar to the “sunsetting” provisions that have been applied to other ser</w:t>
      </w:r>
      <w:r w:rsidR="00054575">
        <w:rPr>
          <w:rFonts w:ascii="Times" w:hAnsi="Times" w:cs="Times"/>
          <w:sz w:val="24"/>
          <w:szCs w:val="24"/>
        </w:rPr>
        <w:t xml:space="preserve">vices such as microwave licenses </w:t>
      </w:r>
      <w:r w:rsidR="004541C0">
        <w:rPr>
          <w:rFonts w:ascii="Times" w:hAnsi="Times" w:cs="Times"/>
          <w:sz w:val="24"/>
          <w:szCs w:val="24"/>
        </w:rPr>
        <w:t>(47 C.F.R. §101.79)</w:t>
      </w:r>
      <w:r w:rsidR="00054575">
        <w:rPr>
          <w:rFonts w:ascii="Times" w:hAnsi="Times" w:cs="Times"/>
          <w:sz w:val="24"/>
          <w:szCs w:val="24"/>
        </w:rPr>
        <w:t xml:space="preserve"> and BRS license</w:t>
      </w:r>
      <w:r w:rsidR="00BD63D7">
        <w:rPr>
          <w:rFonts w:ascii="Times" w:hAnsi="Times" w:cs="Times"/>
          <w:sz w:val="24"/>
          <w:szCs w:val="24"/>
        </w:rPr>
        <w:t xml:space="preserve">s. </w:t>
      </w:r>
      <w:r w:rsidR="004541C0">
        <w:rPr>
          <w:rFonts w:ascii="Times" w:hAnsi="Times" w:cs="Times"/>
          <w:sz w:val="24"/>
          <w:szCs w:val="24"/>
        </w:rPr>
        <w:t xml:space="preserve">(47 C.F.R. §27.1253).  The </w:t>
      </w:r>
      <w:r w:rsidR="00BD63D7">
        <w:rPr>
          <w:rFonts w:ascii="Times" w:hAnsi="Times" w:cs="Times"/>
          <w:sz w:val="24"/>
          <w:szCs w:val="24"/>
        </w:rPr>
        <w:t xml:space="preserve">prospect of losing its license entirely at the end of its term would incentivize </w:t>
      </w:r>
      <w:r>
        <w:rPr>
          <w:rFonts w:ascii="Times" w:hAnsi="Times" w:cs="Times"/>
          <w:sz w:val="24"/>
          <w:szCs w:val="24"/>
        </w:rPr>
        <w:t>holdout</w:t>
      </w:r>
      <w:r w:rsidR="00054575">
        <w:rPr>
          <w:rFonts w:ascii="Times" w:hAnsi="Times" w:cs="Times"/>
          <w:sz w:val="24"/>
          <w:szCs w:val="24"/>
        </w:rPr>
        <w:t xml:space="preserve"> </w:t>
      </w:r>
      <w:r w:rsidR="00BD63D7">
        <w:rPr>
          <w:rFonts w:ascii="Times" w:hAnsi="Times" w:cs="Times"/>
          <w:sz w:val="24"/>
          <w:szCs w:val="24"/>
        </w:rPr>
        <w:t>licensee</w:t>
      </w:r>
      <w:r>
        <w:rPr>
          <w:rFonts w:ascii="Times" w:hAnsi="Times" w:cs="Times"/>
          <w:sz w:val="24"/>
          <w:szCs w:val="24"/>
        </w:rPr>
        <w:t>s</w:t>
      </w:r>
      <w:r w:rsidR="00BD63D7">
        <w:rPr>
          <w:rFonts w:ascii="Times" w:hAnsi="Times" w:cs="Times"/>
          <w:sz w:val="24"/>
          <w:szCs w:val="24"/>
        </w:rPr>
        <w:t xml:space="preserve"> to</w:t>
      </w:r>
      <w:r>
        <w:rPr>
          <w:rFonts w:ascii="Times" w:hAnsi="Times" w:cs="Times"/>
          <w:sz w:val="24"/>
          <w:szCs w:val="24"/>
        </w:rPr>
        <w:t xml:space="preserve"> agree to reasonable relocations</w:t>
      </w:r>
      <w:r w:rsidR="00BD63D7">
        <w:rPr>
          <w:rFonts w:ascii="Times" w:hAnsi="Times" w:cs="Times"/>
          <w:sz w:val="24"/>
          <w:szCs w:val="24"/>
        </w:rPr>
        <w:t xml:space="preserve"> or buy outs before that date.  </w:t>
      </w:r>
      <w:r w:rsidR="00E352AA" w:rsidRPr="00996C57">
        <w:rPr>
          <w:rFonts w:ascii="Times" w:hAnsi="Times" w:cs="Times"/>
          <w:sz w:val="24"/>
          <w:szCs w:val="24"/>
        </w:rPr>
        <w:t>This will also increase the FCC’s inventory in 900 MHz</w:t>
      </w:r>
      <w:r>
        <w:rPr>
          <w:rFonts w:ascii="Times" w:hAnsi="Times" w:cs="Times"/>
          <w:sz w:val="24"/>
          <w:szCs w:val="24"/>
        </w:rPr>
        <w:t>,</w:t>
      </w:r>
      <w:r w:rsidR="00E352AA" w:rsidRPr="00996C57">
        <w:rPr>
          <w:rFonts w:ascii="Times" w:hAnsi="Times" w:cs="Times"/>
          <w:sz w:val="24"/>
          <w:szCs w:val="24"/>
        </w:rPr>
        <w:t xml:space="preserve"> allowing the FCC more options to facilitate the availability of a full 3 x 3 MHz spectrum compliment for broadband applicants.  Incumbents using narrowband channels within the SMR blocks, however, </w:t>
      </w:r>
      <w:r w:rsidR="00054575">
        <w:rPr>
          <w:rFonts w:ascii="Times" w:hAnsi="Times" w:cs="Times"/>
          <w:sz w:val="24"/>
          <w:szCs w:val="24"/>
        </w:rPr>
        <w:t>would</w:t>
      </w:r>
      <w:r w:rsidR="00E352AA" w:rsidRPr="00996C57">
        <w:rPr>
          <w:rFonts w:ascii="Times" w:hAnsi="Times" w:cs="Times"/>
          <w:sz w:val="24"/>
          <w:szCs w:val="24"/>
        </w:rPr>
        <w:t xml:space="preserve"> be relicensed based on B/ILT rules which will ensure uninterrupted service continuity where service actually exists. In 2026, </w:t>
      </w:r>
      <w:r w:rsidR="00054575">
        <w:rPr>
          <w:rFonts w:ascii="Times" w:hAnsi="Times" w:cs="Times"/>
          <w:sz w:val="24"/>
          <w:szCs w:val="24"/>
        </w:rPr>
        <w:t xml:space="preserve">the remaining </w:t>
      </w:r>
      <w:r w:rsidR="00E352AA" w:rsidRPr="00996C57">
        <w:rPr>
          <w:rFonts w:ascii="Times" w:hAnsi="Times" w:cs="Times"/>
          <w:sz w:val="24"/>
          <w:szCs w:val="24"/>
        </w:rPr>
        <w:t xml:space="preserve">SMR licenses </w:t>
      </w:r>
      <w:r w:rsidR="00054575">
        <w:rPr>
          <w:rFonts w:ascii="Times" w:hAnsi="Times" w:cs="Times"/>
          <w:sz w:val="24"/>
          <w:szCs w:val="24"/>
        </w:rPr>
        <w:t>will</w:t>
      </w:r>
      <w:r w:rsidR="00E352AA" w:rsidRPr="00996C57">
        <w:rPr>
          <w:rFonts w:ascii="Times" w:hAnsi="Times" w:cs="Times"/>
          <w:sz w:val="24"/>
          <w:szCs w:val="24"/>
        </w:rPr>
        <w:t xml:space="preserve"> be expiring</w:t>
      </w:r>
      <w:r w:rsidR="00054575">
        <w:rPr>
          <w:rFonts w:ascii="Times" w:hAnsi="Times" w:cs="Times"/>
          <w:sz w:val="24"/>
          <w:szCs w:val="24"/>
        </w:rPr>
        <w:t xml:space="preserve">.   These should not be renewed but instead </w:t>
      </w:r>
      <w:r w:rsidR="00E352AA" w:rsidRPr="00996C57">
        <w:rPr>
          <w:rFonts w:ascii="Times" w:hAnsi="Times" w:cs="Times"/>
          <w:sz w:val="24"/>
          <w:szCs w:val="24"/>
        </w:rPr>
        <w:t>returned to the FCC</w:t>
      </w:r>
      <w:r w:rsidR="00054575">
        <w:rPr>
          <w:rFonts w:ascii="Times" w:hAnsi="Times" w:cs="Times"/>
          <w:sz w:val="24"/>
          <w:szCs w:val="24"/>
        </w:rPr>
        <w:t>.  This looming loss of license should incentivize</w:t>
      </w:r>
      <w:r w:rsidR="00E352AA" w:rsidRPr="00996C57">
        <w:rPr>
          <w:rFonts w:ascii="Times" w:hAnsi="Times" w:cs="Times"/>
          <w:sz w:val="24"/>
          <w:szCs w:val="24"/>
        </w:rPr>
        <w:t xml:space="preserve"> SMR owners to fairly negotiate </w:t>
      </w:r>
      <w:r w:rsidR="00054575">
        <w:rPr>
          <w:rFonts w:ascii="Times" w:hAnsi="Times" w:cs="Times"/>
          <w:sz w:val="24"/>
          <w:szCs w:val="24"/>
        </w:rPr>
        <w:t xml:space="preserve">relocation </w:t>
      </w:r>
      <w:r w:rsidR="00E352AA" w:rsidRPr="00996C57">
        <w:rPr>
          <w:rFonts w:ascii="Times" w:hAnsi="Times" w:cs="Times"/>
          <w:sz w:val="24"/>
          <w:szCs w:val="24"/>
        </w:rPr>
        <w:t>without the motivation of a windfall.</w:t>
      </w:r>
      <w:r w:rsidR="00996C57">
        <w:rPr>
          <w:rFonts w:ascii="Times" w:hAnsi="Times" w:cs="Times"/>
          <w:sz w:val="24"/>
          <w:szCs w:val="24"/>
        </w:rPr>
        <w:t xml:space="preserve">  </w:t>
      </w:r>
    </w:p>
    <w:p w:rsidR="00AC5BC7" w:rsidRDefault="00AC5BC7" w:rsidP="009649E5">
      <w:pPr>
        <w:autoSpaceDE w:val="0"/>
        <w:autoSpaceDN w:val="0"/>
        <w:adjustRightInd w:val="0"/>
        <w:spacing w:before="240" w:after="240" w:line="480" w:lineRule="auto"/>
        <w:rPr>
          <w:rFonts w:ascii="Times" w:hAnsi="Times" w:cs="Times"/>
          <w:sz w:val="24"/>
          <w:szCs w:val="24"/>
        </w:rPr>
      </w:pPr>
      <w:r>
        <w:rPr>
          <w:rFonts w:ascii="Times" w:hAnsi="Times" w:cs="Times"/>
          <w:sz w:val="24"/>
          <w:szCs w:val="24"/>
        </w:rPr>
        <w:t xml:space="preserve">(v) </w:t>
      </w:r>
      <w:r w:rsidR="00BD63D7">
        <w:rPr>
          <w:rFonts w:ascii="Times" w:hAnsi="Times" w:cs="Times"/>
          <w:sz w:val="24"/>
          <w:szCs w:val="24"/>
        </w:rPr>
        <w:t>Fifth, b</w:t>
      </w:r>
      <w:r w:rsidR="00B65424">
        <w:rPr>
          <w:rFonts w:ascii="Times" w:hAnsi="Times" w:cs="Times"/>
          <w:sz w:val="24"/>
          <w:szCs w:val="24"/>
        </w:rPr>
        <w:t xml:space="preserve">roadband applicants would </w:t>
      </w:r>
      <w:r w:rsidR="00B15B79">
        <w:rPr>
          <w:rFonts w:ascii="Times" w:hAnsi="Times" w:cs="Times"/>
          <w:sz w:val="24"/>
          <w:szCs w:val="24"/>
        </w:rPr>
        <w:t>provide a schedule</w:t>
      </w:r>
      <w:r w:rsidR="00B65424">
        <w:rPr>
          <w:rFonts w:ascii="Times" w:hAnsi="Times" w:cs="Times"/>
          <w:sz w:val="24"/>
          <w:szCs w:val="24"/>
        </w:rPr>
        <w:t xml:space="preserve"> to turn in all of their </w:t>
      </w:r>
      <w:r w:rsidR="00BD63D7">
        <w:rPr>
          <w:rFonts w:ascii="Times" w:hAnsi="Times" w:cs="Times"/>
          <w:sz w:val="24"/>
          <w:szCs w:val="24"/>
        </w:rPr>
        <w:t xml:space="preserve">current </w:t>
      </w:r>
      <w:r w:rsidR="00B65424">
        <w:rPr>
          <w:rFonts w:ascii="Times" w:hAnsi="Times" w:cs="Times"/>
          <w:sz w:val="24"/>
          <w:szCs w:val="24"/>
        </w:rPr>
        <w:t>900</w:t>
      </w:r>
      <w:r w:rsidR="00B15B79">
        <w:rPr>
          <w:rFonts w:ascii="Times" w:hAnsi="Times" w:cs="Times"/>
          <w:sz w:val="24"/>
          <w:szCs w:val="24"/>
        </w:rPr>
        <w:t xml:space="preserve"> MHz licenses to the Commission.  This surrender of 900 MHz licenses would have to be completely </w:t>
      </w:r>
      <w:r w:rsidR="00B15B79">
        <w:rPr>
          <w:rFonts w:ascii="Times" w:hAnsi="Times" w:cs="Times"/>
          <w:sz w:val="24"/>
          <w:szCs w:val="24"/>
        </w:rPr>
        <w:lastRenderedPageBreak/>
        <w:t xml:space="preserve">accomplished within the 15 year term of the broadband license but after 5 years </w:t>
      </w:r>
      <w:r w:rsidR="0014308D">
        <w:rPr>
          <w:rFonts w:ascii="Times" w:hAnsi="Times" w:cs="Times"/>
          <w:sz w:val="24"/>
          <w:szCs w:val="24"/>
        </w:rPr>
        <w:t>the broadband licensee would be req</w:t>
      </w:r>
      <w:r>
        <w:rPr>
          <w:rFonts w:ascii="Times" w:hAnsi="Times" w:cs="Times"/>
          <w:sz w:val="24"/>
          <w:szCs w:val="24"/>
        </w:rPr>
        <w:t>u</w:t>
      </w:r>
      <w:r w:rsidR="0014308D">
        <w:rPr>
          <w:rFonts w:ascii="Times" w:hAnsi="Times" w:cs="Times"/>
          <w:sz w:val="24"/>
          <w:szCs w:val="24"/>
        </w:rPr>
        <w:t xml:space="preserve">ired to surrender its remaining narrowband licenses if needed to accommodate new narrowband license applicants.  </w:t>
      </w:r>
      <w:r w:rsidR="00054575">
        <w:rPr>
          <w:rFonts w:ascii="Times" w:hAnsi="Times" w:cs="Times"/>
          <w:sz w:val="24"/>
          <w:szCs w:val="24"/>
        </w:rPr>
        <w:t>Because push-</w:t>
      </w:r>
      <w:r w:rsidR="00A872E4">
        <w:rPr>
          <w:rFonts w:ascii="Times" w:hAnsi="Times" w:cs="Times"/>
          <w:sz w:val="24"/>
          <w:szCs w:val="24"/>
        </w:rPr>
        <w:t>t</w:t>
      </w:r>
      <w:r w:rsidR="00054575">
        <w:rPr>
          <w:rFonts w:ascii="Times" w:hAnsi="Times" w:cs="Times"/>
          <w:sz w:val="24"/>
          <w:szCs w:val="24"/>
        </w:rPr>
        <w:t>o-talk technology is needed for utility dispatch-type applications and is not otherwise reliably available from common carriers, t</w:t>
      </w:r>
      <w:r w:rsidR="00B65424">
        <w:rPr>
          <w:rFonts w:ascii="Times" w:hAnsi="Times" w:cs="Times"/>
          <w:sz w:val="24"/>
          <w:szCs w:val="24"/>
        </w:rPr>
        <w:t xml:space="preserve">hese licenses will </w:t>
      </w:r>
      <w:r w:rsidR="00054575">
        <w:rPr>
          <w:rFonts w:ascii="Times" w:hAnsi="Times" w:cs="Times"/>
          <w:sz w:val="24"/>
          <w:szCs w:val="24"/>
        </w:rPr>
        <w:t xml:space="preserve">continue to </w:t>
      </w:r>
      <w:r w:rsidR="00B65424">
        <w:rPr>
          <w:rFonts w:ascii="Times" w:hAnsi="Times" w:cs="Times"/>
          <w:sz w:val="24"/>
          <w:szCs w:val="24"/>
        </w:rPr>
        <w:t>be needed for vital internal commun</w:t>
      </w:r>
      <w:r w:rsidR="00BD63D7">
        <w:rPr>
          <w:rFonts w:ascii="Times" w:hAnsi="Times" w:cs="Times"/>
          <w:sz w:val="24"/>
          <w:szCs w:val="24"/>
        </w:rPr>
        <w:t xml:space="preserve">ications purposes </w:t>
      </w:r>
      <w:r w:rsidR="00B65424">
        <w:rPr>
          <w:rFonts w:ascii="Times" w:hAnsi="Times" w:cs="Times"/>
          <w:sz w:val="24"/>
          <w:szCs w:val="24"/>
        </w:rPr>
        <w:t>until the broadband channels are fully cleared</w:t>
      </w:r>
      <w:r w:rsidR="00BD63D7">
        <w:rPr>
          <w:rFonts w:ascii="Times" w:hAnsi="Times" w:cs="Times"/>
          <w:sz w:val="24"/>
          <w:szCs w:val="24"/>
        </w:rPr>
        <w:t xml:space="preserve">.  </w:t>
      </w:r>
      <w:r w:rsidR="0014308D">
        <w:rPr>
          <w:rFonts w:ascii="Times" w:hAnsi="Times" w:cs="Times"/>
          <w:sz w:val="24"/>
          <w:szCs w:val="24"/>
        </w:rPr>
        <w:t xml:space="preserve">There is no point in returning them to idle FCC inventory if there is no demand from other users for this spectrum and the broadband licensee is using them constructively, so long as other users have ready access if needed. </w:t>
      </w:r>
    </w:p>
    <w:p w:rsidR="00B50F0F" w:rsidRPr="003020D5" w:rsidRDefault="00AC5BC7" w:rsidP="009649E5">
      <w:pPr>
        <w:autoSpaceDE w:val="0"/>
        <w:autoSpaceDN w:val="0"/>
        <w:adjustRightInd w:val="0"/>
        <w:spacing w:before="240" w:after="240" w:line="480" w:lineRule="auto"/>
        <w:rPr>
          <w:rFonts w:ascii="Times" w:hAnsi="Times" w:cs="Times"/>
        </w:rPr>
      </w:pPr>
      <w:r>
        <w:rPr>
          <w:rFonts w:ascii="Times" w:hAnsi="Times" w:cs="Times"/>
          <w:sz w:val="24"/>
          <w:szCs w:val="24"/>
        </w:rPr>
        <w:t xml:space="preserve">(vi) </w:t>
      </w:r>
      <w:r w:rsidR="0014308D">
        <w:rPr>
          <w:rFonts w:ascii="Times" w:hAnsi="Times" w:cs="Times"/>
          <w:sz w:val="24"/>
          <w:szCs w:val="24"/>
        </w:rPr>
        <w:t>F</w:t>
      </w:r>
      <w:r w:rsidR="00B65424">
        <w:rPr>
          <w:rFonts w:ascii="Times" w:hAnsi="Times" w:cs="Times"/>
          <w:sz w:val="24"/>
          <w:szCs w:val="24"/>
        </w:rPr>
        <w:t xml:space="preserve">inally, SMR licenses </w:t>
      </w:r>
      <w:r w:rsidR="00054575">
        <w:rPr>
          <w:rFonts w:ascii="Times" w:hAnsi="Times" w:cs="Times"/>
          <w:sz w:val="24"/>
          <w:szCs w:val="24"/>
        </w:rPr>
        <w:t xml:space="preserve">should </w:t>
      </w:r>
      <w:r w:rsidR="00BD63D7">
        <w:rPr>
          <w:rFonts w:ascii="Times" w:hAnsi="Times" w:cs="Times"/>
          <w:sz w:val="24"/>
          <w:szCs w:val="24"/>
        </w:rPr>
        <w:t xml:space="preserve">immediately </w:t>
      </w:r>
      <w:r w:rsidR="00B65424">
        <w:rPr>
          <w:rFonts w:ascii="Times" w:hAnsi="Times" w:cs="Times"/>
          <w:sz w:val="24"/>
          <w:szCs w:val="24"/>
        </w:rPr>
        <w:t>be relicensed as individual 12.5 x 12.5 KHz narrowband B/ILT licenses</w:t>
      </w:r>
      <w:r w:rsidR="00BD63D7">
        <w:rPr>
          <w:rFonts w:ascii="Times" w:hAnsi="Times" w:cs="Times"/>
          <w:sz w:val="24"/>
          <w:szCs w:val="24"/>
        </w:rPr>
        <w:t>.   This is consisten</w:t>
      </w:r>
      <w:r w:rsidR="00B65424">
        <w:rPr>
          <w:rFonts w:ascii="Times" w:hAnsi="Times" w:cs="Times"/>
          <w:sz w:val="24"/>
          <w:szCs w:val="24"/>
        </w:rPr>
        <w:t>t with the phas</w:t>
      </w:r>
      <w:r w:rsidR="00054575">
        <w:rPr>
          <w:rFonts w:ascii="Times" w:hAnsi="Times" w:cs="Times"/>
          <w:sz w:val="24"/>
          <w:szCs w:val="24"/>
        </w:rPr>
        <w:t>ed</w:t>
      </w:r>
      <w:r w:rsidR="00B65424">
        <w:rPr>
          <w:rFonts w:ascii="Times" w:hAnsi="Times" w:cs="Times"/>
          <w:sz w:val="24"/>
          <w:szCs w:val="24"/>
        </w:rPr>
        <w:t xml:space="preserve"> out </w:t>
      </w:r>
      <w:r w:rsidR="00273313">
        <w:rPr>
          <w:rFonts w:ascii="Times" w:hAnsi="Times" w:cs="Times"/>
          <w:sz w:val="24"/>
          <w:szCs w:val="24"/>
        </w:rPr>
        <w:t xml:space="preserve">obsolescence </w:t>
      </w:r>
      <w:r w:rsidR="00B65424">
        <w:rPr>
          <w:rFonts w:ascii="Times" w:hAnsi="Times" w:cs="Times"/>
          <w:sz w:val="24"/>
          <w:szCs w:val="24"/>
        </w:rPr>
        <w:t>of</w:t>
      </w:r>
      <w:r w:rsidR="008A358B">
        <w:rPr>
          <w:rFonts w:ascii="Times" w:hAnsi="Times" w:cs="Times"/>
          <w:sz w:val="24"/>
          <w:szCs w:val="24"/>
        </w:rPr>
        <w:t xml:space="preserve"> 900 MHz </w:t>
      </w:r>
      <w:r w:rsidR="00B65424">
        <w:rPr>
          <w:rFonts w:ascii="Times" w:hAnsi="Times" w:cs="Times"/>
          <w:sz w:val="24"/>
          <w:szCs w:val="24"/>
        </w:rPr>
        <w:t xml:space="preserve"> SMR service generally and will al</w:t>
      </w:r>
      <w:r w:rsidR="00BD63D7">
        <w:rPr>
          <w:rFonts w:ascii="Times" w:hAnsi="Times" w:cs="Times"/>
          <w:sz w:val="24"/>
          <w:szCs w:val="24"/>
        </w:rPr>
        <w:t>so si</w:t>
      </w:r>
      <w:r w:rsidR="00B65424">
        <w:rPr>
          <w:rFonts w:ascii="Times" w:hAnsi="Times" w:cs="Times"/>
          <w:sz w:val="24"/>
          <w:szCs w:val="24"/>
        </w:rPr>
        <w:t>mplify the process of trading out narrowba</w:t>
      </w:r>
      <w:r w:rsidR="00BD63D7">
        <w:rPr>
          <w:rFonts w:ascii="Times" w:hAnsi="Times" w:cs="Times"/>
          <w:sz w:val="24"/>
          <w:szCs w:val="24"/>
        </w:rPr>
        <w:t xml:space="preserve">nd licenses to </w:t>
      </w:r>
      <w:r w:rsidR="00E352AA">
        <w:rPr>
          <w:rFonts w:ascii="Times" w:hAnsi="Times" w:cs="Times"/>
          <w:sz w:val="24"/>
          <w:szCs w:val="24"/>
        </w:rPr>
        <w:t>incumbents</w:t>
      </w:r>
      <w:r w:rsidR="00BD63D7">
        <w:rPr>
          <w:rFonts w:ascii="Times" w:hAnsi="Times" w:cs="Times"/>
          <w:sz w:val="24"/>
          <w:szCs w:val="24"/>
        </w:rPr>
        <w:t xml:space="preserve"> as nec</w:t>
      </w:r>
      <w:r w:rsidR="00B65424">
        <w:rPr>
          <w:rFonts w:ascii="Times" w:hAnsi="Times" w:cs="Times"/>
          <w:sz w:val="24"/>
          <w:szCs w:val="24"/>
        </w:rPr>
        <w:t xml:space="preserve">essary to accommodate their narrowband needs. </w:t>
      </w:r>
      <w:r w:rsidR="00D50C7B">
        <w:rPr>
          <w:rFonts w:ascii="Times" w:hAnsi="Times" w:cs="Times"/>
          <w:sz w:val="24"/>
          <w:szCs w:val="24"/>
        </w:rPr>
        <w:t xml:space="preserve"> </w:t>
      </w:r>
      <w:r w:rsidR="00D50C7B" w:rsidRPr="00D50C7B">
        <w:rPr>
          <w:rFonts w:ascii="Times" w:hAnsi="Times" w:cs="Times"/>
          <w:sz w:val="24"/>
          <w:szCs w:val="24"/>
        </w:rPr>
        <w:t xml:space="preserve">The addition of these tweaks to the voluntary negotiation regime, together with expanding the eligibility criteria, will set up the right conditions </w:t>
      </w:r>
      <w:r w:rsidR="00E352AA">
        <w:rPr>
          <w:rFonts w:ascii="Times" w:hAnsi="Times" w:cs="Times"/>
          <w:sz w:val="24"/>
          <w:szCs w:val="24"/>
        </w:rPr>
        <w:t xml:space="preserve">and incentives </w:t>
      </w:r>
      <w:r w:rsidR="00D50C7B" w:rsidRPr="00D50C7B">
        <w:rPr>
          <w:rFonts w:ascii="Times" w:hAnsi="Times" w:cs="Times"/>
          <w:sz w:val="24"/>
          <w:szCs w:val="24"/>
        </w:rPr>
        <w:t>for eligible applicants to successfully achieve the necessary spectrum aggregation on a voluntary basis</w:t>
      </w:r>
      <w:r w:rsidR="00D50C7B" w:rsidRPr="003020D5">
        <w:rPr>
          <w:rFonts w:ascii="Times" w:hAnsi="Times" w:cs="Times"/>
        </w:rPr>
        <w:t>.</w:t>
      </w:r>
    </w:p>
    <w:p w:rsidR="00996C57" w:rsidRPr="009649E5" w:rsidRDefault="00996C57" w:rsidP="000F3E53">
      <w:pPr>
        <w:pStyle w:val="ListParagraph"/>
        <w:numPr>
          <w:ilvl w:val="0"/>
          <w:numId w:val="6"/>
        </w:numPr>
        <w:autoSpaceDE w:val="0"/>
        <w:autoSpaceDN w:val="0"/>
        <w:adjustRightInd w:val="0"/>
        <w:spacing w:before="240" w:after="240"/>
        <w:ind w:left="1080"/>
        <w:outlineLvl w:val="1"/>
        <w:rPr>
          <w:rFonts w:ascii="Times" w:hAnsi="Times" w:cs="Times"/>
          <w:b/>
          <w:sz w:val="24"/>
          <w:szCs w:val="24"/>
        </w:rPr>
      </w:pPr>
      <w:bookmarkStart w:id="8" w:name="_Toc10204866"/>
      <w:r w:rsidRPr="009649E5">
        <w:rPr>
          <w:rFonts w:ascii="Times" w:hAnsi="Times" w:cs="Times"/>
          <w:b/>
          <w:sz w:val="24"/>
          <w:szCs w:val="24"/>
          <w:u w:val="single"/>
        </w:rPr>
        <w:t>Broadband Overlay Auction</w:t>
      </w:r>
      <w:bookmarkEnd w:id="8"/>
    </w:p>
    <w:p w:rsidR="00273313" w:rsidRPr="00273313" w:rsidRDefault="00273313" w:rsidP="009649E5">
      <w:pPr>
        <w:autoSpaceDE w:val="0"/>
        <w:autoSpaceDN w:val="0"/>
        <w:adjustRightInd w:val="0"/>
        <w:spacing w:before="240" w:after="240" w:line="480" w:lineRule="auto"/>
        <w:rPr>
          <w:rFonts w:ascii="Times" w:hAnsi="Times" w:cs="Times"/>
          <w:sz w:val="24"/>
          <w:szCs w:val="24"/>
        </w:rPr>
      </w:pPr>
      <w:r>
        <w:rPr>
          <w:rFonts w:ascii="Times" w:hAnsi="Times" w:cs="Times"/>
          <w:sz w:val="24"/>
          <w:szCs w:val="24"/>
        </w:rPr>
        <w:tab/>
        <w:t xml:space="preserve">If voluntary negotiations do not </w:t>
      </w:r>
      <w:r w:rsidR="003C6C4E">
        <w:rPr>
          <w:rFonts w:ascii="Times" w:hAnsi="Times" w:cs="Times"/>
          <w:sz w:val="24"/>
          <w:szCs w:val="24"/>
        </w:rPr>
        <w:t>achieve</w:t>
      </w:r>
      <w:r>
        <w:rPr>
          <w:rFonts w:ascii="Times" w:hAnsi="Times" w:cs="Times"/>
          <w:sz w:val="24"/>
          <w:szCs w:val="24"/>
        </w:rPr>
        <w:t xml:space="preserve"> the clearing of a 3 x 3 MHz band, SCE believes that a</w:t>
      </w:r>
      <w:r w:rsidRPr="00273313">
        <w:rPr>
          <w:rFonts w:ascii="Times" w:hAnsi="Times" w:cs="Times"/>
          <w:sz w:val="24"/>
          <w:szCs w:val="24"/>
        </w:rPr>
        <w:t>n overlay auction would be the simplest and a fair</w:t>
      </w:r>
      <w:r>
        <w:rPr>
          <w:rFonts w:ascii="Times" w:hAnsi="Times" w:cs="Times"/>
          <w:sz w:val="24"/>
          <w:szCs w:val="24"/>
        </w:rPr>
        <w:t>est</w:t>
      </w:r>
      <w:r w:rsidRPr="00273313">
        <w:rPr>
          <w:rFonts w:ascii="Times" w:hAnsi="Times" w:cs="Times"/>
          <w:sz w:val="24"/>
          <w:szCs w:val="24"/>
        </w:rPr>
        <w:t xml:space="preserve"> approach to assign</w:t>
      </w:r>
      <w:r>
        <w:rPr>
          <w:rFonts w:ascii="Times" w:hAnsi="Times" w:cs="Times"/>
          <w:sz w:val="24"/>
          <w:szCs w:val="24"/>
        </w:rPr>
        <w:t>ing</w:t>
      </w:r>
      <w:r w:rsidRPr="00273313">
        <w:rPr>
          <w:rFonts w:ascii="Times" w:hAnsi="Times" w:cs="Times"/>
          <w:sz w:val="24"/>
          <w:szCs w:val="24"/>
        </w:rPr>
        <w:t xml:space="preserve"> broadband licenses.  The winner would be responsible to negotiate with all incumbents to satisfactorily relocate their systems before </w:t>
      </w:r>
      <w:r w:rsidR="003C6C4E">
        <w:rPr>
          <w:rFonts w:ascii="Times" w:hAnsi="Times" w:cs="Times"/>
          <w:sz w:val="24"/>
          <w:szCs w:val="24"/>
        </w:rPr>
        <w:t>a full</w:t>
      </w:r>
      <w:r w:rsidRPr="00273313">
        <w:rPr>
          <w:rFonts w:ascii="Times" w:hAnsi="Times" w:cs="Times"/>
          <w:sz w:val="24"/>
          <w:szCs w:val="24"/>
        </w:rPr>
        <w:t xml:space="preserve"> broadband system can be deployed.</w:t>
      </w:r>
      <w:r>
        <w:rPr>
          <w:rFonts w:ascii="Times" w:hAnsi="Times" w:cs="Times"/>
          <w:sz w:val="24"/>
          <w:szCs w:val="24"/>
        </w:rPr>
        <w:t xml:space="preserve">  To make this work, however, incumbents would have to be properly incentivized to relocate.</w:t>
      </w:r>
      <w:r w:rsidR="009F68E4">
        <w:rPr>
          <w:rFonts w:ascii="Times" w:hAnsi="Times" w:cs="Times"/>
          <w:sz w:val="24"/>
          <w:szCs w:val="24"/>
        </w:rPr>
        <w:t xml:space="preserve">  Without reasonable assurance that the 900 MHz </w:t>
      </w:r>
      <w:r w:rsidR="00B15B79">
        <w:rPr>
          <w:rFonts w:ascii="Times" w:hAnsi="Times" w:cs="Times"/>
          <w:sz w:val="24"/>
          <w:szCs w:val="24"/>
        </w:rPr>
        <w:t>Band</w:t>
      </w:r>
      <w:r w:rsidR="009F68E4">
        <w:rPr>
          <w:rFonts w:ascii="Times" w:hAnsi="Times" w:cs="Times"/>
          <w:sz w:val="24"/>
          <w:szCs w:val="24"/>
        </w:rPr>
        <w:t xml:space="preserve"> will be sufficiently cleared to accommodate a full 3 x 3 MHz broadband channel, few bidders would risk significant bids on the overlay.</w:t>
      </w:r>
    </w:p>
    <w:p w:rsidR="00273313" w:rsidRPr="00273313" w:rsidRDefault="00273313" w:rsidP="009649E5">
      <w:pPr>
        <w:autoSpaceDE w:val="0"/>
        <w:autoSpaceDN w:val="0"/>
        <w:adjustRightInd w:val="0"/>
        <w:spacing w:before="240" w:after="240" w:line="480" w:lineRule="auto"/>
        <w:rPr>
          <w:rFonts w:ascii="Times" w:hAnsi="Times" w:cs="Times"/>
          <w:sz w:val="24"/>
          <w:szCs w:val="24"/>
        </w:rPr>
      </w:pPr>
      <w:r>
        <w:rPr>
          <w:rFonts w:ascii="Times" w:hAnsi="Times" w:cs="Times"/>
          <w:sz w:val="24"/>
          <w:szCs w:val="24"/>
        </w:rPr>
        <w:lastRenderedPageBreak/>
        <w:tab/>
      </w:r>
      <w:r w:rsidRPr="00273313">
        <w:rPr>
          <w:rFonts w:ascii="Times" w:hAnsi="Times" w:cs="Times"/>
          <w:sz w:val="24"/>
          <w:szCs w:val="24"/>
        </w:rPr>
        <w:t xml:space="preserve">SMR license holders would </w:t>
      </w:r>
      <w:r w:rsidR="009F68E4">
        <w:rPr>
          <w:rFonts w:ascii="Times" w:hAnsi="Times" w:cs="Times"/>
          <w:sz w:val="24"/>
          <w:szCs w:val="24"/>
        </w:rPr>
        <w:t xml:space="preserve">have to </w:t>
      </w:r>
      <w:r w:rsidRPr="00273313">
        <w:rPr>
          <w:rFonts w:ascii="Times" w:hAnsi="Times" w:cs="Times"/>
          <w:sz w:val="24"/>
          <w:szCs w:val="24"/>
        </w:rPr>
        <w:t xml:space="preserve">be </w:t>
      </w:r>
      <w:r>
        <w:rPr>
          <w:rFonts w:ascii="Times" w:hAnsi="Times" w:cs="Times"/>
          <w:sz w:val="24"/>
          <w:szCs w:val="24"/>
        </w:rPr>
        <w:t>put on notice that</w:t>
      </w:r>
      <w:r w:rsidRPr="00273313">
        <w:rPr>
          <w:rFonts w:ascii="Times" w:hAnsi="Times" w:cs="Times"/>
          <w:sz w:val="24"/>
          <w:szCs w:val="24"/>
        </w:rPr>
        <w:t xml:space="preserve"> their licenses will not be renewed </w:t>
      </w:r>
      <w:r>
        <w:rPr>
          <w:rFonts w:ascii="Times" w:hAnsi="Times" w:cs="Times"/>
          <w:sz w:val="24"/>
          <w:szCs w:val="24"/>
        </w:rPr>
        <w:t xml:space="preserve">upon </w:t>
      </w:r>
      <w:r w:rsidR="009F68E4">
        <w:rPr>
          <w:rFonts w:ascii="Times" w:hAnsi="Times" w:cs="Times"/>
          <w:sz w:val="24"/>
          <w:szCs w:val="24"/>
        </w:rPr>
        <w:t xml:space="preserve">their </w:t>
      </w:r>
      <w:r>
        <w:rPr>
          <w:rFonts w:ascii="Times" w:hAnsi="Times" w:cs="Times"/>
          <w:sz w:val="24"/>
          <w:szCs w:val="24"/>
        </w:rPr>
        <w:t>expiration</w:t>
      </w:r>
      <w:r w:rsidRPr="00273313">
        <w:rPr>
          <w:rFonts w:ascii="Times" w:hAnsi="Times" w:cs="Times"/>
          <w:sz w:val="24"/>
          <w:szCs w:val="24"/>
        </w:rPr>
        <w:t xml:space="preserve"> and will be returned to the FCC</w:t>
      </w:r>
      <w:r>
        <w:rPr>
          <w:rFonts w:ascii="Times" w:hAnsi="Times" w:cs="Times"/>
          <w:sz w:val="24"/>
          <w:szCs w:val="24"/>
        </w:rPr>
        <w:t xml:space="preserve">’s inventory. </w:t>
      </w:r>
      <w:r w:rsidRPr="00273313">
        <w:rPr>
          <w:rFonts w:ascii="Times" w:hAnsi="Times" w:cs="Times"/>
          <w:sz w:val="24"/>
          <w:szCs w:val="24"/>
        </w:rPr>
        <w:t xml:space="preserve"> </w:t>
      </w:r>
      <w:r w:rsidR="009F68E4">
        <w:rPr>
          <w:rFonts w:ascii="Times" w:hAnsi="Times" w:cs="Times"/>
          <w:sz w:val="24"/>
          <w:szCs w:val="24"/>
        </w:rPr>
        <w:t xml:space="preserve">However, </w:t>
      </w:r>
      <w:r w:rsidR="003C6C4E">
        <w:rPr>
          <w:rFonts w:ascii="Times" w:hAnsi="Times" w:cs="Times"/>
          <w:sz w:val="24"/>
          <w:szCs w:val="24"/>
        </w:rPr>
        <w:t xml:space="preserve">as noted above, </w:t>
      </w:r>
      <w:r w:rsidRPr="00273313">
        <w:rPr>
          <w:rFonts w:ascii="Times" w:hAnsi="Times" w:cs="Times"/>
          <w:sz w:val="24"/>
          <w:szCs w:val="24"/>
        </w:rPr>
        <w:t>SMR licensees w</w:t>
      </w:r>
      <w:r>
        <w:rPr>
          <w:rFonts w:ascii="Times" w:hAnsi="Times" w:cs="Times"/>
          <w:sz w:val="24"/>
          <w:szCs w:val="24"/>
        </w:rPr>
        <w:t>o</w:t>
      </w:r>
      <w:r w:rsidR="009F68E4">
        <w:rPr>
          <w:rFonts w:ascii="Times" w:hAnsi="Times" w:cs="Times"/>
          <w:sz w:val="24"/>
          <w:szCs w:val="24"/>
        </w:rPr>
        <w:t>u</w:t>
      </w:r>
      <w:r>
        <w:rPr>
          <w:rFonts w:ascii="Times" w:hAnsi="Times" w:cs="Times"/>
          <w:sz w:val="24"/>
          <w:szCs w:val="24"/>
        </w:rPr>
        <w:t xml:space="preserve">ld be allowed to retain as many narrowband channels carved from their SMR spectrum as are </w:t>
      </w:r>
      <w:r w:rsidR="003C6C4E">
        <w:rPr>
          <w:rFonts w:ascii="Times" w:hAnsi="Times" w:cs="Times"/>
          <w:sz w:val="24"/>
          <w:szCs w:val="24"/>
        </w:rPr>
        <w:t xml:space="preserve">actually </w:t>
      </w:r>
      <w:r>
        <w:rPr>
          <w:rFonts w:ascii="Times" w:hAnsi="Times" w:cs="Times"/>
          <w:sz w:val="24"/>
          <w:szCs w:val="24"/>
        </w:rPr>
        <w:t xml:space="preserve">needed to maintain any current service offerings. These retained channels would be relicensed as regular B/ILT channels under normal </w:t>
      </w:r>
      <w:r w:rsidRPr="00273313">
        <w:rPr>
          <w:rFonts w:ascii="Times" w:hAnsi="Times" w:cs="Times"/>
          <w:sz w:val="24"/>
          <w:szCs w:val="24"/>
        </w:rPr>
        <w:t xml:space="preserve">B/ILT rules. The winning </w:t>
      </w:r>
      <w:r>
        <w:rPr>
          <w:rFonts w:ascii="Times" w:hAnsi="Times" w:cs="Times"/>
          <w:sz w:val="24"/>
          <w:szCs w:val="24"/>
        </w:rPr>
        <w:t xml:space="preserve">overlay </w:t>
      </w:r>
      <w:r w:rsidRPr="00273313">
        <w:rPr>
          <w:rFonts w:ascii="Times" w:hAnsi="Times" w:cs="Times"/>
          <w:sz w:val="24"/>
          <w:szCs w:val="24"/>
        </w:rPr>
        <w:t xml:space="preserve">bidder would then be required to negotiate for the relocation of </w:t>
      </w:r>
      <w:r w:rsidR="003C6C4E">
        <w:rPr>
          <w:rFonts w:ascii="Times" w:hAnsi="Times" w:cs="Times"/>
          <w:sz w:val="24"/>
          <w:szCs w:val="24"/>
        </w:rPr>
        <w:t>these</w:t>
      </w:r>
      <w:r>
        <w:rPr>
          <w:rFonts w:ascii="Times" w:hAnsi="Times" w:cs="Times"/>
          <w:sz w:val="24"/>
          <w:szCs w:val="24"/>
        </w:rPr>
        <w:t xml:space="preserve"> new</w:t>
      </w:r>
      <w:r w:rsidRPr="00273313">
        <w:rPr>
          <w:rFonts w:ascii="Times" w:hAnsi="Times" w:cs="Times"/>
          <w:sz w:val="24"/>
          <w:szCs w:val="24"/>
        </w:rPr>
        <w:t xml:space="preserve"> B/ILT licenses located within the proposed broadband </w:t>
      </w:r>
      <w:r>
        <w:rPr>
          <w:rFonts w:ascii="Times" w:hAnsi="Times" w:cs="Times"/>
          <w:sz w:val="24"/>
          <w:szCs w:val="24"/>
        </w:rPr>
        <w:t xml:space="preserve">segment in the same way it would </w:t>
      </w:r>
      <w:r w:rsidRPr="00273313">
        <w:rPr>
          <w:rFonts w:ascii="Times" w:hAnsi="Times" w:cs="Times"/>
          <w:sz w:val="24"/>
          <w:szCs w:val="24"/>
        </w:rPr>
        <w:t>with</w:t>
      </w:r>
      <w:r>
        <w:rPr>
          <w:rFonts w:ascii="Times" w:hAnsi="Times" w:cs="Times"/>
          <w:sz w:val="24"/>
          <w:szCs w:val="24"/>
        </w:rPr>
        <w:t xml:space="preserve"> other </w:t>
      </w:r>
      <w:r w:rsidRPr="00273313">
        <w:rPr>
          <w:rFonts w:ascii="Times" w:hAnsi="Times" w:cs="Times"/>
          <w:sz w:val="24"/>
          <w:szCs w:val="24"/>
        </w:rPr>
        <w:t>B/ILT license holders</w:t>
      </w:r>
      <w:r>
        <w:rPr>
          <w:rFonts w:ascii="Times" w:hAnsi="Times" w:cs="Times"/>
          <w:sz w:val="24"/>
          <w:szCs w:val="24"/>
        </w:rPr>
        <w:t>.</w:t>
      </w:r>
    </w:p>
    <w:p w:rsidR="00273313" w:rsidRPr="00273313" w:rsidRDefault="009F68E4" w:rsidP="00761988">
      <w:pPr>
        <w:autoSpaceDE w:val="0"/>
        <w:autoSpaceDN w:val="0"/>
        <w:adjustRightInd w:val="0"/>
        <w:spacing w:before="240" w:after="240" w:line="480" w:lineRule="auto"/>
        <w:rPr>
          <w:rFonts w:ascii="Times" w:hAnsi="Times" w:cs="Times"/>
          <w:sz w:val="24"/>
          <w:szCs w:val="24"/>
        </w:rPr>
      </w:pPr>
      <w:r>
        <w:rPr>
          <w:rFonts w:ascii="Times" w:hAnsi="Times" w:cs="Times"/>
          <w:sz w:val="24"/>
          <w:szCs w:val="24"/>
        </w:rPr>
        <w:tab/>
      </w:r>
      <w:r w:rsidR="00273313" w:rsidRPr="00273313">
        <w:rPr>
          <w:rFonts w:ascii="Times" w:hAnsi="Times" w:cs="Times"/>
          <w:sz w:val="24"/>
          <w:szCs w:val="24"/>
        </w:rPr>
        <w:t xml:space="preserve">Negotiations for the relocation of B/ILT incumbents in the proposed broadband segment will need to be done in good faith.  A time limit of </w:t>
      </w:r>
      <w:r>
        <w:rPr>
          <w:rFonts w:ascii="Times" w:hAnsi="Times" w:cs="Times"/>
          <w:sz w:val="24"/>
          <w:szCs w:val="24"/>
        </w:rPr>
        <w:t xml:space="preserve">the earlier of </w:t>
      </w:r>
      <w:r w:rsidR="00273313" w:rsidRPr="00273313">
        <w:rPr>
          <w:rFonts w:ascii="Times" w:hAnsi="Times" w:cs="Times"/>
          <w:sz w:val="24"/>
          <w:szCs w:val="24"/>
        </w:rPr>
        <w:t xml:space="preserve">2 years </w:t>
      </w:r>
      <w:r>
        <w:rPr>
          <w:rFonts w:ascii="Times" w:hAnsi="Times" w:cs="Times"/>
          <w:sz w:val="24"/>
          <w:szCs w:val="24"/>
        </w:rPr>
        <w:t>or the</w:t>
      </w:r>
      <w:r w:rsidR="00273313" w:rsidRPr="00273313">
        <w:rPr>
          <w:rFonts w:ascii="Times" w:hAnsi="Times" w:cs="Times"/>
          <w:sz w:val="24"/>
          <w:szCs w:val="24"/>
        </w:rPr>
        <w:t xml:space="preserve"> expiration date of </w:t>
      </w:r>
      <w:r>
        <w:rPr>
          <w:rFonts w:ascii="Times" w:hAnsi="Times" w:cs="Times"/>
          <w:sz w:val="24"/>
          <w:szCs w:val="24"/>
        </w:rPr>
        <w:t xml:space="preserve">the SMR </w:t>
      </w:r>
      <w:r w:rsidR="00273313" w:rsidRPr="00273313">
        <w:rPr>
          <w:rFonts w:ascii="Times" w:hAnsi="Times" w:cs="Times"/>
          <w:sz w:val="24"/>
          <w:szCs w:val="24"/>
        </w:rPr>
        <w:t xml:space="preserve">license </w:t>
      </w:r>
      <w:r>
        <w:rPr>
          <w:rFonts w:ascii="Times" w:hAnsi="Times" w:cs="Times"/>
          <w:sz w:val="24"/>
          <w:szCs w:val="24"/>
        </w:rPr>
        <w:t xml:space="preserve">is </w:t>
      </w:r>
      <w:r w:rsidR="00273313" w:rsidRPr="00273313">
        <w:rPr>
          <w:rFonts w:ascii="Times" w:hAnsi="Times" w:cs="Times"/>
          <w:sz w:val="24"/>
          <w:szCs w:val="24"/>
        </w:rPr>
        <w:t xml:space="preserve">a fair deadline to impose to </w:t>
      </w:r>
      <w:r>
        <w:rPr>
          <w:rFonts w:ascii="Times" w:hAnsi="Times" w:cs="Times"/>
          <w:sz w:val="24"/>
          <w:szCs w:val="24"/>
        </w:rPr>
        <w:t xml:space="preserve">permit incumbents to agree to relocation terms.  After that date, </w:t>
      </w:r>
      <w:r w:rsidR="00273313" w:rsidRPr="00273313">
        <w:rPr>
          <w:rFonts w:ascii="Times" w:hAnsi="Times" w:cs="Times"/>
          <w:sz w:val="24"/>
          <w:szCs w:val="24"/>
        </w:rPr>
        <w:t>incumbent</w:t>
      </w:r>
      <w:r>
        <w:rPr>
          <w:rFonts w:ascii="Times" w:hAnsi="Times" w:cs="Times"/>
          <w:sz w:val="24"/>
          <w:szCs w:val="24"/>
        </w:rPr>
        <w:t>s</w:t>
      </w:r>
      <w:r w:rsidR="00273313" w:rsidRPr="00273313">
        <w:rPr>
          <w:rFonts w:ascii="Times" w:hAnsi="Times" w:cs="Times"/>
          <w:sz w:val="24"/>
          <w:szCs w:val="24"/>
        </w:rPr>
        <w:t xml:space="preserve"> will be responsible for relocati</w:t>
      </w:r>
      <w:r>
        <w:rPr>
          <w:rFonts w:ascii="Times" w:hAnsi="Times" w:cs="Times"/>
          <w:sz w:val="24"/>
          <w:szCs w:val="24"/>
        </w:rPr>
        <w:t>ng out of the broadband band at their own expense and risk</w:t>
      </w:r>
      <w:r w:rsidR="00273313" w:rsidRPr="00273313">
        <w:rPr>
          <w:rFonts w:ascii="Times" w:hAnsi="Times" w:cs="Times"/>
          <w:sz w:val="24"/>
          <w:szCs w:val="24"/>
        </w:rPr>
        <w:t xml:space="preserve">. </w:t>
      </w:r>
    </w:p>
    <w:p w:rsidR="00273313" w:rsidRPr="00273313" w:rsidRDefault="009F68E4" w:rsidP="00761988">
      <w:pPr>
        <w:autoSpaceDE w:val="0"/>
        <w:autoSpaceDN w:val="0"/>
        <w:adjustRightInd w:val="0"/>
        <w:spacing w:before="240" w:after="240" w:line="480" w:lineRule="auto"/>
        <w:rPr>
          <w:rFonts w:ascii="Times" w:hAnsi="Times" w:cs="Times"/>
          <w:sz w:val="24"/>
          <w:szCs w:val="24"/>
        </w:rPr>
      </w:pPr>
      <w:r>
        <w:rPr>
          <w:rFonts w:ascii="Times" w:hAnsi="Times" w:cs="Times"/>
          <w:sz w:val="24"/>
          <w:szCs w:val="24"/>
        </w:rPr>
        <w:tab/>
      </w:r>
      <w:r w:rsidR="00273313" w:rsidRPr="00273313">
        <w:rPr>
          <w:rFonts w:ascii="Times" w:hAnsi="Times" w:cs="Times"/>
          <w:sz w:val="24"/>
          <w:szCs w:val="24"/>
        </w:rPr>
        <w:t>Some SMR licenses will not expire until 2026.  To disincentivize SMR licensees</w:t>
      </w:r>
      <w:r>
        <w:rPr>
          <w:rFonts w:ascii="Times" w:hAnsi="Times" w:cs="Times"/>
          <w:sz w:val="24"/>
          <w:szCs w:val="24"/>
        </w:rPr>
        <w:t xml:space="preserve"> from</w:t>
      </w:r>
      <w:r w:rsidR="00273313" w:rsidRPr="00273313">
        <w:rPr>
          <w:rFonts w:ascii="Times" w:hAnsi="Times" w:cs="Times"/>
          <w:sz w:val="24"/>
          <w:szCs w:val="24"/>
        </w:rPr>
        <w:t xml:space="preserve"> deliberately delaying relocation discussions until close to license ex</w:t>
      </w:r>
      <w:r>
        <w:rPr>
          <w:rFonts w:ascii="Times" w:hAnsi="Times" w:cs="Times"/>
          <w:sz w:val="24"/>
          <w:szCs w:val="24"/>
        </w:rPr>
        <w:t>piration</w:t>
      </w:r>
      <w:r w:rsidR="00273313" w:rsidRPr="00273313">
        <w:rPr>
          <w:rFonts w:ascii="Times" w:hAnsi="Times" w:cs="Times"/>
          <w:sz w:val="24"/>
          <w:szCs w:val="24"/>
        </w:rPr>
        <w:t xml:space="preserve">, </w:t>
      </w:r>
      <w:r w:rsidR="003F73E4">
        <w:rPr>
          <w:rFonts w:ascii="Times" w:hAnsi="Times" w:cs="Times"/>
          <w:sz w:val="24"/>
          <w:szCs w:val="24"/>
        </w:rPr>
        <w:t>the Commission should require</w:t>
      </w:r>
      <w:r w:rsidR="00B15B79">
        <w:rPr>
          <w:rFonts w:ascii="Times" w:hAnsi="Times" w:cs="Times"/>
          <w:sz w:val="24"/>
          <w:szCs w:val="24"/>
        </w:rPr>
        <w:t>,</w:t>
      </w:r>
      <w:r w:rsidR="003F73E4">
        <w:rPr>
          <w:rFonts w:ascii="Times" w:hAnsi="Times" w:cs="Times"/>
          <w:sz w:val="24"/>
          <w:szCs w:val="24"/>
        </w:rPr>
        <w:t xml:space="preserve"> in the absence of a voluntarily negotiated agreement that for SMR licenses e</w:t>
      </w:r>
      <w:r w:rsidR="00B15B79">
        <w:rPr>
          <w:rFonts w:ascii="Times" w:hAnsi="Times" w:cs="Times"/>
          <w:sz w:val="24"/>
          <w:szCs w:val="24"/>
        </w:rPr>
        <w:t>xpiring after December 2022, that the</w:t>
      </w:r>
      <w:r w:rsidR="003F73E4">
        <w:rPr>
          <w:rFonts w:ascii="Times" w:hAnsi="Times" w:cs="Times"/>
          <w:sz w:val="24"/>
          <w:szCs w:val="24"/>
        </w:rPr>
        <w:t xml:space="preserve"> licenses must be mandatorily relocated out of the broadband band </w:t>
      </w:r>
      <w:r w:rsidR="00273313" w:rsidRPr="00273313">
        <w:rPr>
          <w:rFonts w:ascii="Times" w:hAnsi="Times" w:cs="Times"/>
          <w:sz w:val="24"/>
          <w:szCs w:val="24"/>
        </w:rPr>
        <w:t>at the SMR licensee</w:t>
      </w:r>
      <w:r w:rsidR="003F73E4">
        <w:rPr>
          <w:rFonts w:ascii="Times" w:hAnsi="Times" w:cs="Times"/>
          <w:sz w:val="24"/>
          <w:szCs w:val="24"/>
        </w:rPr>
        <w:t>’</w:t>
      </w:r>
      <w:r w:rsidR="00273313" w:rsidRPr="00273313">
        <w:rPr>
          <w:rFonts w:ascii="Times" w:hAnsi="Times" w:cs="Times"/>
          <w:sz w:val="24"/>
          <w:szCs w:val="24"/>
        </w:rPr>
        <w:t xml:space="preserve">s </w:t>
      </w:r>
      <w:r w:rsidR="003F73E4">
        <w:rPr>
          <w:rFonts w:ascii="Times" w:hAnsi="Times" w:cs="Times"/>
          <w:sz w:val="24"/>
          <w:szCs w:val="24"/>
        </w:rPr>
        <w:t xml:space="preserve">own </w:t>
      </w:r>
      <w:r w:rsidR="00273313" w:rsidRPr="00273313">
        <w:rPr>
          <w:rFonts w:ascii="Times" w:hAnsi="Times" w:cs="Times"/>
          <w:sz w:val="24"/>
          <w:szCs w:val="24"/>
        </w:rPr>
        <w:t xml:space="preserve">expense and </w:t>
      </w:r>
      <w:r w:rsidR="003F73E4">
        <w:rPr>
          <w:rFonts w:ascii="Times" w:hAnsi="Times" w:cs="Times"/>
          <w:sz w:val="24"/>
          <w:szCs w:val="24"/>
        </w:rPr>
        <w:t xml:space="preserve">the relocation </w:t>
      </w:r>
      <w:r w:rsidR="00273313" w:rsidRPr="00273313">
        <w:rPr>
          <w:rFonts w:ascii="Times" w:hAnsi="Times" w:cs="Times"/>
          <w:sz w:val="24"/>
          <w:szCs w:val="24"/>
        </w:rPr>
        <w:t xml:space="preserve">must be </w:t>
      </w:r>
      <w:r w:rsidR="003F73E4">
        <w:rPr>
          <w:rFonts w:ascii="Times" w:hAnsi="Times" w:cs="Times"/>
          <w:sz w:val="24"/>
          <w:szCs w:val="24"/>
        </w:rPr>
        <w:t xml:space="preserve">accomplished </w:t>
      </w:r>
      <w:r w:rsidR="00273313" w:rsidRPr="00273313">
        <w:rPr>
          <w:rFonts w:ascii="Times" w:hAnsi="Times" w:cs="Times"/>
          <w:sz w:val="24"/>
          <w:szCs w:val="24"/>
        </w:rPr>
        <w:t>within 6 months of license expir</w:t>
      </w:r>
      <w:r w:rsidR="003F73E4">
        <w:rPr>
          <w:rFonts w:ascii="Times" w:hAnsi="Times" w:cs="Times"/>
          <w:sz w:val="24"/>
          <w:szCs w:val="24"/>
        </w:rPr>
        <w:t>ation.</w:t>
      </w:r>
      <w:r w:rsidR="00273313" w:rsidRPr="00273313">
        <w:rPr>
          <w:rFonts w:ascii="Times" w:hAnsi="Times" w:cs="Times"/>
          <w:sz w:val="24"/>
          <w:szCs w:val="24"/>
        </w:rPr>
        <w:t xml:space="preserve">  </w:t>
      </w:r>
    </w:p>
    <w:p w:rsidR="005339E0" w:rsidRDefault="003F73E4" w:rsidP="00761988">
      <w:pPr>
        <w:autoSpaceDE w:val="0"/>
        <w:autoSpaceDN w:val="0"/>
        <w:adjustRightInd w:val="0"/>
        <w:spacing w:before="240" w:after="240" w:line="480" w:lineRule="auto"/>
        <w:rPr>
          <w:rFonts w:ascii="Times" w:hAnsi="Times" w:cs="Times"/>
          <w:sz w:val="24"/>
          <w:szCs w:val="24"/>
        </w:rPr>
      </w:pPr>
      <w:r>
        <w:rPr>
          <w:rFonts w:ascii="Times" w:hAnsi="Times" w:cs="Times"/>
          <w:sz w:val="24"/>
          <w:szCs w:val="24"/>
        </w:rPr>
        <w:tab/>
      </w:r>
      <w:r w:rsidR="00273313" w:rsidRPr="00273313">
        <w:rPr>
          <w:rFonts w:ascii="Times" w:hAnsi="Times" w:cs="Times"/>
          <w:sz w:val="24"/>
          <w:szCs w:val="24"/>
        </w:rPr>
        <w:t xml:space="preserve">In all cases, the </w:t>
      </w:r>
      <w:r>
        <w:rPr>
          <w:rFonts w:ascii="Times" w:hAnsi="Times" w:cs="Times"/>
          <w:sz w:val="24"/>
          <w:szCs w:val="24"/>
        </w:rPr>
        <w:t xml:space="preserve">overlay auction </w:t>
      </w:r>
      <w:r w:rsidR="00273313" w:rsidRPr="00273313">
        <w:rPr>
          <w:rFonts w:ascii="Times" w:hAnsi="Times" w:cs="Times"/>
          <w:sz w:val="24"/>
          <w:szCs w:val="24"/>
        </w:rPr>
        <w:t xml:space="preserve">winner is also required to demonstrate good faith efforts to start and conclude </w:t>
      </w:r>
      <w:r>
        <w:rPr>
          <w:rFonts w:ascii="Times" w:hAnsi="Times" w:cs="Times"/>
          <w:sz w:val="24"/>
          <w:szCs w:val="24"/>
        </w:rPr>
        <w:t xml:space="preserve">voluntary </w:t>
      </w:r>
      <w:r w:rsidR="00273313" w:rsidRPr="00273313">
        <w:rPr>
          <w:rFonts w:ascii="Times" w:hAnsi="Times" w:cs="Times"/>
          <w:sz w:val="24"/>
          <w:szCs w:val="24"/>
        </w:rPr>
        <w:t xml:space="preserve">relocation negotiations.  The winner has </w:t>
      </w:r>
      <w:r>
        <w:rPr>
          <w:rFonts w:ascii="Times" w:hAnsi="Times" w:cs="Times"/>
          <w:sz w:val="24"/>
          <w:szCs w:val="24"/>
        </w:rPr>
        <w:t xml:space="preserve">every </w:t>
      </w:r>
      <w:r w:rsidR="00273313" w:rsidRPr="00273313">
        <w:rPr>
          <w:rFonts w:ascii="Times" w:hAnsi="Times" w:cs="Times"/>
          <w:sz w:val="24"/>
          <w:szCs w:val="24"/>
        </w:rPr>
        <w:t xml:space="preserve">incentive to conclude negotiations for relocating incumbents in the shortest timeframe as the broadband </w:t>
      </w:r>
      <w:r w:rsidR="00273313" w:rsidRPr="00273313">
        <w:rPr>
          <w:rFonts w:ascii="Times" w:hAnsi="Times" w:cs="Times"/>
          <w:sz w:val="24"/>
          <w:szCs w:val="24"/>
        </w:rPr>
        <w:lastRenderedPageBreak/>
        <w:t xml:space="preserve">license term will begin immediately after winning the auction.  </w:t>
      </w:r>
      <w:r>
        <w:rPr>
          <w:rFonts w:ascii="Times" w:hAnsi="Times" w:cs="Times"/>
          <w:sz w:val="24"/>
          <w:szCs w:val="24"/>
        </w:rPr>
        <w:t xml:space="preserve">Absent the strong incentives suggested above to encourage voluntary relocation agreements, the start of the six year performance benchmark </w:t>
      </w:r>
      <w:r w:rsidR="003C6C4E">
        <w:rPr>
          <w:rFonts w:ascii="Times" w:hAnsi="Times" w:cs="Times"/>
          <w:sz w:val="24"/>
          <w:szCs w:val="24"/>
        </w:rPr>
        <w:t xml:space="preserve">period </w:t>
      </w:r>
      <w:r>
        <w:rPr>
          <w:rFonts w:ascii="Times" w:hAnsi="Times" w:cs="Times"/>
          <w:sz w:val="24"/>
          <w:szCs w:val="24"/>
        </w:rPr>
        <w:t>would have to be delayed for years.</w:t>
      </w:r>
    </w:p>
    <w:p w:rsidR="003F73E4" w:rsidRPr="003F73E4" w:rsidRDefault="003F73E4" w:rsidP="00761988">
      <w:pPr>
        <w:autoSpaceDE w:val="0"/>
        <w:autoSpaceDN w:val="0"/>
        <w:adjustRightInd w:val="0"/>
        <w:spacing w:before="240" w:after="240" w:line="480" w:lineRule="auto"/>
        <w:rPr>
          <w:rFonts w:ascii="Times" w:hAnsi="Times" w:cs="Times"/>
          <w:sz w:val="24"/>
          <w:szCs w:val="24"/>
        </w:rPr>
      </w:pPr>
      <w:r>
        <w:rPr>
          <w:rFonts w:ascii="Times" w:hAnsi="Times" w:cs="Times"/>
          <w:sz w:val="24"/>
          <w:szCs w:val="24"/>
        </w:rPr>
        <w:tab/>
        <w:t xml:space="preserve">For both the voluntary negotiation period and the overlay auction negotiation period, a two year period is appropriate.  </w:t>
      </w:r>
      <w:r w:rsidR="0069112E">
        <w:rPr>
          <w:rFonts w:ascii="Times" w:hAnsi="Times" w:cs="Times"/>
          <w:sz w:val="24"/>
          <w:szCs w:val="24"/>
        </w:rPr>
        <w:t>Allowing a definite</w:t>
      </w:r>
      <w:r w:rsidRPr="003F73E4">
        <w:rPr>
          <w:rFonts w:ascii="Times" w:hAnsi="Times" w:cs="Times"/>
          <w:sz w:val="24"/>
          <w:szCs w:val="24"/>
        </w:rPr>
        <w:t xml:space="preserve"> period of time for mandatory relocation </w:t>
      </w:r>
      <w:r w:rsidR="0069112E">
        <w:rPr>
          <w:rFonts w:ascii="Times" w:hAnsi="Times" w:cs="Times"/>
          <w:sz w:val="24"/>
          <w:szCs w:val="24"/>
        </w:rPr>
        <w:t>is problematic where</w:t>
      </w:r>
      <w:r w:rsidRPr="003F73E4">
        <w:rPr>
          <w:rFonts w:ascii="Times" w:hAnsi="Times" w:cs="Times"/>
          <w:sz w:val="24"/>
          <w:szCs w:val="24"/>
        </w:rPr>
        <w:t xml:space="preserve"> the existing 900 MHz sp</w:t>
      </w:r>
      <w:r w:rsidR="0069112E">
        <w:rPr>
          <w:rFonts w:ascii="Times" w:hAnsi="Times" w:cs="Times"/>
          <w:sz w:val="24"/>
          <w:szCs w:val="24"/>
        </w:rPr>
        <w:t>ectrum is quite congested.  The relocation process</w:t>
      </w:r>
      <w:r w:rsidRPr="003F73E4">
        <w:rPr>
          <w:rFonts w:ascii="Times" w:hAnsi="Times" w:cs="Times"/>
          <w:sz w:val="24"/>
          <w:szCs w:val="24"/>
        </w:rPr>
        <w:t xml:space="preserve"> may require relocation to another frequency band as well as the </w:t>
      </w:r>
      <w:r w:rsidR="0069112E">
        <w:rPr>
          <w:rFonts w:ascii="Times" w:hAnsi="Times" w:cs="Times"/>
          <w:sz w:val="24"/>
          <w:szCs w:val="24"/>
        </w:rPr>
        <w:t>construction</w:t>
      </w:r>
      <w:r w:rsidRPr="003F73E4">
        <w:rPr>
          <w:rFonts w:ascii="Times" w:hAnsi="Times" w:cs="Times"/>
          <w:sz w:val="24"/>
          <w:szCs w:val="24"/>
        </w:rPr>
        <w:t xml:space="preserve"> of additional radio sites which can take </w:t>
      </w:r>
      <w:r w:rsidR="0069112E">
        <w:rPr>
          <w:rFonts w:ascii="Times" w:hAnsi="Times" w:cs="Times"/>
          <w:sz w:val="24"/>
          <w:szCs w:val="24"/>
        </w:rPr>
        <w:t xml:space="preserve">utilities in particular </w:t>
      </w:r>
      <w:r w:rsidRPr="003F73E4">
        <w:rPr>
          <w:rFonts w:ascii="Times" w:hAnsi="Times" w:cs="Times"/>
          <w:sz w:val="24"/>
          <w:szCs w:val="24"/>
        </w:rPr>
        <w:t xml:space="preserve">a very long time to get approved (budgets, permits, site acquisition, etc.). </w:t>
      </w:r>
      <w:r w:rsidR="0069112E">
        <w:rPr>
          <w:rFonts w:ascii="Times" w:hAnsi="Times" w:cs="Times"/>
          <w:sz w:val="24"/>
          <w:szCs w:val="24"/>
        </w:rPr>
        <w:t xml:space="preserve"> </w:t>
      </w:r>
      <w:r w:rsidRPr="003F73E4">
        <w:rPr>
          <w:rFonts w:ascii="Times" w:hAnsi="Times" w:cs="Times"/>
          <w:sz w:val="24"/>
          <w:szCs w:val="24"/>
        </w:rPr>
        <w:t xml:space="preserve">Providing a sufficient amount of time </w:t>
      </w:r>
      <w:r w:rsidR="003C6C4E">
        <w:rPr>
          <w:rFonts w:ascii="Times" w:hAnsi="Times" w:cs="Times"/>
          <w:sz w:val="24"/>
          <w:szCs w:val="24"/>
        </w:rPr>
        <w:t xml:space="preserve">to implement relocations </w:t>
      </w:r>
      <w:r w:rsidRPr="003F73E4">
        <w:rPr>
          <w:rFonts w:ascii="Times" w:hAnsi="Times" w:cs="Times"/>
          <w:sz w:val="24"/>
          <w:szCs w:val="24"/>
        </w:rPr>
        <w:t xml:space="preserve">is important </w:t>
      </w:r>
      <w:r w:rsidR="0069112E">
        <w:rPr>
          <w:rFonts w:ascii="Times" w:hAnsi="Times" w:cs="Times"/>
          <w:sz w:val="24"/>
          <w:szCs w:val="24"/>
        </w:rPr>
        <w:t xml:space="preserve">if the legitimate needs of </w:t>
      </w:r>
      <w:r w:rsidRPr="003F73E4">
        <w:rPr>
          <w:rFonts w:ascii="Times" w:hAnsi="Times" w:cs="Times"/>
          <w:sz w:val="24"/>
          <w:szCs w:val="24"/>
        </w:rPr>
        <w:t>incumbents</w:t>
      </w:r>
      <w:r w:rsidR="0069112E">
        <w:rPr>
          <w:rFonts w:ascii="Times" w:hAnsi="Times" w:cs="Times"/>
          <w:sz w:val="24"/>
          <w:szCs w:val="24"/>
        </w:rPr>
        <w:t xml:space="preserve"> are to be fully and fairly satisfied</w:t>
      </w:r>
      <w:r w:rsidRPr="003F73E4">
        <w:rPr>
          <w:rFonts w:ascii="Times" w:hAnsi="Times" w:cs="Times"/>
          <w:sz w:val="24"/>
          <w:szCs w:val="24"/>
        </w:rPr>
        <w:t xml:space="preserve">. </w:t>
      </w:r>
      <w:r w:rsidR="0069112E">
        <w:rPr>
          <w:rFonts w:ascii="Times" w:hAnsi="Times" w:cs="Times"/>
          <w:sz w:val="24"/>
          <w:szCs w:val="24"/>
        </w:rPr>
        <w:t xml:space="preserve">Based on its own experience in this area, </w:t>
      </w:r>
      <w:r w:rsidR="00D44A77">
        <w:rPr>
          <w:rFonts w:ascii="Times" w:hAnsi="Times" w:cs="Times"/>
          <w:sz w:val="24"/>
          <w:szCs w:val="24"/>
        </w:rPr>
        <w:t>two years</w:t>
      </w:r>
      <w:r w:rsidRPr="003F73E4">
        <w:rPr>
          <w:rFonts w:ascii="Times" w:hAnsi="Times" w:cs="Times"/>
          <w:sz w:val="24"/>
          <w:szCs w:val="24"/>
        </w:rPr>
        <w:t xml:space="preserve"> is a reasonable time frame to </w:t>
      </w:r>
      <w:r w:rsidR="0069112E">
        <w:rPr>
          <w:rFonts w:ascii="Times" w:hAnsi="Times" w:cs="Times"/>
          <w:sz w:val="24"/>
          <w:szCs w:val="24"/>
        </w:rPr>
        <w:t xml:space="preserve">permit completion of voluntary negotiations with incumbents who have been </w:t>
      </w:r>
      <w:r w:rsidRPr="003F73E4">
        <w:rPr>
          <w:rFonts w:ascii="Times" w:hAnsi="Times" w:cs="Times"/>
          <w:sz w:val="24"/>
          <w:szCs w:val="24"/>
        </w:rPr>
        <w:t>incentiv</w:t>
      </w:r>
      <w:r w:rsidR="0069112E">
        <w:rPr>
          <w:rFonts w:ascii="Times" w:hAnsi="Times" w:cs="Times"/>
          <w:sz w:val="24"/>
          <w:szCs w:val="24"/>
        </w:rPr>
        <w:t>ized to reach a good faith agreement and then</w:t>
      </w:r>
      <w:r w:rsidRPr="003F73E4">
        <w:rPr>
          <w:rFonts w:ascii="Times" w:hAnsi="Times" w:cs="Times"/>
          <w:sz w:val="24"/>
          <w:szCs w:val="24"/>
        </w:rPr>
        <w:t xml:space="preserve"> to complete the </w:t>
      </w:r>
      <w:r w:rsidR="0069112E">
        <w:rPr>
          <w:rFonts w:ascii="Times" w:hAnsi="Times" w:cs="Times"/>
          <w:sz w:val="24"/>
          <w:szCs w:val="24"/>
        </w:rPr>
        <w:t>physical relocation of the affected stations. A</w:t>
      </w:r>
      <w:r w:rsidRPr="003F73E4">
        <w:rPr>
          <w:rFonts w:ascii="Times" w:hAnsi="Times" w:cs="Times"/>
          <w:sz w:val="24"/>
          <w:szCs w:val="24"/>
        </w:rPr>
        <w:t xml:space="preserve">fter </w:t>
      </w:r>
      <w:r w:rsidR="0069112E">
        <w:rPr>
          <w:rFonts w:ascii="Times" w:hAnsi="Times" w:cs="Times"/>
          <w:sz w:val="24"/>
          <w:szCs w:val="24"/>
        </w:rPr>
        <w:t xml:space="preserve">that period, </w:t>
      </w:r>
      <w:r w:rsidRPr="003F73E4">
        <w:rPr>
          <w:rFonts w:ascii="Times" w:hAnsi="Times" w:cs="Times"/>
          <w:sz w:val="24"/>
          <w:szCs w:val="24"/>
        </w:rPr>
        <w:t>they would be forced to relocate at their own expense.</w:t>
      </w:r>
      <w:r w:rsidR="0069112E">
        <w:rPr>
          <w:rFonts w:ascii="Times" w:hAnsi="Times" w:cs="Times"/>
          <w:sz w:val="24"/>
          <w:szCs w:val="24"/>
        </w:rPr>
        <w:t xml:space="preserve"> </w:t>
      </w:r>
    </w:p>
    <w:p w:rsidR="00605CF4" w:rsidRPr="009649E5" w:rsidRDefault="00996C57" w:rsidP="000F3E53">
      <w:pPr>
        <w:pStyle w:val="ListParagraph"/>
        <w:widowControl/>
        <w:numPr>
          <w:ilvl w:val="0"/>
          <w:numId w:val="6"/>
        </w:numPr>
        <w:ind w:left="1080"/>
        <w:outlineLvl w:val="1"/>
        <w:rPr>
          <w:rFonts w:eastAsiaTheme="minorHAnsi" w:cs="Arial"/>
          <w:b/>
          <w:snapToGrid/>
          <w:kern w:val="0"/>
          <w:sz w:val="24"/>
          <w:szCs w:val="22"/>
          <w:u w:val="single"/>
        </w:rPr>
      </w:pPr>
      <w:bookmarkStart w:id="9" w:name="_Toc10204867"/>
      <w:r w:rsidRPr="009649E5">
        <w:rPr>
          <w:rFonts w:eastAsiaTheme="minorHAnsi" w:cs="Arial"/>
          <w:b/>
          <w:snapToGrid/>
          <w:kern w:val="0"/>
          <w:sz w:val="24"/>
          <w:szCs w:val="22"/>
          <w:u w:val="single"/>
        </w:rPr>
        <w:t>Incentive Auction</w:t>
      </w:r>
      <w:bookmarkEnd w:id="9"/>
    </w:p>
    <w:p w:rsidR="0069112E" w:rsidRDefault="0069112E" w:rsidP="0069112E">
      <w:pPr>
        <w:widowControl/>
        <w:rPr>
          <w:rFonts w:eastAsiaTheme="minorHAnsi" w:cs="Arial"/>
          <w:b/>
          <w:snapToGrid/>
          <w:kern w:val="0"/>
          <w:sz w:val="24"/>
          <w:szCs w:val="22"/>
        </w:rPr>
      </w:pPr>
    </w:p>
    <w:p w:rsidR="00301BD6" w:rsidRDefault="0069112E" w:rsidP="00761988">
      <w:pPr>
        <w:widowControl/>
        <w:spacing w:line="480" w:lineRule="auto"/>
        <w:rPr>
          <w:rFonts w:eastAsiaTheme="minorHAnsi" w:cs="Arial"/>
          <w:snapToGrid/>
          <w:kern w:val="0"/>
          <w:sz w:val="24"/>
          <w:szCs w:val="22"/>
        </w:rPr>
      </w:pPr>
      <w:r>
        <w:rPr>
          <w:rFonts w:eastAsiaTheme="minorHAnsi" w:cs="Arial"/>
          <w:b/>
          <w:snapToGrid/>
          <w:kern w:val="0"/>
          <w:sz w:val="24"/>
          <w:szCs w:val="22"/>
        </w:rPr>
        <w:tab/>
      </w:r>
      <w:r w:rsidRPr="0069112E">
        <w:rPr>
          <w:rFonts w:eastAsiaTheme="minorHAnsi" w:cs="Arial"/>
          <w:snapToGrid/>
          <w:kern w:val="0"/>
          <w:sz w:val="24"/>
          <w:szCs w:val="22"/>
        </w:rPr>
        <w:t xml:space="preserve">The </w:t>
      </w:r>
      <w:r w:rsidR="00F77FF8" w:rsidRPr="0069112E">
        <w:rPr>
          <w:rFonts w:eastAsiaTheme="minorHAnsi" w:cs="Arial"/>
          <w:snapToGrid/>
          <w:kern w:val="0"/>
          <w:sz w:val="24"/>
          <w:szCs w:val="22"/>
        </w:rPr>
        <w:t>Commission</w:t>
      </w:r>
      <w:r w:rsidRPr="0069112E">
        <w:rPr>
          <w:rFonts w:eastAsiaTheme="minorHAnsi" w:cs="Arial"/>
          <w:snapToGrid/>
          <w:kern w:val="0"/>
          <w:sz w:val="24"/>
          <w:szCs w:val="22"/>
        </w:rPr>
        <w:t xml:space="preserve"> </w:t>
      </w:r>
      <w:r>
        <w:rPr>
          <w:rFonts w:eastAsiaTheme="minorHAnsi" w:cs="Arial"/>
          <w:snapToGrid/>
          <w:kern w:val="0"/>
          <w:sz w:val="24"/>
          <w:szCs w:val="22"/>
        </w:rPr>
        <w:t>has also proposed, as a</w:t>
      </w:r>
      <w:r w:rsidR="00301BD6">
        <w:rPr>
          <w:rFonts w:eastAsiaTheme="minorHAnsi" w:cs="Arial"/>
          <w:snapToGrid/>
          <w:kern w:val="0"/>
          <w:sz w:val="24"/>
          <w:szCs w:val="22"/>
        </w:rPr>
        <w:t>n alternative to the overlay auc</w:t>
      </w:r>
      <w:r>
        <w:rPr>
          <w:rFonts w:eastAsiaTheme="minorHAnsi" w:cs="Arial"/>
          <w:snapToGrid/>
          <w:kern w:val="0"/>
          <w:sz w:val="24"/>
          <w:szCs w:val="22"/>
        </w:rPr>
        <w:t xml:space="preserve">tion, an incentive auction which would pay </w:t>
      </w:r>
      <w:r w:rsidR="00F77FF8">
        <w:rPr>
          <w:rFonts w:eastAsiaTheme="minorHAnsi" w:cs="Arial"/>
          <w:snapToGrid/>
          <w:kern w:val="0"/>
          <w:sz w:val="24"/>
          <w:szCs w:val="22"/>
        </w:rPr>
        <w:t>incumbents</w:t>
      </w:r>
      <w:r>
        <w:rPr>
          <w:rFonts w:eastAsiaTheme="minorHAnsi" w:cs="Arial"/>
          <w:snapToGrid/>
          <w:kern w:val="0"/>
          <w:sz w:val="24"/>
          <w:szCs w:val="22"/>
        </w:rPr>
        <w:t xml:space="preserve"> to give up their licenses out of auction proceeds.   </w:t>
      </w:r>
      <w:r w:rsidR="00301BD6">
        <w:rPr>
          <w:rFonts w:eastAsiaTheme="minorHAnsi" w:cs="Arial"/>
          <w:snapToGrid/>
          <w:kern w:val="0"/>
          <w:sz w:val="24"/>
          <w:szCs w:val="22"/>
        </w:rPr>
        <w:t xml:space="preserve">The Commission has proposed this alternative to account for the possibility that the voluntary negotiation and overlay </w:t>
      </w:r>
      <w:r w:rsidR="00F77FF8">
        <w:rPr>
          <w:rFonts w:eastAsiaTheme="minorHAnsi" w:cs="Arial"/>
          <w:snapToGrid/>
          <w:kern w:val="0"/>
          <w:sz w:val="24"/>
          <w:szCs w:val="22"/>
        </w:rPr>
        <w:t>auction</w:t>
      </w:r>
      <w:r w:rsidR="00301BD6">
        <w:rPr>
          <w:rFonts w:eastAsiaTheme="minorHAnsi" w:cs="Arial"/>
          <w:snapToGrid/>
          <w:kern w:val="0"/>
          <w:sz w:val="24"/>
          <w:szCs w:val="22"/>
        </w:rPr>
        <w:t xml:space="preserve"> approaches might not result in the clearing of the </w:t>
      </w:r>
      <w:r w:rsidR="00F77FF8">
        <w:rPr>
          <w:rFonts w:eastAsiaTheme="minorHAnsi" w:cs="Arial"/>
          <w:snapToGrid/>
          <w:kern w:val="0"/>
          <w:sz w:val="24"/>
          <w:szCs w:val="22"/>
        </w:rPr>
        <w:t>incumbents</w:t>
      </w:r>
      <w:r w:rsidR="00301BD6">
        <w:rPr>
          <w:rFonts w:eastAsiaTheme="minorHAnsi" w:cs="Arial"/>
          <w:snapToGrid/>
          <w:kern w:val="0"/>
          <w:sz w:val="24"/>
          <w:szCs w:val="22"/>
        </w:rPr>
        <w:t xml:space="preserve"> from the band.  As discussed above, however, if </w:t>
      </w:r>
      <w:r w:rsidR="00F77FF8">
        <w:rPr>
          <w:rFonts w:eastAsiaTheme="minorHAnsi" w:cs="Arial"/>
          <w:snapToGrid/>
          <w:kern w:val="0"/>
          <w:sz w:val="24"/>
          <w:szCs w:val="22"/>
        </w:rPr>
        <w:t>incumbents</w:t>
      </w:r>
      <w:r w:rsidR="00301BD6">
        <w:rPr>
          <w:rFonts w:eastAsiaTheme="minorHAnsi" w:cs="Arial"/>
          <w:snapToGrid/>
          <w:kern w:val="0"/>
          <w:sz w:val="24"/>
          <w:szCs w:val="22"/>
        </w:rPr>
        <w:t xml:space="preserve"> are properly incentivized early in the process by the potential of having to pay their own relocation </w:t>
      </w:r>
      <w:r w:rsidR="00F77FF8">
        <w:rPr>
          <w:rFonts w:eastAsiaTheme="minorHAnsi" w:cs="Arial"/>
          <w:snapToGrid/>
          <w:kern w:val="0"/>
          <w:sz w:val="24"/>
          <w:szCs w:val="22"/>
        </w:rPr>
        <w:t>expenses</w:t>
      </w:r>
      <w:r w:rsidR="00301BD6">
        <w:rPr>
          <w:rFonts w:eastAsiaTheme="minorHAnsi" w:cs="Arial"/>
          <w:snapToGrid/>
          <w:kern w:val="0"/>
          <w:sz w:val="24"/>
          <w:szCs w:val="22"/>
        </w:rPr>
        <w:t xml:space="preserve"> or losing their </w:t>
      </w:r>
      <w:r w:rsidR="00F77FF8">
        <w:rPr>
          <w:rFonts w:eastAsiaTheme="minorHAnsi" w:cs="Arial"/>
          <w:snapToGrid/>
          <w:kern w:val="0"/>
          <w:sz w:val="24"/>
          <w:szCs w:val="22"/>
        </w:rPr>
        <w:t>licenses</w:t>
      </w:r>
      <w:r w:rsidR="00301BD6">
        <w:rPr>
          <w:rFonts w:eastAsiaTheme="minorHAnsi" w:cs="Arial"/>
          <w:snapToGrid/>
          <w:kern w:val="0"/>
          <w:sz w:val="24"/>
          <w:szCs w:val="22"/>
        </w:rPr>
        <w:t xml:space="preserve"> entirely, this type of auction should not be necessary. </w:t>
      </w:r>
    </w:p>
    <w:p w:rsidR="00301BD6" w:rsidRDefault="00301BD6" w:rsidP="00761988">
      <w:pPr>
        <w:widowControl/>
        <w:spacing w:line="480" w:lineRule="auto"/>
        <w:rPr>
          <w:rFonts w:eastAsiaTheme="minorHAnsi" w:cs="Arial"/>
          <w:snapToGrid/>
          <w:kern w:val="0"/>
          <w:sz w:val="24"/>
          <w:szCs w:val="24"/>
        </w:rPr>
      </w:pPr>
      <w:r>
        <w:rPr>
          <w:rFonts w:eastAsiaTheme="minorHAnsi" w:cs="Arial"/>
          <w:snapToGrid/>
          <w:kern w:val="0"/>
          <w:sz w:val="24"/>
          <w:szCs w:val="22"/>
        </w:rPr>
        <w:lastRenderedPageBreak/>
        <w:tab/>
        <w:t xml:space="preserve">As proposed by the </w:t>
      </w:r>
      <w:r w:rsidR="00F77FF8">
        <w:rPr>
          <w:rFonts w:eastAsiaTheme="minorHAnsi" w:cs="Arial"/>
          <w:snapToGrid/>
          <w:kern w:val="0"/>
          <w:sz w:val="24"/>
          <w:szCs w:val="22"/>
        </w:rPr>
        <w:t>Commission</w:t>
      </w:r>
      <w:r>
        <w:rPr>
          <w:rFonts w:eastAsiaTheme="minorHAnsi" w:cs="Arial"/>
          <w:snapToGrid/>
          <w:kern w:val="0"/>
          <w:sz w:val="24"/>
          <w:szCs w:val="22"/>
        </w:rPr>
        <w:t xml:space="preserve">, however, an incentive auction would too heavily favor existing SMR incumbents to the detriment of other bidders.   </w:t>
      </w:r>
      <w:r w:rsidR="00363954">
        <w:rPr>
          <w:rFonts w:eastAsiaTheme="minorHAnsi" w:cs="Arial"/>
          <w:snapToGrid/>
          <w:kern w:val="0"/>
          <w:sz w:val="24"/>
          <w:szCs w:val="22"/>
        </w:rPr>
        <w:t xml:space="preserve">Some </w:t>
      </w:r>
      <w:r w:rsidR="00363954">
        <w:rPr>
          <w:rFonts w:ascii="Times" w:hAnsi="Times" w:cs="Times"/>
          <w:sz w:val="24"/>
          <w:szCs w:val="24"/>
        </w:rPr>
        <w:t>SMR licensees</w:t>
      </w:r>
      <w:r w:rsidRPr="00301BD6">
        <w:rPr>
          <w:rFonts w:ascii="Times" w:hAnsi="Times" w:cs="Times"/>
          <w:sz w:val="24"/>
          <w:szCs w:val="24"/>
        </w:rPr>
        <w:t xml:space="preserve"> have recently (in the past 5 years) purchased deep</w:t>
      </w:r>
      <w:r w:rsidR="00363954">
        <w:rPr>
          <w:rFonts w:ascii="Times" w:hAnsi="Times" w:cs="Times"/>
          <w:sz w:val="24"/>
          <w:szCs w:val="24"/>
        </w:rPr>
        <w:t>ly</w:t>
      </w:r>
      <w:r w:rsidRPr="00301BD6">
        <w:rPr>
          <w:rFonts w:ascii="Times" w:hAnsi="Times" w:cs="Times"/>
          <w:sz w:val="24"/>
          <w:szCs w:val="24"/>
        </w:rPr>
        <w:t xml:space="preserve"> discounted licenses in the secondary market</w:t>
      </w:r>
      <w:r w:rsidR="00363954">
        <w:rPr>
          <w:rFonts w:ascii="Times" w:hAnsi="Times" w:cs="Times"/>
          <w:sz w:val="24"/>
          <w:szCs w:val="24"/>
        </w:rPr>
        <w:t xml:space="preserve"> with no apparent intent to actually put the licensed spectrum to immediate use</w:t>
      </w:r>
      <w:r w:rsidRPr="00301BD6">
        <w:rPr>
          <w:rFonts w:ascii="Times" w:hAnsi="Times" w:cs="Times"/>
          <w:sz w:val="24"/>
          <w:szCs w:val="24"/>
        </w:rPr>
        <w:t xml:space="preserve">. </w:t>
      </w:r>
      <w:r w:rsidR="00187913" w:rsidRPr="00301BD6">
        <w:rPr>
          <w:rFonts w:ascii="Times" w:hAnsi="Times" w:cs="Times"/>
          <w:sz w:val="24"/>
          <w:szCs w:val="24"/>
        </w:rPr>
        <w:t>SMR licenses today have very little value as evidenced in recent secondary market sales.</w:t>
      </w:r>
      <w:r w:rsidR="00187913">
        <w:rPr>
          <w:rFonts w:ascii="Times" w:hAnsi="Times" w:cs="Times"/>
          <w:sz w:val="24"/>
          <w:szCs w:val="24"/>
        </w:rPr>
        <w:t xml:space="preserve"> </w:t>
      </w:r>
      <w:r w:rsidR="00363954">
        <w:rPr>
          <w:rFonts w:ascii="Times" w:hAnsi="Times" w:cs="Times"/>
          <w:sz w:val="24"/>
          <w:szCs w:val="24"/>
        </w:rPr>
        <w:t xml:space="preserve">Tying </w:t>
      </w:r>
      <w:r w:rsidRPr="00301BD6">
        <w:rPr>
          <w:rFonts w:ascii="Times" w:hAnsi="Times" w:cs="Times"/>
          <w:sz w:val="24"/>
          <w:szCs w:val="24"/>
        </w:rPr>
        <w:t>SMR licensee incentive payments to the price per MHz</w:t>
      </w:r>
      <w:r w:rsidR="00187913">
        <w:rPr>
          <w:rFonts w:ascii="Times" w:hAnsi="Times" w:cs="Times"/>
          <w:sz w:val="24"/>
          <w:szCs w:val="24"/>
        </w:rPr>
        <w:t>/</w:t>
      </w:r>
      <w:r w:rsidRPr="00301BD6">
        <w:rPr>
          <w:rFonts w:ascii="Times" w:hAnsi="Times" w:cs="Times"/>
          <w:sz w:val="24"/>
          <w:szCs w:val="24"/>
        </w:rPr>
        <w:t xml:space="preserve">Pop of broadband auction results would </w:t>
      </w:r>
      <w:r w:rsidR="00187913">
        <w:rPr>
          <w:rFonts w:ascii="Times" w:hAnsi="Times" w:cs="Times"/>
          <w:sz w:val="24"/>
          <w:szCs w:val="24"/>
        </w:rPr>
        <w:t xml:space="preserve">certainly result in </w:t>
      </w:r>
      <w:r w:rsidRPr="00301BD6">
        <w:rPr>
          <w:rFonts w:ascii="Times" w:hAnsi="Times" w:cs="Times"/>
          <w:sz w:val="24"/>
          <w:szCs w:val="24"/>
        </w:rPr>
        <w:t xml:space="preserve">a </w:t>
      </w:r>
      <w:r w:rsidR="00363954">
        <w:rPr>
          <w:rFonts w:ascii="Times" w:hAnsi="Times" w:cs="Times"/>
          <w:sz w:val="24"/>
          <w:szCs w:val="24"/>
        </w:rPr>
        <w:t>huge</w:t>
      </w:r>
      <w:r w:rsidRPr="00301BD6">
        <w:rPr>
          <w:rFonts w:ascii="Times" w:hAnsi="Times" w:cs="Times"/>
          <w:sz w:val="24"/>
          <w:szCs w:val="24"/>
        </w:rPr>
        <w:t xml:space="preserve"> w</w:t>
      </w:r>
      <w:r w:rsidR="00363954">
        <w:rPr>
          <w:rFonts w:ascii="Times" w:hAnsi="Times" w:cs="Times"/>
          <w:sz w:val="24"/>
          <w:szCs w:val="24"/>
        </w:rPr>
        <w:t>indfall for SMR license holders</w:t>
      </w:r>
      <w:r w:rsidR="00187913">
        <w:rPr>
          <w:rFonts w:ascii="Times" w:hAnsi="Times" w:cs="Times"/>
          <w:sz w:val="24"/>
          <w:szCs w:val="24"/>
        </w:rPr>
        <w:t>.  I</w:t>
      </w:r>
      <w:r w:rsidR="00363954">
        <w:rPr>
          <w:rFonts w:ascii="Times" w:hAnsi="Times" w:cs="Times"/>
          <w:sz w:val="24"/>
          <w:szCs w:val="24"/>
        </w:rPr>
        <w:t xml:space="preserve">t </w:t>
      </w:r>
      <w:r w:rsidRPr="00301BD6">
        <w:rPr>
          <w:rFonts w:ascii="Times" w:hAnsi="Times" w:cs="Times"/>
          <w:sz w:val="24"/>
          <w:szCs w:val="24"/>
        </w:rPr>
        <w:t xml:space="preserve">would essentially </w:t>
      </w:r>
      <w:r w:rsidR="00363954">
        <w:rPr>
          <w:rFonts w:ascii="Times" w:hAnsi="Times" w:cs="Times"/>
          <w:sz w:val="24"/>
          <w:szCs w:val="24"/>
        </w:rPr>
        <w:t xml:space="preserve">transform the value of </w:t>
      </w:r>
      <w:r w:rsidRPr="00301BD6">
        <w:rPr>
          <w:rFonts w:ascii="Times" w:hAnsi="Times" w:cs="Times"/>
          <w:sz w:val="24"/>
          <w:szCs w:val="24"/>
        </w:rPr>
        <w:t xml:space="preserve">SMR </w:t>
      </w:r>
      <w:r w:rsidR="00363954">
        <w:rPr>
          <w:rFonts w:ascii="Times" w:hAnsi="Times" w:cs="Times"/>
          <w:sz w:val="24"/>
          <w:szCs w:val="24"/>
        </w:rPr>
        <w:t xml:space="preserve">and narrowband licenses from fragmented spectrum slivers having little value for non-internal usage into </w:t>
      </w:r>
      <w:r w:rsidR="00363954" w:rsidRPr="00301BD6">
        <w:rPr>
          <w:rFonts w:ascii="Times" w:hAnsi="Times" w:cs="Times"/>
          <w:sz w:val="24"/>
          <w:szCs w:val="24"/>
        </w:rPr>
        <w:t>the same per MHz</w:t>
      </w:r>
      <w:r w:rsidR="00363954">
        <w:rPr>
          <w:rFonts w:ascii="Times" w:hAnsi="Times" w:cs="Times"/>
          <w:sz w:val="24"/>
          <w:szCs w:val="24"/>
        </w:rPr>
        <w:t>/</w:t>
      </w:r>
      <w:r w:rsidR="00363954" w:rsidRPr="00301BD6">
        <w:rPr>
          <w:rFonts w:ascii="Times" w:hAnsi="Times" w:cs="Times"/>
          <w:sz w:val="24"/>
          <w:szCs w:val="24"/>
        </w:rPr>
        <w:t xml:space="preserve">Pop price as </w:t>
      </w:r>
      <w:r w:rsidR="00363954">
        <w:rPr>
          <w:rFonts w:ascii="Times" w:hAnsi="Times" w:cs="Times"/>
          <w:sz w:val="24"/>
          <w:szCs w:val="24"/>
        </w:rPr>
        <w:t>a highly valuable 6 MHz broadband channel</w:t>
      </w:r>
      <w:r w:rsidRPr="00301BD6">
        <w:rPr>
          <w:rFonts w:ascii="Times" w:hAnsi="Times" w:cs="Times"/>
          <w:sz w:val="24"/>
          <w:szCs w:val="24"/>
        </w:rPr>
        <w:t xml:space="preserve">.  </w:t>
      </w:r>
      <w:r w:rsidR="00187913">
        <w:rPr>
          <w:rFonts w:ascii="Times" w:hAnsi="Times" w:cs="Times"/>
          <w:sz w:val="24"/>
          <w:szCs w:val="24"/>
        </w:rPr>
        <w:t>It’s like paying someone who has bits and pieces of an old jalopy sitting on his property to remove it by paying him the price of a new Mercedes. Incumbents</w:t>
      </w:r>
      <w:r w:rsidR="00363954">
        <w:rPr>
          <w:rFonts w:ascii="Times" w:hAnsi="Times" w:cs="Times"/>
          <w:sz w:val="24"/>
          <w:szCs w:val="24"/>
        </w:rPr>
        <w:t xml:space="preserve"> would have every incentive to </w:t>
      </w:r>
      <w:r w:rsidR="00187913">
        <w:rPr>
          <w:rFonts w:ascii="Times" w:hAnsi="Times" w:cs="Times"/>
          <w:sz w:val="24"/>
          <w:szCs w:val="24"/>
        </w:rPr>
        <w:t xml:space="preserve">artificially </w:t>
      </w:r>
      <w:r w:rsidR="00363954">
        <w:rPr>
          <w:rFonts w:ascii="Times" w:hAnsi="Times" w:cs="Times"/>
          <w:sz w:val="24"/>
          <w:szCs w:val="24"/>
        </w:rPr>
        <w:t xml:space="preserve">drive up the value of their own </w:t>
      </w:r>
      <w:r w:rsidR="00187913">
        <w:rPr>
          <w:rFonts w:ascii="Times" w:hAnsi="Times" w:cs="Times"/>
          <w:sz w:val="24"/>
          <w:szCs w:val="24"/>
        </w:rPr>
        <w:t>cheaply acquired licenses since the</w:t>
      </w:r>
      <w:r w:rsidRPr="00301BD6">
        <w:rPr>
          <w:rFonts w:ascii="Times" w:hAnsi="Times" w:cs="Times"/>
          <w:sz w:val="24"/>
          <w:szCs w:val="24"/>
        </w:rPr>
        <w:t xml:space="preserve"> credits </w:t>
      </w:r>
      <w:r w:rsidR="00187913">
        <w:rPr>
          <w:rFonts w:ascii="Times" w:hAnsi="Times" w:cs="Times"/>
          <w:sz w:val="24"/>
          <w:szCs w:val="24"/>
        </w:rPr>
        <w:t xml:space="preserve">they would be entitled to </w:t>
      </w:r>
      <w:r w:rsidRPr="00301BD6">
        <w:rPr>
          <w:rFonts w:ascii="Times" w:hAnsi="Times" w:cs="Times"/>
          <w:sz w:val="24"/>
          <w:szCs w:val="24"/>
        </w:rPr>
        <w:t>would increase at the same percentage rate as bids.</w:t>
      </w:r>
      <w:r w:rsidR="00187913">
        <w:rPr>
          <w:rFonts w:ascii="Times" w:hAnsi="Times" w:cs="Times"/>
          <w:sz w:val="24"/>
          <w:szCs w:val="24"/>
        </w:rPr>
        <w:t xml:space="preserve">  </w:t>
      </w:r>
    </w:p>
    <w:p w:rsidR="00301BD6" w:rsidRDefault="00301BD6" w:rsidP="00761988">
      <w:pPr>
        <w:widowControl/>
        <w:spacing w:line="480" w:lineRule="auto"/>
        <w:rPr>
          <w:rFonts w:ascii="Times" w:hAnsi="Times" w:cs="Times"/>
          <w:sz w:val="24"/>
          <w:szCs w:val="24"/>
        </w:rPr>
      </w:pPr>
      <w:r>
        <w:rPr>
          <w:rFonts w:eastAsiaTheme="minorHAnsi" w:cs="Arial"/>
          <w:snapToGrid/>
          <w:kern w:val="0"/>
          <w:sz w:val="24"/>
          <w:szCs w:val="24"/>
        </w:rPr>
        <w:tab/>
      </w:r>
      <w:r w:rsidR="00187913">
        <w:rPr>
          <w:rFonts w:ascii="Times" w:hAnsi="Times" w:cs="Times"/>
          <w:sz w:val="24"/>
          <w:szCs w:val="24"/>
        </w:rPr>
        <w:t>Incentive auctions could possibly be made fair if the incentive payments we</w:t>
      </w:r>
      <w:r w:rsidRPr="00301BD6">
        <w:rPr>
          <w:rFonts w:ascii="Times" w:hAnsi="Times" w:cs="Times"/>
          <w:sz w:val="24"/>
          <w:szCs w:val="24"/>
        </w:rPr>
        <w:t xml:space="preserve">re tied to the actual value of the SMR licenses today </w:t>
      </w:r>
      <w:r w:rsidRPr="00187913">
        <w:rPr>
          <w:rFonts w:ascii="Times" w:hAnsi="Times" w:cs="Times"/>
          <w:i/>
          <w:sz w:val="24"/>
          <w:szCs w:val="24"/>
        </w:rPr>
        <w:t>without</w:t>
      </w:r>
      <w:r w:rsidRPr="00301BD6">
        <w:rPr>
          <w:rFonts w:ascii="Times" w:hAnsi="Times" w:cs="Times"/>
          <w:sz w:val="24"/>
          <w:szCs w:val="24"/>
        </w:rPr>
        <w:t xml:space="preserve"> </w:t>
      </w:r>
      <w:r w:rsidR="00187913">
        <w:rPr>
          <w:rFonts w:ascii="Times" w:hAnsi="Times" w:cs="Times"/>
          <w:sz w:val="24"/>
          <w:szCs w:val="24"/>
        </w:rPr>
        <w:t>the added value of being a component in a broadband channel</w:t>
      </w:r>
      <w:r w:rsidRPr="00301BD6">
        <w:rPr>
          <w:rFonts w:ascii="Times" w:hAnsi="Times" w:cs="Times"/>
          <w:sz w:val="24"/>
          <w:szCs w:val="24"/>
        </w:rPr>
        <w:t xml:space="preserve">.  Separating the value of SMR licenses from the value of broadband licenses is </w:t>
      </w:r>
      <w:r w:rsidR="00187913">
        <w:rPr>
          <w:rFonts w:ascii="Times" w:hAnsi="Times" w:cs="Times"/>
          <w:sz w:val="24"/>
          <w:szCs w:val="24"/>
        </w:rPr>
        <w:t>essential</w:t>
      </w:r>
      <w:r w:rsidRPr="00301BD6">
        <w:rPr>
          <w:rFonts w:ascii="Times" w:hAnsi="Times" w:cs="Times"/>
          <w:sz w:val="24"/>
          <w:szCs w:val="24"/>
        </w:rPr>
        <w:t xml:space="preserve"> to eliminating windfall and creat</w:t>
      </w:r>
      <w:r w:rsidR="00187913">
        <w:rPr>
          <w:rFonts w:ascii="Times" w:hAnsi="Times" w:cs="Times"/>
          <w:sz w:val="24"/>
          <w:szCs w:val="24"/>
        </w:rPr>
        <w:t>ing</w:t>
      </w:r>
      <w:r w:rsidRPr="00301BD6">
        <w:rPr>
          <w:rFonts w:ascii="Times" w:hAnsi="Times" w:cs="Times"/>
          <w:sz w:val="24"/>
          <w:szCs w:val="24"/>
        </w:rPr>
        <w:t xml:space="preserve"> a fair bidding process. </w:t>
      </w:r>
      <w:r w:rsidR="00187913">
        <w:rPr>
          <w:rFonts w:ascii="Times" w:hAnsi="Times" w:cs="Times"/>
          <w:sz w:val="24"/>
          <w:szCs w:val="24"/>
        </w:rPr>
        <w:t>This co</w:t>
      </w:r>
      <w:r w:rsidR="00FB071B">
        <w:rPr>
          <w:rFonts w:ascii="Times" w:hAnsi="Times" w:cs="Times"/>
          <w:sz w:val="24"/>
          <w:szCs w:val="24"/>
        </w:rPr>
        <w:t>u</w:t>
      </w:r>
      <w:r w:rsidR="00187913">
        <w:rPr>
          <w:rFonts w:ascii="Times" w:hAnsi="Times" w:cs="Times"/>
          <w:sz w:val="24"/>
          <w:szCs w:val="24"/>
        </w:rPr>
        <w:t xml:space="preserve">ld be done by </w:t>
      </w:r>
    </w:p>
    <w:p w:rsidR="00FB071B" w:rsidRDefault="00301BD6" w:rsidP="009649E5">
      <w:pPr>
        <w:widowControl/>
        <w:spacing w:line="480" w:lineRule="auto"/>
        <w:rPr>
          <w:rFonts w:ascii="Times" w:hAnsi="Times" w:cs="Times"/>
          <w:sz w:val="24"/>
          <w:szCs w:val="24"/>
        </w:rPr>
      </w:pPr>
      <w:r w:rsidRPr="00301BD6">
        <w:rPr>
          <w:rFonts w:ascii="Times" w:hAnsi="Times" w:cs="Times"/>
          <w:sz w:val="24"/>
          <w:szCs w:val="24"/>
        </w:rPr>
        <w:t>follow</w:t>
      </w:r>
      <w:r w:rsidR="00FB071B">
        <w:rPr>
          <w:rFonts w:ascii="Times" w:hAnsi="Times" w:cs="Times"/>
          <w:sz w:val="24"/>
          <w:szCs w:val="24"/>
        </w:rPr>
        <w:t>ing</w:t>
      </w:r>
      <w:r w:rsidRPr="00301BD6">
        <w:rPr>
          <w:rFonts w:ascii="Times" w:hAnsi="Times" w:cs="Times"/>
          <w:sz w:val="24"/>
          <w:szCs w:val="24"/>
        </w:rPr>
        <w:t xml:space="preserve"> the recent prices paid for SMR licenses rather than linking it to the price per MHz</w:t>
      </w:r>
      <w:r w:rsidR="00FB071B">
        <w:rPr>
          <w:rFonts w:ascii="Times" w:hAnsi="Times" w:cs="Times"/>
          <w:sz w:val="24"/>
          <w:szCs w:val="24"/>
        </w:rPr>
        <w:t>/</w:t>
      </w:r>
      <w:r w:rsidRPr="00301BD6">
        <w:rPr>
          <w:rFonts w:ascii="Times" w:hAnsi="Times" w:cs="Times"/>
          <w:sz w:val="24"/>
          <w:szCs w:val="24"/>
        </w:rPr>
        <w:t xml:space="preserve">Pop </w:t>
      </w:r>
      <w:r w:rsidR="00FB071B">
        <w:rPr>
          <w:rFonts w:ascii="Times" w:hAnsi="Times" w:cs="Times"/>
          <w:sz w:val="24"/>
          <w:szCs w:val="24"/>
        </w:rPr>
        <w:t>derived from the</w:t>
      </w:r>
      <w:r w:rsidR="00F56065">
        <w:rPr>
          <w:rFonts w:ascii="Times" w:hAnsi="Times" w:cs="Times"/>
          <w:sz w:val="24"/>
          <w:szCs w:val="24"/>
        </w:rPr>
        <w:t xml:space="preserve"> broadband auction. Pdv</w:t>
      </w:r>
      <w:r w:rsidR="00C239EF">
        <w:rPr>
          <w:rFonts w:ascii="Times" w:hAnsi="Times" w:cs="Times"/>
          <w:sz w:val="24"/>
          <w:szCs w:val="24"/>
        </w:rPr>
        <w:t xml:space="preserve"> </w:t>
      </w:r>
      <w:r w:rsidR="00F56065">
        <w:rPr>
          <w:rFonts w:ascii="Times" w:hAnsi="Times" w:cs="Times"/>
          <w:sz w:val="24"/>
          <w:szCs w:val="24"/>
        </w:rPr>
        <w:t>W</w:t>
      </w:r>
      <w:r w:rsidRPr="00301BD6">
        <w:rPr>
          <w:rFonts w:ascii="Times" w:hAnsi="Times" w:cs="Times"/>
          <w:sz w:val="24"/>
          <w:szCs w:val="24"/>
        </w:rPr>
        <w:t xml:space="preserve">ireless in one of </w:t>
      </w:r>
      <w:r w:rsidR="00440EBE">
        <w:rPr>
          <w:rFonts w:ascii="Times" w:hAnsi="Times" w:cs="Times"/>
          <w:sz w:val="24"/>
          <w:szCs w:val="24"/>
        </w:rPr>
        <w:t>its share</w:t>
      </w:r>
      <w:r w:rsidRPr="00301BD6">
        <w:rPr>
          <w:rFonts w:ascii="Times" w:hAnsi="Times" w:cs="Times"/>
          <w:sz w:val="24"/>
          <w:szCs w:val="24"/>
        </w:rPr>
        <w:t>holder presentations</w:t>
      </w:r>
      <w:r w:rsidR="00FB071B">
        <w:rPr>
          <w:rFonts w:ascii="Times" w:hAnsi="Times" w:cs="Times"/>
          <w:sz w:val="24"/>
          <w:szCs w:val="24"/>
        </w:rPr>
        <w:t xml:space="preserve">, for example, disclosed that it had </w:t>
      </w:r>
      <w:r w:rsidRPr="00301BD6">
        <w:rPr>
          <w:rFonts w:ascii="Times" w:hAnsi="Times" w:cs="Times"/>
          <w:sz w:val="24"/>
          <w:szCs w:val="24"/>
        </w:rPr>
        <w:t>paid an average of $0.06 per MHz</w:t>
      </w:r>
      <w:r w:rsidR="00FB071B">
        <w:rPr>
          <w:rFonts w:ascii="Times" w:hAnsi="Times" w:cs="Times"/>
          <w:sz w:val="24"/>
          <w:szCs w:val="24"/>
        </w:rPr>
        <w:t>/</w:t>
      </w:r>
      <w:r w:rsidRPr="00301BD6">
        <w:rPr>
          <w:rFonts w:ascii="Times" w:hAnsi="Times" w:cs="Times"/>
          <w:sz w:val="24"/>
          <w:szCs w:val="24"/>
        </w:rPr>
        <w:t>Pop for the purchase of SMR licenses from Sprint and other 3</w:t>
      </w:r>
      <w:r w:rsidRPr="00301BD6">
        <w:rPr>
          <w:rFonts w:ascii="Times" w:hAnsi="Times" w:cs="Times"/>
          <w:sz w:val="24"/>
          <w:szCs w:val="24"/>
          <w:vertAlign w:val="superscript"/>
        </w:rPr>
        <w:t>rd</w:t>
      </w:r>
      <w:r w:rsidRPr="00301BD6">
        <w:rPr>
          <w:rFonts w:ascii="Times" w:hAnsi="Times" w:cs="Times"/>
          <w:sz w:val="24"/>
          <w:szCs w:val="24"/>
        </w:rPr>
        <w:t xml:space="preserve"> parties in 2014.  T</w:t>
      </w:r>
      <w:r w:rsidR="00FB071B">
        <w:rPr>
          <w:rFonts w:ascii="Times" w:hAnsi="Times" w:cs="Times"/>
          <w:sz w:val="24"/>
          <w:szCs w:val="24"/>
        </w:rPr>
        <w:t xml:space="preserve">o eliminate the windfall which would otherwise be bestowed on incumbents, </w:t>
      </w:r>
      <w:r w:rsidRPr="00301BD6">
        <w:rPr>
          <w:rFonts w:ascii="Times" w:hAnsi="Times" w:cs="Times"/>
          <w:sz w:val="24"/>
          <w:szCs w:val="24"/>
        </w:rPr>
        <w:t>SMR licensee payment-incentives (credits)</w:t>
      </w:r>
      <w:r w:rsidR="00FB071B">
        <w:rPr>
          <w:rFonts w:ascii="Times" w:hAnsi="Times" w:cs="Times"/>
          <w:sz w:val="24"/>
          <w:szCs w:val="24"/>
        </w:rPr>
        <w:t xml:space="preserve"> should be</w:t>
      </w:r>
      <w:r w:rsidRPr="00301BD6">
        <w:rPr>
          <w:rFonts w:ascii="Times" w:hAnsi="Times" w:cs="Times"/>
          <w:sz w:val="24"/>
          <w:szCs w:val="24"/>
        </w:rPr>
        <w:t xml:space="preserve"> based on the purchase price </w:t>
      </w:r>
      <w:r w:rsidR="00440EBE">
        <w:rPr>
          <w:rFonts w:ascii="Times" w:hAnsi="Times" w:cs="Times"/>
          <w:sz w:val="24"/>
          <w:szCs w:val="24"/>
        </w:rPr>
        <w:t xml:space="preserve">originally </w:t>
      </w:r>
      <w:r w:rsidRPr="00301BD6">
        <w:rPr>
          <w:rFonts w:ascii="Times" w:hAnsi="Times" w:cs="Times"/>
          <w:sz w:val="24"/>
          <w:szCs w:val="24"/>
        </w:rPr>
        <w:t xml:space="preserve">paid for the SMR license, discounted (linearly) in time for </w:t>
      </w:r>
      <w:r w:rsidRPr="00301BD6">
        <w:rPr>
          <w:rFonts w:ascii="Times" w:hAnsi="Times" w:cs="Times"/>
          <w:sz w:val="24"/>
          <w:szCs w:val="24"/>
        </w:rPr>
        <w:lastRenderedPageBreak/>
        <w:t xml:space="preserve">the remaining period of the license.  This value can then represent the credits that would be due to SMR licensees in the incentive auction process.  </w:t>
      </w:r>
      <w:r w:rsidR="00FB071B">
        <w:rPr>
          <w:rFonts w:ascii="Times" w:hAnsi="Times" w:cs="Times"/>
          <w:sz w:val="24"/>
          <w:szCs w:val="24"/>
        </w:rPr>
        <w:t xml:space="preserve"> The incumbent would be fairly compensated, the treasury would not be funding a blatant windfall, and auction prices would accurately reflect the value of the broadband license without artificial inflation.</w:t>
      </w:r>
    </w:p>
    <w:p w:rsidR="00FB071B" w:rsidRDefault="00FB071B" w:rsidP="00761988">
      <w:pPr>
        <w:widowControl/>
        <w:spacing w:line="480" w:lineRule="auto"/>
        <w:rPr>
          <w:rFonts w:ascii="Times" w:hAnsi="Times" w:cs="Times"/>
          <w:sz w:val="24"/>
          <w:szCs w:val="24"/>
        </w:rPr>
      </w:pPr>
      <w:r>
        <w:rPr>
          <w:rFonts w:ascii="Times" w:hAnsi="Times" w:cs="Times"/>
          <w:sz w:val="24"/>
          <w:szCs w:val="24"/>
        </w:rPr>
        <w:tab/>
      </w:r>
      <w:r w:rsidRPr="00D44A77">
        <w:rPr>
          <w:rFonts w:ascii="Times" w:hAnsi="Times" w:cs="Times"/>
          <w:sz w:val="24"/>
          <w:szCs w:val="24"/>
        </w:rPr>
        <w:t xml:space="preserve">Finally, to achieve the goals of the reallocation of this band for the primary purpose of </w:t>
      </w:r>
      <w:r w:rsidR="00F77FF8" w:rsidRPr="00D44A77">
        <w:rPr>
          <w:rFonts w:ascii="Times" w:hAnsi="Times" w:cs="Times"/>
          <w:sz w:val="24"/>
          <w:szCs w:val="24"/>
        </w:rPr>
        <w:t xml:space="preserve">meeting the unique needs of utilities, the Commission should grant bidding credits in the auction to small utilities serving fewer than </w:t>
      </w:r>
      <w:r w:rsidR="00D44A77" w:rsidRPr="00D44A77">
        <w:rPr>
          <w:rFonts w:ascii="Times" w:hAnsi="Times" w:cs="Times"/>
          <w:sz w:val="24"/>
          <w:szCs w:val="24"/>
        </w:rPr>
        <w:t>100,000</w:t>
      </w:r>
      <w:r w:rsidR="00F77FF8" w:rsidRPr="00D44A77">
        <w:rPr>
          <w:rFonts w:ascii="Times" w:hAnsi="Times" w:cs="Times"/>
          <w:sz w:val="24"/>
          <w:szCs w:val="24"/>
        </w:rPr>
        <w:t xml:space="preserve"> customers </w:t>
      </w:r>
      <w:r w:rsidR="00D44A77" w:rsidRPr="00D44A77">
        <w:rPr>
          <w:rFonts w:ascii="Times" w:hAnsi="Times" w:cs="Times"/>
          <w:sz w:val="24"/>
          <w:szCs w:val="24"/>
        </w:rPr>
        <w:t xml:space="preserve">(i.e., billing entities) </w:t>
      </w:r>
      <w:r w:rsidR="00F77FF8" w:rsidRPr="00D44A77">
        <w:rPr>
          <w:rFonts w:ascii="Times" w:hAnsi="Times" w:cs="Times"/>
          <w:sz w:val="24"/>
          <w:szCs w:val="24"/>
        </w:rPr>
        <w:t>at a 35% level and to larger utilities at a 25% level.  This process would ensure that non-utilities would have an opportunity to acquire the broadband licenses if they valued them highly enough while at the same time encouraging ownership by utilities whose needs this spectrum would specifically meet.</w:t>
      </w:r>
    </w:p>
    <w:p w:rsidR="00565080" w:rsidRPr="009649E5" w:rsidRDefault="00996C57" w:rsidP="000F3E53">
      <w:pPr>
        <w:pStyle w:val="ListParagraph"/>
        <w:widowControl/>
        <w:numPr>
          <w:ilvl w:val="0"/>
          <w:numId w:val="6"/>
        </w:numPr>
        <w:ind w:left="1080"/>
        <w:outlineLvl w:val="1"/>
        <w:rPr>
          <w:rFonts w:eastAsiaTheme="minorHAnsi" w:cs="Arial"/>
          <w:b/>
          <w:snapToGrid/>
          <w:kern w:val="0"/>
          <w:sz w:val="24"/>
          <w:szCs w:val="22"/>
          <w:u w:val="single"/>
        </w:rPr>
      </w:pPr>
      <w:bookmarkStart w:id="10" w:name="_Toc10204868"/>
      <w:r w:rsidRPr="009649E5">
        <w:rPr>
          <w:rFonts w:eastAsiaTheme="minorHAnsi" w:cs="Arial"/>
          <w:b/>
          <w:snapToGrid/>
          <w:kern w:val="0"/>
          <w:sz w:val="24"/>
          <w:szCs w:val="22"/>
          <w:u w:val="single"/>
        </w:rPr>
        <w:t>Performance Metrics</w:t>
      </w:r>
      <w:bookmarkEnd w:id="10"/>
    </w:p>
    <w:p w:rsidR="00565080" w:rsidRPr="00565080" w:rsidRDefault="00565080" w:rsidP="00565080">
      <w:pPr>
        <w:pStyle w:val="ListParagraph"/>
        <w:rPr>
          <w:rFonts w:eastAsiaTheme="minorHAnsi" w:cs="Arial"/>
          <w:b/>
          <w:snapToGrid/>
          <w:kern w:val="0"/>
          <w:sz w:val="24"/>
          <w:szCs w:val="22"/>
        </w:rPr>
      </w:pPr>
    </w:p>
    <w:p w:rsidR="00565080" w:rsidRDefault="00565080" w:rsidP="00761988">
      <w:pPr>
        <w:pStyle w:val="ListParagraph"/>
        <w:widowControl/>
        <w:spacing w:line="480" w:lineRule="auto"/>
        <w:ind w:left="0"/>
        <w:rPr>
          <w:rFonts w:eastAsiaTheme="minorHAnsi" w:cs="Arial"/>
          <w:snapToGrid/>
          <w:kern w:val="0"/>
          <w:sz w:val="24"/>
          <w:szCs w:val="22"/>
        </w:rPr>
      </w:pPr>
      <w:r>
        <w:rPr>
          <w:rFonts w:eastAsiaTheme="minorHAnsi" w:cs="Arial"/>
          <w:snapToGrid/>
          <w:kern w:val="0"/>
          <w:sz w:val="24"/>
          <w:szCs w:val="22"/>
        </w:rPr>
        <w:tab/>
      </w:r>
      <w:r w:rsidRPr="00565080">
        <w:rPr>
          <w:rFonts w:eastAsiaTheme="minorHAnsi" w:cs="Arial"/>
          <w:snapToGrid/>
          <w:kern w:val="0"/>
          <w:sz w:val="24"/>
          <w:szCs w:val="22"/>
        </w:rPr>
        <w:t xml:space="preserve">The NPRM seeks comment on performance metrics that would require coverage of 45% of the population </w:t>
      </w:r>
      <w:r w:rsidR="00440EBE">
        <w:rPr>
          <w:rFonts w:eastAsiaTheme="minorHAnsi" w:cs="Arial"/>
          <w:snapToGrid/>
          <w:kern w:val="0"/>
          <w:sz w:val="24"/>
          <w:szCs w:val="22"/>
        </w:rPr>
        <w:t xml:space="preserve">of the service area </w:t>
      </w:r>
      <w:r w:rsidRPr="00565080">
        <w:rPr>
          <w:rFonts w:eastAsiaTheme="minorHAnsi" w:cs="Arial"/>
          <w:snapToGrid/>
          <w:kern w:val="0"/>
          <w:sz w:val="24"/>
          <w:szCs w:val="22"/>
        </w:rPr>
        <w:t>within six years of license issuance and 80% coverage within twelve years.  SCE believes th</w:t>
      </w:r>
      <w:r>
        <w:rPr>
          <w:rFonts w:eastAsiaTheme="minorHAnsi" w:cs="Arial"/>
          <w:snapToGrid/>
          <w:kern w:val="0"/>
          <w:sz w:val="24"/>
          <w:szCs w:val="22"/>
        </w:rPr>
        <w:t>e</w:t>
      </w:r>
      <w:r w:rsidRPr="00565080">
        <w:rPr>
          <w:rFonts w:eastAsiaTheme="minorHAnsi" w:cs="Arial"/>
          <w:snapToGrid/>
          <w:kern w:val="0"/>
          <w:sz w:val="24"/>
          <w:szCs w:val="22"/>
        </w:rPr>
        <w:t xml:space="preserve">se metrics </w:t>
      </w:r>
      <w:r>
        <w:rPr>
          <w:rFonts w:eastAsiaTheme="minorHAnsi" w:cs="Arial"/>
          <w:snapToGrid/>
          <w:kern w:val="0"/>
          <w:sz w:val="24"/>
          <w:szCs w:val="22"/>
        </w:rPr>
        <w:t>are fair and should be adopted, with t</w:t>
      </w:r>
      <w:r w:rsidR="00322EB7">
        <w:rPr>
          <w:rFonts w:eastAsiaTheme="minorHAnsi" w:cs="Arial"/>
          <w:snapToGrid/>
          <w:kern w:val="0"/>
          <w:sz w:val="24"/>
          <w:szCs w:val="22"/>
        </w:rPr>
        <w:t>hree</w:t>
      </w:r>
      <w:r>
        <w:rPr>
          <w:rFonts w:eastAsiaTheme="minorHAnsi" w:cs="Arial"/>
          <w:snapToGrid/>
          <w:kern w:val="0"/>
          <w:sz w:val="24"/>
          <w:szCs w:val="22"/>
        </w:rPr>
        <w:t xml:space="preserve"> provisos. First, setting the performance metric start date at the issuance of the broadband license is only feasible if there is a mandatory relocation deadline for incumbents that will ensure that the band is cleared with sufficient time for the broadband licensee to realistically meet the benchmark.  Without such a deadline, it may be difficult or impossible for the licensee to meet its performance obligation.  Second, the performance evaluation must take into account that utilities will generally be using the broadband spectrum for a 5G broadband network </w:t>
      </w:r>
      <w:r w:rsidR="00F77FF8">
        <w:rPr>
          <w:rFonts w:eastAsiaTheme="minorHAnsi" w:cs="Arial"/>
          <w:snapToGrid/>
          <w:kern w:val="0"/>
          <w:sz w:val="24"/>
          <w:szCs w:val="22"/>
        </w:rPr>
        <w:t>that</w:t>
      </w:r>
      <w:r>
        <w:rPr>
          <w:rFonts w:eastAsiaTheme="minorHAnsi" w:cs="Arial"/>
          <w:snapToGrid/>
          <w:kern w:val="0"/>
          <w:sz w:val="24"/>
          <w:szCs w:val="22"/>
        </w:rPr>
        <w:t xml:space="preserve"> will be primarily data driven with considerable device</w:t>
      </w:r>
      <w:r w:rsidR="00440EBE">
        <w:rPr>
          <w:rFonts w:eastAsiaTheme="minorHAnsi" w:cs="Arial"/>
          <w:snapToGrid/>
          <w:kern w:val="0"/>
          <w:sz w:val="24"/>
          <w:szCs w:val="22"/>
        </w:rPr>
        <w:t>-</w:t>
      </w:r>
      <w:r>
        <w:rPr>
          <w:rFonts w:eastAsiaTheme="minorHAnsi" w:cs="Arial"/>
          <w:snapToGrid/>
          <w:kern w:val="0"/>
          <w:sz w:val="24"/>
          <w:szCs w:val="22"/>
        </w:rPr>
        <w:t>to</w:t>
      </w:r>
      <w:r w:rsidR="00440EBE">
        <w:rPr>
          <w:rFonts w:eastAsiaTheme="minorHAnsi" w:cs="Arial"/>
          <w:snapToGrid/>
          <w:kern w:val="0"/>
          <w:sz w:val="24"/>
          <w:szCs w:val="22"/>
        </w:rPr>
        <w:t>-</w:t>
      </w:r>
      <w:r>
        <w:rPr>
          <w:rFonts w:eastAsiaTheme="minorHAnsi" w:cs="Arial"/>
          <w:snapToGrid/>
          <w:kern w:val="0"/>
          <w:sz w:val="24"/>
          <w:szCs w:val="22"/>
        </w:rPr>
        <w:t xml:space="preserve">device usage. </w:t>
      </w:r>
      <w:r>
        <w:rPr>
          <w:rFonts w:ascii="Times" w:hAnsi="Times" w:cs="Times"/>
          <w:sz w:val="24"/>
          <w:szCs w:val="24"/>
        </w:rPr>
        <w:t>For such applications, satisfactory signal level</w:t>
      </w:r>
      <w:r w:rsidRPr="00565080">
        <w:rPr>
          <w:rFonts w:ascii="Times" w:hAnsi="Times" w:cs="Times"/>
          <w:sz w:val="24"/>
          <w:szCs w:val="24"/>
        </w:rPr>
        <w:t xml:space="preserve">s should be measured at an acceptable level for Cat-M and Cat-NB </w:t>
      </w:r>
      <w:r w:rsidRPr="00565080">
        <w:rPr>
          <w:rFonts w:ascii="Times" w:hAnsi="Times" w:cs="Times"/>
          <w:sz w:val="24"/>
          <w:szCs w:val="24"/>
        </w:rPr>
        <w:lastRenderedPageBreak/>
        <w:t xml:space="preserve">devices as standardized by 3GPP. </w:t>
      </w:r>
      <w:r w:rsidR="00440EBE">
        <w:rPr>
          <w:rFonts w:ascii="Times" w:hAnsi="Times" w:cs="Times"/>
          <w:sz w:val="24"/>
          <w:szCs w:val="24"/>
        </w:rPr>
        <w:t xml:space="preserve"> A</w:t>
      </w:r>
      <w:r w:rsidRPr="00565080">
        <w:rPr>
          <w:rFonts w:ascii="Times" w:hAnsi="Times" w:cs="Times"/>
          <w:sz w:val="24"/>
          <w:szCs w:val="24"/>
        </w:rPr>
        <w:t xml:space="preserve"> reliable signal level can be measured as low as -120 dBm using a 1.5 dBi receive antenna at 1.5 m AGL.</w:t>
      </w:r>
      <w:r>
        <w:rPr>
          <w:rFonts w:ascii="Times" w:hAnsi="Times" w:cs="Times"/>
          <w:sz w:val="24"/>
          <w:szCs w:val="24"/>
        </w:rPr>
        <w:t xml:space="preserve">  These levels would readily serve the intended purpose of the network and licensees should not be held to </w:t>
      </w:r>
      <w:r w:rsidR="00440EBE">
        <w:rPr>
          <w:rFonts w:ascii="Times" w:hAnsi="Times" w:cs="Times"/>
          <w:sz w:val="24"/>
          <w:szCs w:val="24"/>
        </w:rPr>
        <w:t xml:space="preserve">higher </w:t>
      </w:r>
      <w:r>
        <w:rPr>
          <w:rFonts w:ascii="Times" w:hAnsi="Times" w:cs="Times"/>
          <w:sz w:val="24"/>
          <w:szCs w:val="24"/>
        </w:rPr>
        <w:t xml:space="preserve">signal level standards that are appropriate to voice-based applications.  </w:t>
      </w:r>
      <w:r w:rsidR="00322EB7">
        <w:rPr>
          <w:rFonts w:ascii="Times" w:hAnsi="Times" w:cs="Times"/>
          <w:sz w:val="24"/>
          <w:szCs w:val="24"/>
        </w:rPr>
        <w:t>Finally, once the 80% coverage threshold is reached, the Commission should not require substantially more expansion in later years or later renewal terms.  The licensee will have already put the spectrum to very substantial u</w:t>
      </w:r>
      <w:r w:rsidR="00FB6908">
        <w:rPr>
          <w:rFonts w:ascii="Times" w:hAnsi="Times" w:cs="Times"/>
          <w:sz w:val="24"/>
          <w:szCs w:val="24"/>
        </w:rPr>
        <w:t xml:space="preserve">se, and it is </w:t>
      </w:r>
      <w:r w:rsidR="00440EBE">
        <w:rPr>
          <w:rFonts w:ascii="Times" w:hAnsi="Times" w:cs="Times"/>
          <w:sz w:val="24"/>
          <w:szCs w:val="24"/>
        </w:rPr>
        <w:t xml:space="preserve">already </w:t>
      </w:r>
      <w:r w:rsidR="00FB6908">
        <w:rPr>
          <w:rFonts w:ascii="Times" w:hAnsi="Times" w:cs="Times"/>
          <w:sz w:val="24"/>
          <w:szCs w:val="24"/>
        </w:rPr>
        <w:t xml:space="preserve">incentivized to </w:t>
      </w:r>
      <w:r w:rsidR="00440EBE">
        <w:rPr>
          <w:rFonts w:ascii="Times" w:hAnsi="Times" w:cs="Times"/>
          <w:sz w:val="24"/>
          <w:szCs w:val="24"/>
        </w:rPr>
        <w:t>put</w:t>
      </w:r>
      <w:r w:rsidR="00FB6908">
        <w:rPr>
          <w:rFonts w:ascii="Times" w:hAnsi="Times" w:cs="Times"/>
          <w:sz w:val="24"/>
          <w:szCs w:val="24"/>
        </w:rPr>
        <w:t xml:space="preserve"> the spectrum to the fullest </w:t>
      </w:r>
      <w:r w:rsidR="00440EBE">
        <w:rPr>
          <w:rFonts w:ascii="Times" w:hAnsi="Times" w:cs="Times"/>
          <w:sz w:val="24"/>
          <w:szCs w:val="24"/>
        </w:rPr>
        <w:t>use</w:t>
      </w:r>
      <w:r w:rsidR="00FB6908">
        <w:rPr>
          <w:rFonts w:ascii="Times" w:hAnsi="Times" w:cs="Times"/>
          <w:sz w:val="24"/>
          <w:szCs w:val="24"/>
        </w:rPr>
        <w:t xml:space="preserve"> feasible.  No incentives to artificially create usage are needed.</w:t>
      </w:r>
    </w:p>
    <w:p w:rsidR="00996C57" w:rsidRPr="009649E5" w:rsidRDefault="00996C57" w:rsidP="004E1CBC">
      <w:pPr>
        <w:pStyle w:val="ListParagraph"/>
        <w:keepNext/>
        <w:keepLines/>
        <w:widowControl/>
        <w:numPr>
          <w:ilvl w:val="0"/>
          <w:numId w:val="6"/>
        </w:numPr>
        <w:ind w:left="1080"/>
        <w:outlineLvl w:val="1"/>
        <w:rPr>
          <w:rFonts w:eastAsiaTheme="minorHAnsi" w:cs="Arial"/>
          <w:b/>
          <w:snapToGrid/>
          <w:kern w:val="0"/>
          <w:sz w:val="24"/>
          <w:szCs w:val="22"/>
          <w:u w:val="single"/>
        </w:rPr>
      </w:pPr>
      <w:bookmarkStart w:id="11" w:name="_Toc10204869"/>
      <w:r w:rsidRPr="009649E5">
        <w:rPr>
          <w:rFonts w:eastAsiaTheme="minorHAnsi" w:cs="Arial"/>
          <w:b/>
          <w:snapToGrid/>
          <w:kern w:val="0"/>
          <w:sz w:val="24"/>
          <w:szCs w:val="22"/>
          <w:u w:val="single"/>
        </w:rPr>
        <w:t>Continued Narrowband Use</w:t>
      </w:r>
      <w:bookmarkEnd w:id="11"/>
    </w:p>
    <w:p w:rsidR="007242B4" w:rsidRPr="007242B4" w:rsidRDefault="007242B4" w:rsidP="004E1CBC">
      <w:pPr>
        <w:pStyle w:val="ListParagraph"/>
        <w:keepNext/>
        <w:keepLines/>
        <w:widowControl/>
        <w:rPr>
          <w:rFonts w:eastAsiaTheme="minorHAnsi" w:cs="Arial"/>
          <w:snapToGrid/>
          <w:kern w:val="0"/>
          <w:sz w:val="24"/>
          <w:szCs w:val="22"/>
        </w:rPr>
      </w:pPr>
    </w:p>
    <w:p w:rsidR="00996C57" w:rsidRDefault="00996C57" w:rsidP="004E1CBC">
      <w:pPr>
        <w:pStyle w:val="ListParagraph"/>
        <w:keepNext/>
        <w:keepLines/>
        <w:autoSpaceDE w:val="0"/>
        <w:autoSpaceDN w:val="0"/>
        <w:adjustRightInd w:val="0"/>
        <w:spacing w:before="240" w:after="240" w:line="480" w:lineRule="auto"/>
        <w:ind w:left="0"/>
        <w:rPr>
          <w:rFonts w:ascii="Times" w:hAnsi="Times" w:cs="Times"/>
          <w:sz w:val="24"/>
          <w:szCs w:val="24"/>
        </w:rPr>
      </w:pPr>
      <w:r>
        <w:rPr>
          <w:rFonts w:eastAsiaTheme="minorHAnsi" w:cs="Arial"/>
          <w:snapToGrid/>
          <w:kern w:val="0"/>
          <w:sz w:val="24"/>
          <w:szCs w:val="22"/>
        </w:rPr>
        <w:tab/>
      </w:r>
      <w:r w:rsidRPr="00386A72">
        <w:rPr>
          <w:rFonts w:eastAsiaTheme="minorHAnsi" w:cs="Arial"/>
          <w:snapToGrid/>
          <w:kern w:val="0"/>
          <w:sz w:val="24"/>
          <w:szCs w:val="22"/>
        </w:rPr>
        <w:t xml:space="preserve">The NPRM recognizes, as does SCE, that there is a continuing place for narrowband spectrum use by 900 MHz licensees. </w:t>
      </w:r>
      <w:r w:rsidR="00440EBE">
        <w:rPr>
          <w:rFonts w:ascii="Times" w:hAnsi="Times" w:cs="Times"/>
          <w:sz w:val="24"/>
          <w:szCs w:val="24"/>
        </w:rPr>
        <w:t>The proposed 4</w:t>
      </w:r>
      <w:r w:rsidRPr="00386A72">
        <w:rPr>
          <w:rFonts w:ascii="Times" w:hAnsi="Times" w:cs="Times"/>
          <w:sz w:val="24"/>
          <w:szCs w:val="24"/>
        </w:rPr>
        <w:t xml:space="preserve"> MHz narrowband segment will contain 160 narrowband channels.  The Commission should apply the same rules to the narrowband segment as </w:t>
      </w:r>
      <w:r w:rsidR="00440EBE">
        <w:rPr>
          <w:rFonts w:ascii="Times" w:hAnsi="Times" w:cs="Times"/>
          <w:sz w:val="24"/>
          <w:szCs w:val="24"/>
        </w:rPr>
        <w:t>it applies today for</w:t>
      </w:r>
      <w:r w:rsidRPr="00386A72">
        <w:rPr>
          <w:rFonts w:ascii="Times" w:hAnsi="Times" w:cs="Times"/>
          <w:sz w:val="24"/>
          <w:szCs w:val="24"/>
        </w:rPr>
        <w:t xml:space="preserve"> B/ILT licensing.  As B/ILT site licenses will have to coexist with the broadband license, any new sites, whether they are broadband or B/ILT, must not adversely affect existing </w:t>
      </w:r>
      <w:r>
        <w:rPr>
          <w:rFonts w:ascii="Times" w:hAnsi="Times" w:cs="Times"/>
          <w:sz w:val="24"/>
          <w:szCs w:val="24"/>
        </w:rPr>
        <w:t xml:space="preserve">or relocated </w:t>
      </w:r>
      <w:r w:rsidRPr="00386A72">
        <w:rPr>
          <w:rFonts w:ascii="Times" w:hAnsi="Times" w:cs="Times"/>
          <w:sz w:val="24"/>
          <w:szCs w:val="24"/>
        </w:rPr>
        <w:t xml:space="preserve">incumbent systems. </w:t>
      </w:r>
    </w:p>
    <w:p w:rsidR="00996C57" w:rsidRDefault="00996C57" w:rsidP="00761988">
      <w:pPr>
        <w:pStyle w:val="ListParagraph"/>
        <w:autoSpaceDE w:val="0"/>
        <w:autoSpaceDN w:val="0"/>
        <w:adjustRightInd w:val="0"/>
        <w:spacing w:before="240" w:after="240" w:line="480" w:lineRule="auto"/>
        <w:ind w:left="0"/>
        <w:rPr>
          <w:rFonts w:ascii="Times" w:hAnsi="Times" w:cs="Times"/>
          <w:sz w:val="24"/>
          <w:szCs w:val="24"/>
        </w:rPr>
      </w:pPr>
      <w:r>
        <w:rPr>
          <w:rFonts w:ascii="Times" w:hAnsi="Times" w:cs="Times"/>
          <w:sz w:val="24"/>
          <w:szCs w:val="24"/>
        </w:rPr>
        <w:tab/>
        <w:t>At the same time, SMR technology has become almost obsolete.  Equipment necessary to deliver such technology is no longer being updated or, in some cases, not being manufactured at all.  With very few exceptions, there are no 900 MHz SMR operators who provide robust, commercial service over their channels. A</w:t>
      </w:r>
      <w:r w:rsidR="00440EBE">
        <w:rPr>
          <w:rFonts w:ascii="Times" w:hAnsi="Times" w:cs="Times"/>
          <w:sz w:val="24"/>
          <w:szCs w:val="24"/>
        </w:rPr>
        <w:t>s noted above, a</w:t>
      </w:r>
      <w:r>
        <w:rPr>
          <w:rFonts w:ascii="Times" w:hAnsi="Times" w:cs="Times"/>
          <w:sz w:val="24"/>
          <w:szCs w:val="24"/>
        </w:rPr>
        <w:t xml:space="preserve">ny SMR channels that are not converted to broadband use </w:t>
      </w:r>
      <w:r w:rsidR="00440EBE">
        <w:rPr>
          <w:rFonts w:ascii="Times" w:hAnsi="Times" w:cs="Times"/>
          <w:sz w:val="24"/>
          <w:szCs w:val="24"/>
        </w:rPr>
        <w:t xml:space="preserve">but are providing internal or commercial service </w:t>
      </w:r>
      <w:r>
        <w:rPr>
          <w:rFonts w:ascii="Times" w:hAnsi="Times" w:cs="Times"/>
          <w:sz w:val="24"/>
          <w:szCs w:val="24"/>
        </w:rPr>
        <w:t>should therefore be converted to narrowband B/ILT channels at the end of their current license terms and be subject to ordinary B/ILT rules and performance metrics, as discussed above.</w:t>
      </w:r>
      <w:r w:rsidRPr="00386A72">
        <w:rPr>
          <w:rFonts w:ascii="Times" w:hAnsi="Times" w:cs="Times"/>
          <w:sz w:val="24"/>
          <w:szCs w:val="24"/>
        </w:rPr>
        <w:t xml:space="preserve"> </w:t>
      </w:r>
    </w:p>
    <w:p w:rsidR="00440EBE" w:rsidRPr="00440EBE" w:rsidRDefault="00440EBE" w:rsidP="00C316BD">
      <w:pPr>
        <w:pStyle w:val="ListParagraph"/>
        <w:keepNext/>
        <w:keepLines/>
        <w:numPr>
          <w:ilvl w:val="0"/>
          <w:numId w:val="1"/>
        </w:numPr>
        <w:autoSpaceDE w:val="0"/>
        <w:autoSpaceDN w:val="0"/>
        <w:adjustRightInd w:val="0"/>
        <w:spacing w:before="240" w:after="240" w:line="480" w:lineRule="auto"/>
        <w:outlineLvl w:val="0"/>
        <w:rPr>
          <w:rFonts w:ascii="Times" w:hAnsi="Times" w:cs="Times"/>
          <w:b/>
          <w:sz w:val="24"/>
          <w:szCs w:val="24"/>
        </w:rPr>
      </w:pPr>
      <w:bookmarkStart w:id="12" w:name="_Toc10204870"/>
      <w:r w:rsidRPr="00440EBE">
        <w:rPr>
          <w:rFonts w:ascii="Times" w:hAnsi="Times" w:cs="Times"/>
          <w:b/>
          <w:sz w:val="24"/>
          <w:szCs w:val="24"/>
        </w:rPr>
        <w:lastRenderedPageBreak/>
        <w:t>Conclusion</w:t>
      </w:r>
      <w:bookmarkEnd w:id="12"/>
    </w:p>
    <w:p w:rsidR="00440EBE" w:rsidRDefault="00440EBE" w:rsidP="00C316BD">
      <w:pPr>
        <w:pStyle w:val="ListParagraph"/>
        <w:keepNext/>
        <w:keepLines/>
        <w:autoSpaceDE w:val="0"/>
        <w:autoSpaceDN w:val="0"/>
        <w:adjustRightInd w:val="0"/>
        <w:spacing w:before="240" w:after="240" w:line="480" w:lineRule="auto"/>
        <w:ind w:left="0"/>
        <w:rPr>
          <w:rFonts w:ascii="Times" w:hAnsi="Times" w:cs="Times"/>
          <w:sz w:val="24"/>
          <w:szCs w:val="24"/>
        </w:rPr>
      </w:pPr>
      <w:r>
        <w:rPr>
          <w:rFonts w:ascii="Times" w:hAnsi="Times" w:cs="Times"/>
          <w:sz w:val="24"/>
          <w:szCs w:val="24"/>
        </w:rPr>
        <w:tab/>
        <w:t xml:space="preserve">The electrical utility industry is enthusiastic about the potential of this proceeding to make </w:t>
      </w:r>
      <w:r w:rsidR="004629BC">
        <w:rPr>
          <w:rFonts w:ascii="Times" w:hAnsi="Times" w:cs="Times"/>
          <w:sz w:val="24"/>
          <w:szCs w:val="24"/>
        </w:rPr>
        <w:t>available sufficient spectrum to utilities to enable them to meet the serious challenges which confront them.   The broadband license contemplated here should not become just a small item in the bulging portfolios of the wireless carriers.  It can instead become the backbone for critical infrastru</w:t>
      </w:r>
      <w:r w:rsidR="00D44A77">
        <w:rPr>
          <w:rFonts w:ascii="Times" w:hAnsi="Times" w:cs="Times"/>
          <w:sz w:val="24"/>
          <w:szCs w:val="24"/>
        </w:rPr>
        <w:t>cture networks that are dedica</w:t>
      </w:r>
      <w:r w:rsidR="004629BC">
        <w:rPr>
          <w:rFonts w:ascii="Times" w:hAnsi="Times" w:cs="Times"/>
          <w:sz w:val="24"/>
          <w:szCs w:val="24"/>
        </w:rPr>
        <w:t>ted to serving the needs of millions of customers with the reliability, resiliency and safety they deserve.   SCE urges the Commission to make this possible by acting expeditiously on the rule changes discussed in the NPRM, as modified by the suggestions above.</w:t>
      </w:r>
    </w:p>
    <w:p w:rsidR="004629BC" w:rsidRDefault="004629BC" w:rsidP="00761988">
      <w:pPr>
        <w:pStyle w:val="ListParagraph"/>
        <w:autoSpaceDE w:val="0"/>
        <w:autoSpaceDN w:val="0"/>
        <w:adjustRightInd w:val="0"/>
        <w:spacing w:before="240" w:after="240" w:line="480" w:lineRule="auto"/>
        <w:ind w:left="0"/>
        <w:rPr>
          <w:rFonts w:ascii="Times" w:hAnsi="Times" w:cs="Times"/>
          <w:sz w:val="24"/>
          <w:szCs w:val="24"/>
        </w:rPr>
      </w:pPr>
    </w:p>
    <w:p w:rsidR="004629BC" w:rsidRDefault="005D0C09" w:rsidP="00761988">
      <w:pPr>
        <w:pStyle w:val="ListParagraph"/>
        <w:autoSpaceDE w:val="0"/>
        <w:autoSpaceDN w:val="0"/>
        <w:adjustRightInd w:val="0"/>
        <w:spacing w:before="240" w:after="240" w:line="480" w:lineRule="auto"/>
        <w:ind w:left="0"/>
        <w:rPr>
          <w:rFonts w:ascii="Times" w:hAnsi="Times" w:cs="Times"/>
          <w:sz w:val="24"/>
          <w:szCs w:val="24"/>
        </w:rPr>
      </w:pPr>
      <w:r>
        <w:rPr>
          <w:rFonts w:ascii="Times" w:hAnsi="Times" w:cs="Times"/>
          <w:sz w:val="24"/>
          <w:szCs w:val="24"/>
        </w:rPr>
        <w:tab/>
      </w:r>
      <w:r>
        <w:rPr>
          <w:rFonts w:ascii="Times" w:hAnsi="Times" w:cs="Times"/>
          <w:sz w:val="24"/>
          <w:szCs w:val="24"/>
        </w:rPr>
        <w:tab/>
      </w:r>
      <w:r>
        <w:rPr>
          <w:rFonts w:ascii="Times" w:hAnsi="Times" w:cs="Times"/>
          <w:sz w:val="24"/>
          <w:szCs w:val="24"/>
        </w:rPr>
        <w:tab/>
      </w:r>
      <w:r>
        <w:rPr>
          <w:rFonts w:ascii="Times" w:hAnsi="Times" w:cs="Times"/>
          <w:sz w:val="24"/>
          <w:szCs w:val="24"/>
        </w:rPr>
        <w:tab/>
      </w:r>
      <w:r>
        <w:rPr>
          <w:rFonts w:ascii="Times" w:hAnsi="Times" w:cs="Times"/>
          <w:sz w:val="24"/>
          <w:szCs w:val="24"/>
        </w:rPr>
        <w:tab/>
      </w:r>
      <w:r>
        <w:rPr>
          <w:rFonts w:ascii="Times" w:hAnsi="Times" w:cs="Times"/>
          <w:sz w:val="24"/>
          <w:szCs w:val="24"/>
        </w:rPr>
        <w:tab/>
      </w:r>
      <w:r w:rsidR="004629BC">
        <w:rPr>
          <w:rFonts w:ascii="Times" w:hAnsi="Times" w:cs="Times"/>
          <w:sz w:val="24"/>
          <w:szCs w:val="24"/>
        </w:rPr>
        <w:t>Respectfully submitted,</w:t>
      </w:r>
    </w:p>
    <w:p w:rsidR="004629BC" w:rsidRDefault="005D0C09" w:rsidP="004E1CBC">
      <w:pPr>
        <w:pStyle w:val="ListParagraph"/>
        <w:autoSpaceDE w:val="0"/>
        <w:autoSpaceDN w:val="0"/>
        <w:adjustRightInd w:val="0"/>
        <w:ind w:left="0"/>
        <w:rPr>
          <w:rFonts w:ascii="Times" w:hAnsi="Times" w:cs="Times"/>
          <w:sz w:val="24"/>
          <w:szCs w:val="24"/>
        </w:rPr>
      </w:pPr>
      <w:r>
        <w:rPr>
          <w:rFonts w:ascii="Times" w:hAnsi="Times" w:cs="Times"/>
          <w:sz w:val="24"/>
          <w:szCs w:val="24"/>
        </w:rPr>
        <w:tab/>
      </w:r>
      <w:r>
        <w:rPr>
          <w:rFonts w:ascii="Times" w:hAnsi="Times" w:cs="Times"/>
          <w:sz w:val="24"/>
          <w:szCs w:val="24"/>
        </w:rPr>
        <w:tab/>
      </w:r>
      <w:r>
        <w:rPr>
          <w:rFonts w:ascii="Times" w:hAnsi="Times" w:cs="Times"/>
          <w:sz w:val="24"/>
          <w:szCs w:val="24"/>
        </w:rPr>
        <w:tab/>
      </w:r>
      <w:r>
        <w:rPr>
          <w:rFonts w:ascii="Times" w:hAnsi="Times" w:cs="Times"/>
          <w:sz w:val="24"/>
          <w:szCs w:val="24"/>
        </w:rPr>
        <w:tab/>
      </w:r>
      <w:r>
        <w:rPr>
          <w:rFonts w:ascii="Times" w:hAnsi="Times" w:cs="Times"/>
          <w:sz w:val="24"/>
          <w:szCs w:val="24"/>
        </w:rPr>
        <w:tab/>
      </w:r>
      <w:r>
        <w:rPr>
          <w:rFonts w:ascii="Times" w:hAnsi="Times" w:cs="Times"/>
          <w:sz w:val="24"/>
          <w:szCs w:val="24"/>
        </w:rPr>
        <w:tab/>
      </w:r>
      <w:r w:rsidR="004629BC">
        <w:rPr>
          <w:rFonts w:ascii="Times" w:hAnsi="Times" w:cs="Times"/>
          <w:sz w:val="24"/>
          <w:szCs w:val="24"/>
        </w:rPr>
        <w:t>Southern California Edison</w:t>
      </w:r>
    </w:p>
    <w:p w:rsidR="004E1CBC" w:rsidRDefault="004E1CBC" w:rsidP="004E1CBC">
      <w:pPr>
        <w:pStyle w:val="ListParagraph"/>
        <w:autoSpaceDE w:val="0"/>
        <w:autoSpaceDN w:val="0"/>
        <w:adjustRightInd w:val="0"/>
        <w:ind w:left="0"/>
        <w:rPr>
          <w:rFonts w:ascii="Times" w:hAnsi="Times" w:cs="Times"/>
          <w:sz w:val="24"/>
          <w:szCs w:val="24"/>
        </w:rPr>
      </w:pPr>
    </w:p>
    <w:p w:rsidR="004523FC" w:rsidRDefault="004523FC" w:rsidP="004E1CBC">
      <w:pPr>
        <w:pStyle w:val="ListParagraph"/>
        <w:autoSpaceDE w:val="0"/>
        <w:autoSpaceDN w:val="0"/>
        <w:adjustRightInd w:val="0"/>
        <w:ind w:left="0"/>
        <w:rPr>
          <w:rFonts w:ascii="Times" w:hAnsi="Times" w:cs="Times"/>
          <w:sz w:val="24"/>
          <w:szCs w:val="24"/>
        </w:rPr>
      </w:pPr>
    </w:p>
    <w:p w:rsidR="004E1CBC" w:rsidRDefault="004E1CBC" w:rsidP="004E1CBC">
      <w:pPr>
        <w:pStyle w:val="ListParagraph"/>
        <w:autoSpaceDE w:val="0"/>
        <w:autoSpaceDN w:val="0"/>
        <w:adjustRightInd w:val="0"/>
        <w:ind w:left="0"/>
        <w:rPr>
          <w:rFonts w:ascii="Times" w:hAnsi="Times" w:cs="Times"/>
          <w:sz w:val="24"/>
          <w:szCs w:val="24"/>
        </w:rPr>
      </w:pPr>
    </w:p>
    <w:p w:rsidR="004629BC" w:rsidRDefault="005D0C09" w:rsidP="000F3E53">
      <w:pPr>
        <w:pStyle w:val="ListParagraph"/>
        <w:autoSpaceDE w:val="0"/>
        <w:autoSpaceDN w:val="0"/>
        <w:adjustRightInd w:val="0"/>
        <w:spacing w:before="120"/>
        <w:ind w:left="0"/>
        <w:rPr>
          <w:rFonts w:ascii="Times" w:hAnsi="Times" w:cs="Times"/>
          <w:sz w:val="24"/>
          <w:szCs w:val="24"/>
          <w:u w:val="single"/>
        </w:rPr>
      </w:pPr>
      <w:r>
        <w:rPr>
          <w:rFonts w:ascii="Times" w:hAnsi="Times" w:cs="Times"/>
          <w:sz w:val="24"/>
          <w:szCs w:val="24"/>
        </w:rPr>
        <w:tab/>
      </w:r>
      <w:r>
        <w:rPr>
          <w:rFonts w:ascii="Times" w:hAnsi="Times" w:cs="Times"/>
          <w:sz w:val="24"/>
          <w:szCs w:val="24"/>
        </w:rPr>
        <w:tab/>
      </w:r>
      <w:r>
        <w:rPr>
          <w:rFonts w:ascii="Times" w:hAnsi="Times" w:cs="Times"/>
          <w:sz w:val="24"/>
          <w:szCs w:val="24"/>
        </w:rPr>
        <w:tab/>
      </w:r>
      <w:r>
        <w:rPr>
          <w:rFonts w:ascii="Times" w:hAnsi="Times" w:cs="Times"/>
          <w:sz w:val="24"/>
          <w:szCs w:val="24"/>
        </w:rPr>
        <w:tab/>
      </w:r>
      <w:r>
        <w:rPr>
          <w:rFonts w:ascii="Times" w:hAnsi="Times" w:cs="Times"/>
          <w:sz w:val="24"/>
          <w:szCs w:val="24"/>
        </w:rPr>
        <w:tab/>
      </w:r>
      <w:r>
        <w:rPr>
          <w:rFonts w:ascii="Times" w:hAnsi="Times" w:cs="Times"/>
          <w:sz w:val="24"/>
          <w:szCs w:val="24"/>
        </w:rPr>
        <w:tab/>
      </w:r>
      <w:r w:rsidR="004629BC">
        <w:rPr>
          <w:rFonts w:ascii="Times" w:hAnsi="Times" w:cs="Times"/>
          <w:sz w:val="24"/>
          <w:szCs w:val="24"/>
        </w:rPr>
        <w:t>By:</w:t>
      </w:r>
      <w:r w:rsidR="003020D5" w:rsidRPr="003020D5">
        <w:rPr>
          <w:rFonts w:ascii="Times" w:hAnsi="Times" w:cs="Times"/>
          <w:sz w:val="24"/>
          <w:szCs w:val="24"/>
          <w:u w:val="single"/>
        </w:rPr>
        <w:tab/>
      </w:r>
      <w:r w:rsidR="003020D5" w:rsidRPr="003020D5">
        <w:rPr>
          <w:rFonts w:ascii="Times" w:hAnsi="Times" w:cs="Times"/>
          <w:sz w:val="24"/>
          <w:szCs w:val="24"/>
          <w:u w:val="single"/>
        </w:rPr>
        <w:tab/>
        <w:t>/s/</w:t>
      </w:r>
      <w:r w:rsidR="003020D5" w:rsidRPr="003020D5">
        <w:rPr>
          <w:rFonts w:ascii="Times" w:hAnsi="Times" w:cs="Times"/>
          <w:sz w:val="24"/>
          <w:szCs w:val="24"/>
          <w:u w:val="single"/>
        </w:rPr>
        <w:tab/>
      </w:r>
      <w:r w:rsidR="003020D5" w:rsidRPr="003020D5">
        <w:rPr>
          <w:rFonts w:ascii="Times" w:hAnsi="Times" w:cs="Times"/>
          <w:sz w:val="24"/>
          <w:szCs w:val="24"/>
          <w:u w:val="single"/>
        </w:rPr>
        <w:tab/>
      </w:r>
      <w:r w:rsidR="003020D5" w:rsidRPr="003020D5">
        <w:rPr>
          <w:rFonts w:ascii="Times" w:hAnsi="Times" w:cs="Times"/>
          <w:sz w:val="24"/>
          <w:szCs w:val="24"/>
          <w:u w:val="single"/>
        </w:rPr>
        <w:tab/>
      </w:r>
    </w:p>
    <w:p w:rsidR="004629BC" w:rsidRDefault="004629BC" w:rsidP="000F3E53">
      <w:pPr>
        <w:pStyle w:val="ListParagraph"/>
        <w:autoSpaceDE w:val="0"/>
        <w:autoSpaceDN w:val="0"/>
        <w:adjustRightInd w:val="0"/>
        <w:spacing w:before="120"/>
        <w:ind w:left="0"/>
        <w:rPr>
          <w:rFonts w:ascii="Times" w:hAnsi="Times" w:cs="Times"/>
          <w:sz w:val="24"/>
          <w:szCs w:val="24"/>
        </w:rPr>
      </w:pPr>
      <w:r w:rsidRPr="004629BC">
        <w:rPr>
          <w:rFonts w:ascii="Times" w:hAnsi="Times" w:cs="Times"/>
          <w:sz w:val="24"/>
          <w:szCs w:val="24"/>
        </w:rPr>
        <w:tab/>
      </w:r>
      <w:r w:rsidRPr="004629BC">
        <w:rPr>
          <w:rFonts w:ascii="Times" w:hAnsi="Times" w:cs="Times"/>
          <w:sz w:val="24"/>
          <w:szCs w:val="24"/>
        </w:rPr>
        <w:tab/>
      </w:r>
      <w:r w:rsidRPr="004629BC">
        <w:rPr>
          <w:rFonts w:ascii="Times" w:hAnsi="Times" w:cs="Times"/>
          <w:sz w:val="24"/>
          <w:szCs w:val="24"/>
        </w:rPr>
        <w:tab/>
      </w:r>
      <w:r w:rsidRPr="004629BC">
        <w:rPr>
          <w:rFonts w:ascii="Times" w:hAnsi="Times" w:cs="Times"/>
          <w:sz w:val="24"/>
          <w:szCs w:val="24"/>
        </w:rPr>
        <w:tab/>
      </w:r>
      <w:r w:rsidRPr="004629BC">
        <w:rPr>
          <w:rFonts w:ascii="Times" w:hAnsi="Times" w:cs="Times"/>
          <w:sz w:val="24"/>
          <w:szCs w:val="24"/>
        </w:rPr>
        <w:tab/>
      </w:r>
      <w:r w:rsidRPr="004629BC">
        <w:rPr>
          <w:rFonts w:ascii="Times" w:hAnsi="Times" w:cs="Times"/>
          <w:sz w:val="24"/>
          <w:szCs w:val="24"/>
        </w:rPr>
        <w:tab/>
      </w:r>
      <w:r w:rsidRPr="004629BC">
        <w:rPr>
          <w:rFonts w:ascii="Times" w:hAnsi="Times" w:cs="Times"/>
          <w:sz w:val="24"/>
          <w:szCs w:val="24"/>
        </w:rPr>
        <w:tab/>
      </w:r>
      <w:r w:rsidR="005D0C09">
        <w:rPr>
          <w:rFonts w:ascii="Times" w:hAnsi="Times" w:cs="Times"/>
          <w:sz w:val="24"/>
          <w:szCs w:val="24"/>
        </w:rPr>
        <w:t>Donald J. Evans</w:t>
      </w:r>
    </w:p>
    <w:p w:rsidR="004629BC" w:rsidRDefault="005D0C09" w:rsidP="000F3E53">
      <w:pPr>
        <w:pStyle w:val="ListParagraph"/>
        <w:autoSpaceDE w:val="0"/>
        <w:autoSpaceDN w:val="0"/>
        <w:adjustRightInd w:val="0"/>
        <w:spacing w:before="120"/>
        <w:ind w:left="0"/>
        <w:rPr>
          <w:rFonts w:ascii="Times" w:hAnsi="Times" w:cs="Times"/>
          <w:sz w:val="24"/>
          <w:szCs w:val="24"/>
        </w:rPr>
      </w:pPr>
      <w:r>
        <w:rPr>
          <w:rFonts w:ascii="Times" w:hAnsi="Times" w:cs="Times"/>
          <w:sz w:val="24"/>
          <w:szCs w:val="24"/>
        </w:rPr>
        <w:tab/>
      </w:r>
      <w:r>
        <w:rPr>
          <w:rFonts w:ascii="Times" w:hAnsi="Times" w:cs="Times"/>
          <w:sz w:val="24"/>
          <w:szCs w:val="24"/>
        </w:rPr>
        <w:tab/>
      </w:r>
      <w:r>
        <w:rPr>
          <w:rFonts w:ascii="Times" w:hAnsi="Times" w:cs="Times"/>
          <w:sz w:val="24"/>
          <w:szCs w:val="24"/>
        </w:rPr>
        <w:tab/>
      </w:r>
      <w:r>
        <w:rPr>
          <w:rFonts w:ascii="Times" w:hAnsi="Times" w:cs="Times"/>
          <w:sz w:val="24"/>
          <w:szCs w:val="24"/>
        </w:rPr>
        <w:tab/>
      </w:r>
      <w:r>
        <w:rPr>
          <w:rFonts w:ascii="Times" w:hAnsi="Times" w:cs="Times"/>
          <w:sz w:val="24"/>
          <w:szCs w:val="24"/>
        </w:rPr>
        <w:tab/>
      </w:r>
      <w:r>
        <w:rPr>
          <w:rFonts w:ascii="Times" w:hAnsi="Times" w:cs="Times"/>
          <w:sz w:val="24"/>
          <w:szCs w:val="24"/>
        </w:rPr>
        <w:tab/>
      </w:r>
      <w:r>
        <w:rPr>
          <w:rFonts w:ascii="Times" w:hAnsi="Times" w:cs="Times"/>
          <w:sz w:val="24"/>
          <w:szCs w:val="24"/>
        </w:rPr>
        <w:tab/>
        <w:t>Counsel for Southern California Edison</w:t>
      </w:r>
    </w:p>
    <w:p w:rsidR="005D0C09" w:rsidRDefault="005D0C09" w:rsidP="000F3E53">
      <w:pPr>
        <w:pStyle w:val="ListParagraph"/>
        <w:autoSpaceDE w:val="0"/>
        <w:autoSpaceDN w:val="0"/>
        <w:adjustRightInd w:val="0"/>
        <w:spacing w:before="120"/>
        <w:ind w:left="0"/>
        <w:rPr>
          <w:rFonts w:ascii="Times" w:hAnsi="Times" w:cs="Times"/>
          <w:sz w:val="24"/>
          <w:szCs w:val="24"/>
        </w:rPr>
      </w:pPr>
    </w:p>
    <w:p w:rsidR="00AA5B44" w:rsidRPr="005D0C09" w:rsidRDefault="00AA5B44" w:rsidP="00AA5B44">
      <w:pPr>
        <w:rPr>
          <w:bCs/>
          <w:snapToGrid/>
          <w:kern w:val="0"/>
          <w:sz w:val="24"/>
          <w:szCs w:val="24"/>
        </w:rPr>
      </w:pPr>
      <w:r w:rsidRPr="005D0C09">
        <w:rPr>
          <w:bCs/>
          <w:sz w:val="24"/>
          <w:szCs w:val="24"/>
        </w:rPr>
        <w:t>Gloria M. Ing</w:t>
      </w:r>
      <w:r w:rsidR="005D0C09">
        <w:rPr>
          <w:bCs/>
          <w:sz w:val="24"/>
          <w:szCs w:val="24"/>
        </w:rPr>
        <w:tab/>
      </w:r>
      <w:r w:rsidR="005D0C09">
        <w:rPr>
          <w:bCs/>
          <w:sz w:val="24"/>
          <w:szCs w:val="24"/>
        </w:rPr>
        <w:tab/>
      </w:r>
      <w:r w:rsidR="005D0C09">
        <w:rPr>
          <w:bCs/>
          <w:sz w:val="24"/>
          <w:szCs w:val="24"/>
        </w:rPr>
        <w:tab/>
      </w:r>
      <w:r w:rsidR="005D0C09">
        <w:rPr>
          <w:bCs/>
          <w:sz w:val="24"/>
          <w:szCs w:val="24"/>
        </w:rPr>
        <w:tab/>
      </w:r>
      <w:r w:rsidR="005D0C09">
        <w:rPr>
          <w:bCs/>
          <w:sz w:val="24"/>
          <w:szCs w:val="24"/>
        </w:rPr>
        <w:tab/>
      </w:r>
      <w:r w:rsidR="005D0C09">
        <w:rPr>
          <w:bCs/>
          <w:sz w:val="24"/>
          <w:szCs w:val="24"/>
        </w:rPr>
        <w:tab/>
        <w:t>Fletcher, Heald &amp; Hildreth</w:t>
      </w:r>
    </w:p>
    <w:p w:rsidR="00AA5B44" w:rsidRPr="005D0C09" w:rsidRDefault="00AA5B44" w:rsidP="00AA5B44">
      <w:pPr>
        <w:rPr>
          <w:sz w:val="24"/>
          <w:szCs w:val="24"/>
        </w:rPr>
      </w:pPr>
      <w:r w:rsidRPr="005D0C09">
        <w:rPr>
          <w:sz w:val="24"/>
          <w:szCs w:val="24"/>
        </w:rPr>
        <w:t>Senior Attorney</w:t>
      </w:r>
      <w:r w:rsidR="005D0C09">
        <w:rPr>
          <w:sz w:val="24"/>
          <w:szCs w:val="24"/>
        </w:rPr>
        <w:tab/>
      </w:r>
      <w:r w:rsidR="005D0C09">
        <w:rPr>
          <w:sz w:val="24"/>
          <w:szCs w:val="24"/>
        </w:rPr>
        <w:tab/>
      </w:r>
      <w:r w:rsidR="005D0C09">
        <w:rPr>
          <w:sz w:val="24"/>
          <w:szCs w:val="24"/>
        </w:rPr>
        <w:tab/>
      </w:r>
      <w:r w:rsidR="005D0C09">
        <w:rPr>
          <w:sz w:val="24"/>
          <w:szCs w:val="24"/>
        </w:rPr>
        <w:tab/>
      </w:r>
      <w:r w:rsidR="005D0C09">
        <w:rPr>
          <w:sz w:val="24"/>
          <w:szCs w:val="24"/>
        </w:rPr>
        <w:tab/>
        <w:t>1300 N. 17</w:t>
      </w:r>
      <w:r w:rsidR="005D0C09" w:rsidRPr="005D0C09">
        <w:rPr>
          <w:sz w:val="24"/>
          <w:szCs w:val="24"/>
          <w:vertAlign w:val="superscript"/>
        </w:rPr>
        <w:t>th</w:t>
      </w:r>
      <w:r w:rsidR="005D0C09">
        <w:rPr>
          <w:sz w:val="24"/>
          <w:szCs w:val="24"/>
        </w:rPr>
        <w:t xml:space="preserve"> St.</w:t>
      </w:r>
    </w:p>
    <w:p w:rsidR="00AA5B44" w:rsidRPr="005D0C09" w:rsidRDefault="00AA5B44" w:rsidP="00AA5B44">
      <w:pPr>
        <w:rPr>
          <w:b/>
          <w:bCs/>
          <w:snapToGrid/>
          <w:kern w:val="0"/>
          <w:sz w:val="24"/>
          <w:szCs w:val="24"/>
        </w:rPr>
      </w:pPr>
      <w:r w:rsidRPr="005D0C09">
        <w:rPr>
          <w:sz w:val="24"/>
          <w:szCs w:val="24"/>
        </w:rPr>
        <w:t>Law Department</w:t>
      </w:r>
      <w:r w:rsidR="005D0C09">
        <w:rPr>
          <w:sz w:val="24"/>
          <w:szCs w:val="24"/>
        </w:rPr>
        <w:tab/>
      </w:r>
      <w:r w:rsidR="005D0C09">
        <w:rPr>
          <w:sz w:val="24"/>
          <w:szCs w:val="24"/>
        </w:rPr>
        <w:tab/>
      </w:r>
      <w:r w:rsidR="005D0C09">
        <w:rPr>
          <w:sz w:val="24"/>
          <w:szCs w:val="24"/>
        </w:rPr>
        <w:tab/>
      </w:r>
      <w:r w:rsidR="005D0C09">
        <w:rPr>
          <w:sz w:val="24"/>
          <w:szCs w:val="24"/>
        </w:rPr>
        <w:tab/>
      </w:r>
      <w:r w:rsidR="005D0C09">
        <w:rPr>
          <w:sz w:val="24"/>
          <w:szCs w:val="24"/>
        </w:rPr>
        <w:tab/>
        <w:t>Suite 1100</w:t>
      </w:r>
      <w:r w:rsidRPr="005D0C09">
        <w:rPr>
          <w:sz w:val="24"/>
          <w:szCs w:val="24"/>
        </w:rPr>
        <w:br/>
        <w:t>T. 626-302-1999</w:t>
      </w:r>
      <w:r w:rsidR="005D0C09">
        <w:rPr>
          <w:sz w:val="24"/>
          <w:szCs w:val="24"/>
        </w:rPr>
        <w:tab/>
      </w:r>
      <w:r w:rsidR="005D0C09">
        <w:rPr>
          <w:sz w:val="24"/>
          <w:szCs w:val="24"/>
        </w:rPr>
        <w:tab/>
      </w:r>
      <w:r w:rsidR="005D0C09">
        <w:rPr>
          <w:sz w:val="24"/>
          <w:szCs w:val="24"/>
        </w:rPr>
        <w:tab/>
      </w:r>
      <w:r w:rsidR="005D0C09">
        <w:rPr>
          <w:sz w:val="24"/>
          <w:szCs w:val="24"/>
        </w:rPr>
        <w:tab/>
      </w:r>
      <w:r w:rsidR="005D0C09">
        <w:rPr>
          <w:sz w:val="24"/>
          <w:szCs w:val="24"/>
        </w:rPr>
        <w:tab/>
        <w:t>Arlington, VA 22209</w:t>
      </w:r>
      <w:r w:rsidRPr="005D0C09">
        <w:rPr>
          <w:b/>
          <w:bCs/>
          <w:sz w:val="24"/>
          <w:szCs w:val="24"/>
        </w:rPr>
        <w:t xml:space="preserve"> </w:t>
      </w:r>
    </w:p>
    <w:p w:rsidR="005D0C09" w:rsidRPr="005D0C09" w:rsidRDefault="00AA5B44" w:rsidP="005D0C09">
      <w:pPr>
        <w:pStyle w:val="NoSpacing"/>
      </w:pPr>
      <w:r w:rsidRPr="005D0C09">
        <w:t>2244 Walnut Grove Avenue,</w:t>
      </w:r>
    </w:p>
    <w:p w:rsidR="00AA5B44" w:rsidRPr="00541A97" w:rsidRDefault="00AA5B44" w:rsidP="005D0C09">
      <w:pPr>
        <w:pStyle w:val="NoSpacing"/>
      </w:pPr>
      <w:r w:rsidRPr="005D0C09">
        <w:t>Rosemead, CA  91770</w:t>
      </w:r>
    </w:p>
    <w:p w:rsidR="00AA5B44" w:rsidRPr="00541A97" w:rsidRDefault="00AA5B44" w:rsidP="00AA5B44">
      <w:pPr>
        <w:rPr>
          <w:color w:val="1F497D"/>
          <w:sz w:val="24"/>
          <w:szCs w:val="24"/>
        </w:rPr>
      </w:pPr>
    </w:p>
    <w:p w:rsidR="004629BC" w:rsidRDefault="004629BC" w:rsidP="000F3E53">
      <w:pPr>
        <w:pStyle w:val="ListParagraph"/>
        <w:autoSpaceDE w:val="0"/>
        <w:autoSpaceDN w:val="0"/>
        <w:adjustRightInd w:val="0"/>
        <w:ind w:left="0"/>
        <w:rPr>
          <w:rFonts w:ascii="Times" w:hAnsi="Times" w:cs="Times"/>
          <w:sz w:val="24"/>
          <w:szCs w:val="24"/>
        </w:rPr>
      </w:pPr>
    </w:p>
    <w:p w:rsidR="004523FC" w:rsidRPr="004629BC" w:rsidRDefault="004523FC" w:rsidP="000F3E53">
      <w:pPr>
        <w:pStyle w:val="ListParagraph"/>
        <w:autoSpaceDE w:val="0"/>
        <w:autoSpaceDN w:val="0"/>
        <w:adjustRightInd w:val="0"/>
        <w:ind w:left="0"/>
        <w:rPr>
          <w:rFonts w:ascii="Times" w:hAnsi="Times" w:cs="Times"/>
          <w:sz w:val="24"/>
          <w:szCs w:val="24"/>
        </w:rPr>
      </w:pPr>
    </w:p>
    <w:p w:rsidR="00762063" w:rsidRDefault="00093229" w:rsidP="00762063">
      <w:pPr>
        <w:widowControl/>
        <w:rPr>
          <w:rFonts w:eastAsiaTheme="minorHAnsi" w:cs="Arial"/>
          <w:snapToGrid/>
          <w:kern w:val="0"/>
          <w:sz w:val="24"/>
          <w:szCs w:val="22"/>
        </w:rPr>
      </w:pPr>
      <w:r>
        <w:rPr>
          <w:rFonts w:eastAsiaTheme="minorHAnsi" w:cs="Arial"/>
          <w:snapToGrid/>
          <w:kern w:val="0"/>
          <w:sz w:val="24"/>
          <w:szCs w:val="22"/>
        </w:rPr>
        <w:t>June 3,</w:t>
      </w:r>
      <w:r w:rsidR="000F3E53">
        <w:rPr>
          <w:rFonts w:eastAsiaTheme="minorHAnsi" w:cs="Arial"/>
          <w:snapToGrid/>
          <w:kern w:val="0"/>
          <w:sz w:val="24"/>
          <w:szCs w:val="22"/>
        </w:rPr>
        <w:t xml:space="preserve"> 2019</w:t>
      </w:r>
    </w:p>
    <w:p w:rsidR="00761988" w:rsidRDefault="00761988" w:rsidP="00762063">
      <w:pPr>
        <w:widowControl/>
        <w:rPr>
          <w:rFonts w:eastAsiaTheme="minorHAnsi" w:cs="Arial"/>
          <w:snapToGrid/>
          <w:kern w:val="0"/>
          <w:sz w:val="24"/>
          <w:szCs w:val="22"/>
        </w:rPr>
      </w:pPr>
    </w:p>
    <w:p w:rsidR="00761988" w:rsidRDefault="00761988" w:rsidP="00762063">
      <w:pPr>
        <w:widowControl/>
        <w:rPr>
          <w:rFonts w:eastAsiaTheme="minorHAnsi" w:cs="Arial"/>
          <w:snapToGrid/>
          <w:kern w:val="0"/>
          <w:sz w:val="24"/>
          <w:szCs w:val="22"/>
        </w:rPr>
      </w:pPr>
    </w:p>
    <w:p w:rsidR="00761988" w:rsidRDefault="00761988" w:rsidP="00762063">
      <w:pPr>
        <w:widowControl/>
        <w:rPr>
          <w:rFonts w:eastAsiaTheme="minorHAnsi" w:cs="Arial"/>
          <w:snapToGrid/>
          <w:kern w:val="0"/>
          <w:sz w:val="24"/>
          <w:szCs w:val="22"/>
        </w:rPr>
      </w:pPr>
    </w:p>
    <w:sectPr w:rsidR="00761988" w:rsidSect="004E1CBC">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EA3" w:rsidRDefault="00507EA3" w:rsidP="00A028EF">
      <w:r>
        <w:separator/>
      </w:r>
    </w:p>
  </w:endnote>
  <w:endnote w:type="continuationSeparator" w:id="0">
    <w:p w:rsidR="00507EA3" w:rsidRDefault="00507EA3" w:rsidP="00A02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panose1 w:val="02020803070505020304"/>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229" w:rsidRDefault="000932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EA3" w:rsidRPr="00A028EF" w:rsidRDefault="003F046B">
    <w:pPr>
      <w:pStyle w:val="Footer"/>
    </w:pPr>
    <w:r w:rsidRPr="003F046B">
      <w:rPr>
        <w:noProof/>
        <w:sz w:val="12"/>
      </w:rPr>
      <w:t>{01320170-1 }</w:t>
    </w:r>
    <w:r w:rsidR="00761988">
      <w:rPr>
        <w:noProof/>
        <w:sz w:val="12"/>
      </w:rPr>
      <w:tab/>
    </w:r>
    <w:r w:rsidR="004E1CBC" w:rsidRPr="004E1CBC">
      <w:rPr>
        <w:noProof/>
        <w:sz w:val="24"/>
        <w:szCs w:val="24"/>
      </w:rPr>
      <w:fldChar w:fldCharType="begin"/>
    </w:r>
    <w:r w:rsidR="004E1CBC" w:rsidRPr="004E1CBC">
      <w:rPr>
        <w:noProof/>
        <w:sz w:val="24"/>
        <w:szCs w:val="24"/>
      </w:rPr>
      <w:instrText xml:space="preserve"> PAGE   \* MERGEFORMAT </w:instrText>
    </w:r>
    <w:r w:rsidR="004E1CBC" w:rsidRPr="004E1CBC">
      <w:rPr>
        <w:noProof/>
        <w:sz w:val="24"/>
        <w:szCs w:val="24"/>
      </w:rPr>
      <w:fldChar w:fldCharType="separate"/>
    </w:r>
    <w:r>
      <w:rPr>
        <w:noProof/>
        <w:sz w:val="24"/>
        <w:szCs w:val="24"/>
      </w:rPr>
      <w:t>ii</w:t>
    </w:r>
    <w:r w:rsidR="004E1CBC" w:rsidRPr="004E1CBC">
      <w:rPr>
        <w:noProof/>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EA3" w:rsidRPr="00761988" w:rsidRDefault="003F046B">
    <w:pPr>
      <w:pStyle w:val="Footer"/>
    </w:pPr>
    <w:r w:rsidRPr="003F046B">
      <w:rPr>
        <w:noProof/>
        <w:sz w:val="12"/>
      </w:rPr>
      <w:t>{01320170-1 }</w:t>
    </w:r>
    <w:r w:rsidR="004E1CBC">
      <w:rPr>
        <w:noProof/>
        <w:sz w:val="12"/>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0D5" w:rsidRPr="00761988" w:rsidRDefault="003F046B">
    <w:pPr>
      <w:pStyle w:val="Footer"/>
    </w:pPr>
    <w:r w:rsidRPr="003F046B">
      <w:rPr>
        <w:noProof/>
        <w:sz w:val="12"/>
      </w:rPr>
      <w:t>{01320170-1 }</w:t>
    </w:r>
    <w:r w:rsidR="003020D5">
      <w:rPr>
        <w:noProof/>
        <w:sz w:val="12"/>
      </w:rPr>
      <w:tab/>
    </w:r>
    <w:r w:rsidR="003020D5" w:rsidRPr="003020D5">
      <w:rPr>
        <w:noProof/>
        <w:sz w:val="24"/>
        <w:szCs w:val="24"/>
      </w:rPr>
      <w:fldChar w:fldCharType="begin"/>
    </w:r>
    <w:r w:rsidR="003020D5" w:rsidRPr="003020D5">
      <w:rPr>
        <w:noProof/>
        <w:sz w:val="24"/>
        <w:szCs w:val="24"/>
      </w:rPr>
      <w:instrText xml:space="preserve"> PAGE   \* MERGEFORMAT </w:instrText>
    </w:r>
    <w:r w:rsidR="003020D5" w:rsidRPr="003020D5">
      <w:rPr>
        <w:noProof/>
        <w:sz w:val="24"/>
        <w:szCs w:val="24"/>
      </w:rPr>
      <w:fldChar w:fldCharType="separate"/>
    </w:r>
    <w:r>
      <w:rPr>
        <w:noProof/>
        <w:sz w:val="24"/>
        <w:szCs w:val="24"/>
      </w:rPr>
      <w:t>i</w:t>
    </w:r>
    <w:r w:rsidR="003020D5" w:rsidRPr="003020D5">
      <w:rPr>
        <w:noProof/>
        <w:sz w:val="24"/>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0D5" w:rsidRPr="00761988" w:rsidRDefault="003F046B">
    <w:pPr>
      <w:pStyle w:val="Footer"/>
    </w:pPr>
    <w:r w:rsidRPr="003F046B">
      <w:rPr>
        <w:noProof/>
        <w:sz w:val="12"/>
      </w:rPr>
      <w:t>{01320170-1 }</w:t>
    </w:r>
    <w:r w:rsidR="003020D5">
      <w:rPr>
        <w:noProof/>
        <w:sz w:val="12"/>
      </w:rPr>
      <w:tab/>
    </w:r>
    <w:r w:rsidR="003020D5" w:rsidRPr="004E1CBC">
      <w:rPr>
        <w:noProof/>
        <w:sz w:val="24"/>
        <w:szCs w:val="24"/>
      </w:rPr>
      <w:fldChar w:fldCharType="begin"/>
    </w:r>
    <w:r w:rsidR="003020D5" w:rsidRPr="004E1CBC">
      <w:rPr>
        <w:noProof/>
        <w:sz w:val="24"/>
        <w:szCs w:val="24"/>
      </w:rPr>
      <w:instrText xml:space="preserve"> PAGE   \* MERGEFORMAT </w:instrText>
    </w:r>
    <w:r w:rsidR="003020D5" w:rsidRPr="004E1CBC">
      <w:rPr>
        <w:noProof/>
        <w:sz w:val="24"/>
        <w:szCs w:val="24"/>
      </w:rPr>
      <w:fldChar w:fldCharType="separate"/>
    </w:r>
    <w:r>
      <w:rPr>
        <w:noProof/>
        <w:sz w:val="24"/>
        <w:szCs w:val="24"/>
      </w:rPr>
      <w:t>1</w:t>
    </w:r>
    <w:r w:rsidR="003020D5" w:rsidRPr="004E1CBC">
      <w:rPr>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EA3" w:rsidRDefault="00507EA3" w:rsidP="00A028EF">
      <w:pPr>
        <w:rPr>
          <w:noProof/>
        </w:rPr>
      </w:pPr>
      <w:r>
        <w:rPr>
          <w:noProof/>
        </w:rPr>
        <w:separator/>
      </w:r>
    </w:p>
  </w:footnote>
  <w:footnote w:type="continuationSeparator" w:id="0">
    <w:p w:rsidR="00507EA3" w:rsidRDefault="00507EA3" w:rsidP="00A028EF">
      <w:r>
        <w:continuationSeparator/>
      </w:r>
    </w:p>
  </w:footnote>
  <w:footnote w:id="1">
    <w:p w:rsidR="00360A82" w:rsidRDefault="00360A82" w:rsidP="00360A82">
      <w:pPr>
        <w:pStyle w:val="FootnoteText"/>
      </w:pPr>
      <w:r>
        <w:rPr>
          <w:rStyle w:val="FootnoteReference"/>
        </w:rPr>
        <w:footnoteRef/>
      </w:r>
      <w:r w:rsidRPr="007C7FF8">
        <w:rPr>
          <w:i/>
        </w:rPr>
        <w:t xml:space="preserve">In the Matter of Review of the Commission’s Rules Governing the 896-901/935-940 Band, Notice of Proposed Rulemaking, </w:t>
      </w:r>
      <w:r>
        <w:t>FCC 19-18, rel. March 14, 2019. (“NPRM”)</w:t>
      </w:r>
    </w:p>
    <w:p w:rsidR="00360A82" w:rsidRDefault="00360A82">
      <w:pPr>
        <w:pStyle w:val="FootnoteText"/>
      </w:pPr>
      <w:r>
        <w:t xml:space="preserve"> </w:t>
      </w:r>
    </w:p>
  </w:footnote>
  <w:footnote w:id="2">
    <w:p w:rsidR="00D50C7B" w:rsidRDefault="00D50C7B">
      <w:pPr>
        <w:pStyle w:val="FootnoteText"/>
      </w:pPr>
      <w:r>
        <w:rPr>
          <w:rStyle w:val="FootnoteReference"/>
        </w:rPr>
        <w:footnoteRef/>
      </w:r>
      <w:r w:rsidR="004541C0">
        <w:t xml:space="preserve"> Section 301 of the Communications Act (47 U.S.C. 301) expressly provides that a radio license authorizes the use – but not the ownership – of channels of communication for the limited periods of time specified in the license. “[N]o such </w:t>
      </w:r>
      <w:r w:rsidR="00A872E4">
        <w:t>license</w:t>
      </w:r>
      <w:r w:rsidR="004541C0">
        <w:t xml:space="preserve"> shall be construed to </w:t>
      </w:r>
      <w:r w:rsidR="00A872E4">
        <w:t>c</w:t>
      </w:r>
      <w:r w:rsidR="004541C0">
        <w:t>reate any right, beyond the terms, conditions, and period of the license.”</w:t>
      </w:r>
      <w:r w:rsidR="00A872E4">
        <w:t xml:space="preserve">  Accordingly, no licensee has any right to the use of a channel once its license has expired.</w:t>
      </w:r>
      <w:r w:rsidR="00F56065">
        <w:t xml:space="preserve"> </w:t>
      </w:r>
      <w:r w:rsidR="00F56065" w:rsidRPr="00F56065">
        <w:rPr>
          <w:i/>
        </w:rPr>
        <w:t>Transcontinent TV Corp. v. FCC</w:t>
      </w:r>
      <w:r w:rsidR="00F56065">
        <w:t xml:space="preserve">, 113 U.S. App. DC 384 (1962); </w:t>
      </w:r>
      <w:r w:rsidR="00F56065" w:rsidRPr="00F56065">
        <w:rPr>
          <w:i/>
        </w:rPr>
        <w:t>Direct Broadcast Satellite Service</w:t>
      </w:r>
      <w:r w:rsidR="00F56065">
        <w:t>, 1 CR 928 (1995)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229" w:rsidRDefault="000932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229" w:rsidRDefault="000932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229" w:rsidRDefault="000932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86BAE"/>
    <w:multiLevelType w:val="hybridMultilevel"/>
    <w:tmpl w:val="70028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93CD2"/>
    <w:multiLevelType w:val="hybridMultilevel"/>
    <w:tmpl w:val="F8A687F0"/>
    <w:lvl w:ilvl="0" w:tplc="6C6CD3EA">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666C1"/>
    <w:multiLevelType w:val="hybridMultilevel"/>
    <w:tmpl w:val="AE10295E"/>
    <w:lvl w:ilvl="0" w:tplc="C420844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726129A"/>
    <w:multiLevelType w:val="hybridMultilevel"/>
    <w:tmpl w:val="87E265F0"/>
    <w:lvl w:ilvl="0" w:tplc="36FE10E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000EFF"/>
    <w:multiLevelType w:val="hybridMultilevel"/>
    <w:tmpl w:val="55DE9B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F862D0"/>
    <w:multiLevelType w:val="hybridMultilevel"/>
    <w:tmpl w:val="DE40EEC0"/>
    <w:lvl w:ilvl="0" w:tplc="764817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7E32F26"/>
    <w:multiLevelType w:val="hybridMultilevel"/>
    <w:tmpl w:val="0D969CB0"/>
    <w:lvl w:ilvl="0" w:tplc="91B41312">
      <w:start w:val="1"/>
      <w:numFmt w:val="upperLetter"/>
      <w:lvlText w:val="%1."/>
      <w:lvlJc w:val="left"/>
      <w:pPr>
        <w:ind w:left="1080" w:hanging="360"/>
      </w:pPr>
      <w:rPr>
        <w:rFonts w:ascii="Times New Roman" w:eastAsiaTheme="minorHAnsi" w:hAnsi="Times New Roman"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D544144"/>
    <w:multiLevelType w:val="hybridMultilevel"/>
    <w:tmpl w:val="DE40EEC0"/>
    <w:lvl w:ilvl="0" w:tplc="764817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6"/>
  </w:num>
  <w:num w:numId="5">
    <w:abstractNumId w:val="4"/>
  </w:num>
  <w:num w:numId="6">
    <w:abstractNumId w:val="3"/>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063"/>
    <w:rsid w:val="0004073A"/>
    <w:rsid w:val="00054575"/>
    <w:rsid w:val="00055478"/>
    <w:rsid w:val="00085A98"/>
    <w:rsid w:val="00093229"/>
    <w:rsid w:val="000C78FD"/>
    <w:rsid w:val="000F3E53"/>
    <w:rsid w:val="000F726F"/>
    <w:rsid w:val="0013258B"/>
    <w:rsid w:val="00135409"/>
    <w:rsid w:val="0014308D"/>
    <w:rsid w:val="00187913"/>
    <w:rsid w:val="001C4CDD"/>
    <w:rsid w:val="001D0E8B"/>
    <w:rsid w:val="001E12DC"/>
    <w:rsid w:val="00252A34"/>
    <w:rsid w:val="00273313"/>
    <w:rsid w:val="0028122F"/>
    <w:rsid w:val="002A0720"/>
    <w:rsid w:val="002A579F"/>
    <w:rsid w:val="002A638B"/>
    <w:rsid w:val="002C4F18"/>
    <w:rsid w:val="00301BD6"/>
    <w:rsid w:val="003020D5"/>
    <w:rsid w:val="003047E6"/>
    <w:rsid w:val="00322EB7"/>
    <w:rsid w:val="00360A82"/>
    <w:rsid w:val="00363954"/>
    <w:rsid w:val="00386A72"/>
    <w:rsid w:val="003C6C4E"/>
    <w:rsid w:val="003F046B"/>
    <w:rsid w:val="003F73E4"/>
    <w:rsid w:val="00440EBE"/>
    <w:rsid w:val="004523FC"/>
    <w:rsid w:val="004541C0"/>
    <w:rsid w:val="004629BC"/>
    <w:rsid w:val="004D226F"/>
    <w:rsid w:val="004E1CBC"/>
    <w:rsid w:val="00507EA3"/>
    <w:rsid w:val="00513247"/>
    <w:rsid w:val="005339E0"/>
    <w:rsid w:val="00541A97"/>
    <w:rsid w:val="00545AD9"/>
    <w:rsid w:val="00565080"/>
    <w:rsid w:val="005D0C09"/>
    <w:rsid w:val="005D559F"/>
    <w:rsid w:val="005E2597"/>
    <w:rsid w:val="00605CF4"/>
    <w:rsid w:val="0069112E"/>
    <w:rsid w:val="00696413"/>
    <w:rsid w:val="007242B4"/>
    <w:rsid w:val="00755836"/>
    <w:rsid w:val="00761988"/>
    <w:rsid w:val="00762063"/>
    <w:rsid w:val="007B78D6"/>
    <w:rsid w:val="007C7FF8"/>
    <w:rsid w:val="007F46AC"/>
    <w:rsid w:val="007F4B7C"/>
    <w:rsid w:val="00815C39"/>
    <w:rsid w:val="00844DFC"/>
    <w:rsid w:val="008A358B"/>
    <w:rsid w:val="008F4E52"/>
    <w:rsid w:val="009649E5"/>
    <w:rsid w:val="00994EB6"/>
    <w:rsid w:val="00996C57"/>
    <w:rsid w:val="009C7763"/>
    <w:rsid w:val="009E1E98"/>
    <w:rsid w:val="009F68E4"/>
    <w:rsid w:val="00A028EF"/>
    <w:rsid w:val="00A156F8"/>
    <w:rsid w:val="00A527F1"/>
    <w:rsid w:val="00A81028"/>
    <w:rsid w:val="00A872E4"/>
    <w:rsid w:val="00A91524"/>
    <w:rsid w:val="00AA5B44"/>
    <w:rsid w:val="00AC5BC7"/>
    <w:rsid w:val="00B15B79"/>
    <w:rsid w:val="00B23A18"/>
    <w:rsid w:val="00B50F0F"/>
    <w:rsid w:val="00B5448D"/>
    <w:rsid w:val="00B65424"/>
    <w:rsid w:val="00BD63D7"/>
    <w:rsid w:val="00C239EF"/>
    <w:rsid w:val="00C316BD"/>
    <w:rsid w:val="00C57D67"/>
    <w:rsid w:val="00C609B0"/>
    <w:rsid w:val="00C64A29"/>
    <w:rsid w:val="00C94FDE"/>
    <w:rsid w:val="00D04C6A"/>
    <w:rsid w:val="00D44A77"/>
    <w:rsid w:val="00D50C7B"/>
    <w:rsid w:val="00D82A3F"/>
    <w:rsid w:val="00DD2712"/>
    <w:rsid w:val="00E352AA"/>
    <w:rsid w:val="00E9162C"/>
    <w:rsid w:val="00F049A4"/>
    <w:rsid w:val="00F56065"/>
    <w:rsid w:val="00F56093"/>
    <w:rsid w:val="00F77FF8"/>
    <w:rsid w:val="00F80C8B"/>
    <w:rsid w:val="00FB071B"/>
    <w:rsid w:val="00FB6908"/>
    <w:rsid w:val="00FC0199"/>
    <w:rsid w:val="00FD7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FA5CF768-6881-4271-8AAE-886A4BF3A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Arial"/>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063"/>
    <w:pPr>
      <w:widowControl w:val="0"/>
      <w:spacing w:after="0" w:line="240" w:lineRule="auto"/>
    </w:pPr>
    <w:rPr>
      <w:rFonts w:eastAsia="Times New Roman" w:cs="Times New Roman"/>
      <w:snapToGrid w:val="0"/>
      <w:kern w:val="28"/>
      <w:sz w:val="22"/>
      <w:szCs w:val="20"/>
    </w:rPr>
  </w:style>
  <w:style w:type="paragraph" w:styleId="Heading1">
    <w:name w:val="heading 1"/>
    <w:basedOn w:val="Normal"/>
    <w:next w:val="Normal"/>
    <w:link w:val="Heading1Char"/>
    <w:uiPriority w:val="9"/>
    <w:qFormat/>
    <w:rsid w:val="000F3E5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basedOn w:val="Normal"/>
    <w:next w:val="Normal"/>
    <w:semiHidden/>
    <w:rsid w:val="00762063"/>
    <w:pPr>
      <w:tabs>
        <w:tab w:val="right" w:pos="9360"/>
      </w:tabs>
      <w:suppressAutoHyphens/>
    </w:pPr>
  </w:style>
  <w:style w:type="paragraph" w:customStyle="1" w:styleId="StyleBoldCentered">
    <w:name w:val="Style Bold Centered"/>
    <w:basedOn w:val="Normal"/>
    <w:rsid w:val="00762063"/>
    <w:pPr>
      <w:jc w:val="center"/>
    </w:pPr>
    <w:rPr>
      <w:rFonts w:ascii="Times New Roman Bold" w:hAnsi="Times New Roman Bold"/>
      <w:b/>
      <w:bCs/>
      <w:caps/>
      <w:szCs w:val="22"/>
    </w:rPr>
  </w:style>
  <w:style w:type="paragraph" w:styleId="NoSpacing">
    <w:name w:val="No Spacing"/>
    <w:uiPriority w:val="1"/>
    <w:qFormat/>
    <w:rsid w:val="00762063"/>
    <w:pPr>
      <w:spacing w:after="0" w:line="240" w:lineRule="auto"/>
    </w:pPr>
  </w:style>
  <w:style w:type="paragraph" w:styleId="ListParagraph">
    <w:name w:val="List Paragraph"/>
    <w:basedOn w:val="Normal"/>
    <w:uiPriority w:val="34"/>
    <w:qFormat/>
    <w:rsid w:val="003047E6"/>
    <w:pPr>
      <w:ind w:left="720"/>
      <w:contextualSpacing/>
    </w:pPr>
  </w:style>
  <w:style w:type="paragraph" w:styleId="Header">
    <w:name w:val="header"/>
    <w:basedOn w:val="Normal"/>
    <w:link w:val="HeaderChar"/>
    <w:uiPriority w:val="99"/>
    <w:unhideWhenUsed/>
    <w:rsid w:val="00A028EF"/>
    <w:pPr>
      <w:tabs>
        <w:tab w:val="center" w:pos="4680"/>
        <w:tab w:val="right" w:pos="9360"/>
      </w:tabs>
    </w:pPr>
  </w:style>
  <w:style w:type="character" w:customStyle="1" w:styleId="HeaderChar">
    <w:name w:val="Header Char"/>
    <w:basedOn w:val="DefaultParagraphFont"/>
    <w:link w:val="Header"/>
    <w:uiPriority w:val="99"/>
    <w:rsid w:val="00A028EF"/>
    <w:rPr>
      <w:rFonts w:eastAsia="Times New Roman" w:cs="Times New Roman"/>
      <w:snapToGrid w:val="0"/>
      <w:kern w:val="28"/>
      <w:sz w:val="22"/>
      <w:szCs w:val="20"/>
    </w:rPr>
  </w:style>
  <w:style w:type="paragraph" w:styleId="Footer">
    <w:name w:val="footer"/>
    <w:basedOn w:val="Normal"/>
    <w:link w:val="FooterChar"/>
    <w:uiPriority w:val="99"/>
    <w:unhideWhenUsed/>
    <w:rsid w:val="00A028EF"/>
    <w:pPr>
      <w:tabs>
        <w:tab w:val="center" w:pos="4680"/>
        <w:tab w:val="right" w:pos="9360"/>
      </w:tabs>
    </w:pPr>
  </w:style>
  <w:style w:type="character" w:customStyle="1" w:styleId="FooterChar">
    <w:name w:val="Footer Char"/>
    <w:basedOn w:val="DefaultParagraphFont"/>
    <w:link w:val="Footer"/>
    <w:uiPriority w:val="99"/>
    <w:rsid w:val="00A028EF"/>
    <w:rPr>
      <w:rFonts w:eastAsia="Times New Roman" w:cs="Times New Roman"/>
      <w:snapToGrid w:val="0"/>
      <w:kern w:val="28"/>
      <w:sz w:val="22"/>
      <w:szCs w:val="20"/>
    </w:rPr>
  </w:style>
  <w:style w:type="paragraph" w:styleId="FootnoteText">
    <w:name w:val="footnote text"/>
    <w:basedOn w:val="Normal"/>
    <w:link w:val="FootnoteTextChar"/>
    <w:uiPriority w:val="99"/>
    <w:semiHidden/>
    <w:unhideWhenUsed/>
    <w:rsid w:val="00D50C7B"/>
    <w:rPr>
      <w:sz w:val="20"/>
    </w:rPr>
  </w:style>
  <w:style w:type="character" w:customStyle="1" w:styleId="FootnoteTextChar">
    <w:name w:val="Footnote Text Char"/>
    <w:basedOn w:val="DefaultParagraphFont"/>
    <w:link w:val="FootnoteText"/>
    <w:uiPriority w:val="99"/>
    <w:semiHidden/>
    <w:rsid w:val="00D50C7B"/>
    <w:rPr>
      <w:rFonts w:eastAsia="Times New Roman" w:cs="Times New Roman"/>
      <w:snapToGrid w:val="0"/>
      <w:kern w:val="28"/>
      <w:sz w:val="20"/>
      <w:szCs w:val="20"/>
    </w:rPr>
  </w:style>
  <w:style w:type="character" w:styleId="FootnoteReference">
    <w:name w:val="footnote reference"/>
    <w:basedOn w:val="DefaultParagraphFont"/>
    <w:uiPriority w:val="99"/>
    <w:semiHidden/>
    <w:unhideWhenUsed/>
    <w:rsid w:val="00D50C7B"/>
    <w:rPr>
      <w:vertAlign w:val="superscript"/>
    </w:rPr>
  </w:style>
  <w:style w:type="character" w:styleId="Hyperlink">
    <w:name w:val="Hyperlink"/>
    <w:basedOn w:val="DefaultParagraphFont"/>
    <w:uiPriority w:val="99"/>
    <w:unhideWhenUsed/>
    <w:rsid w:val="000F3E53"/>
    <w:rPr>
      <w:color w:val="0563C1" w:themeColor="hyperlink"/>
      <w:u w:val="single"/>
    </w:rPr>
  </w:style>
  <w:style w:type="character" w:customStyle="1" w:styleId="Heading1Char">
    <w:name w:val="Heading 1 Char"/>
    <w:basedOn w:val="DefaultParagraphFont"/>
    <w:link w:val="Heading1"/>
    <w:uiPriority w:val="9"/>
    <w:rsid w:val="000F3E53"/>
    <w:rPr>
      <w:rFonts w:asciiTheme="majorHAnsi" w:eastAsiaTheme="majorEastAsia" w:hAnsiTheme="majorHAnsi" w:cstheme="majorBidi"/>
      <w:snapToGrid w:val="0"/>
      <w:color w:val="2E74B5" w:themeColor="accent1" w:themeShade="BF"/>
      <w:kern w:val="28"/>
      <w:sz w:val="32"/>
      <w:szCs w:val="32"/>
    </w:rPr>
  </w:style>
  <w:style w:type="paragraph" w:styleId="TOCHeading">
    <w:name w:val="TOC Heading"/>
    <w:basedOn w:val="Heading1"/>
    <w:next w:val="Normal"/>
    <w:uiPriority w:val="39"/>
    <w:unhideWhenUsed/>
    <w:qFormat/>
    <w:rsid w:val="004E1CBC"/>
    <w:pPr>
      <w:widowControl/>
      <w:spacing w:line="259" w:lineRule="auto"/>
      <w:outlineLvl w:val="9"/>
    </w:pPr>
    <w:rPr>
      <w:snapToGrid/>
      <w:kern w:val="0"/>
    </w:rPr>
  </w:style>
  <w:style w:type="paragraph" w:styleId="TOC1">
    <w:name w:val="toc 1"/>
    <w:basedOn w:val="Normal"/>
    <w:next w:val="Normal"/>
    <w:autoRedefine/>
    <w:uiPriority w:val="39"/>
    <w:unhideWhenUsed/>
    <w:rsid w:val="004E1CBC"/>
    <w:pPr>
      <w:spacing w:after="100"/>
    </w:pPr>
  </w:style>
  <w:style w:type="paragraph" w:styleId="TOC2">
    <w:name w:val="toc 2"/>
    <w:basedOn w:val="Normal"/>
    <w:next w:val="Normal"/>
    <w:autoRedefine/>
    <w:uiPriority w:val="39"/>
    <w:unhideWhenUsed/>
    <w:rsid w:val="003020D5"/>
    <w:pPr>
      <w:tabs>
        <w:tab w:val="left" w:pos="660"/>
        <w:tab w:val="right" w:leader="dot" w:pos="9350"/>
      </w:tabs>
      <w:spacing w:after="100"/>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312360">
      <w:bodyDiv w:val="1"/>
      <w:marLeft w:val="0"/>
      <w:marRight w:val="0"/>
      <w:marTop w:val="0"/>
      <w:marBottom w:val="0"/>
      <w:divBdr>
        <w:top w:val="none" w:sz="0" w:space="0" w:color="auto"/>
        <w:left w:val="none" w:sz="0" w:space="0" w:color="auto"/>
        <w:bottom w:val="none" w:sz="0" w:space="0" w:color="auto"/>
        <w:right w:val="none" w:sz="0" w:space="0" w:color="auto"/>
      </w:divBdr>
    </w:div>
    <w:div w:id="1943680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F34E9-BA53-4624-8A96-DA0D14719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23</Pages>
  <Words>5890</Words>
  <Characters>32006</Characters>
  <Application>Microsoft Office Word</Application>
  <DocSecurity>0</DocSecurity>
  <PresentationFormat>15|.DOCX</PresentationFormat>
  <Lines>576</Lines>
  <Paragraphs>122</Paragraphs>
  <ScaleCrop>false</ScaleCrop>
  <HeadingPairs>
    <vt:vector size="2" baseType="variant">
      <vt:variant>
        <vt:lpstr>Title</vt:lpstr>
      </vt:variant>
      <vt:variant>
        <vt:i4>1</vt:i4>
      </vt:variant>
    </vt:vector>
  </HeadingPairs>
  <TitlesOfParts>
    <vt:vector size="1" baseType="lpstr">
      <vt:lpstr>SCE Comments Draft 6-3 (01320170).DOCX</vt:lpstr>
    </vt:vector>
  </TitlesOfParts>
  <Company>Hewlett-Packard Company</Company>
  <LinksUpToDate>false</LinksUpToDate>
  <CharactersWithSpaces>38099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 Comments (Final) 6-3 (01320170).DOCX</dc:title>
  <dc:subject>01320170-1 /font=6</dc:subject>
  <dc:creator>Donald Evans</dc:creator>
  <cp:keywords/>
  <dc:description/>
  <cp:lastModifiedBy>Donald Evans</cp:lastModifiedBy>
  <cp:revision>8</cp:revision>
  <cp:lastPrinted>2019-05-31T18:22:00Z</cp:lastPrinted>
  <dcterms:created xsi:type="dcterms:W3CDTF">2019-06-03T18:22:00Z</dcterms:created>
  <dcterms:modified xsi:type="dcterms:W3CDTF">2019-06-03T20:51:00Z</dcterms:modified>
</cp:coreProperties>
</file>