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CCF" w:rsidRDefault="007F19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Before the</w:t>
      </w:r>
    </w:p>
    <w:p w:rsidR="00381CCF" w:rsidRDefault="007F19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FEDERAL COMMUNICATIONS COMMISSION</w:t>
      </w:r>
    </w:p>
    <w:p w:rsidR="00381CCF" w:rsidRDefault="007F19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Washington D.C. 20554</w:t>
      </w:r>
    </w:p>
    <w:p w:rsidR="00381CCF" w:rsidRDefault="00381CCF">
      <w:pPr>
        <w:spacing w:after="0" w:line="240" w:lineRule="auto"/>
        <w:rPr>
          <w:rFonts w:ascii="Times New Roman" w:hAnsi="Times New Roman" w:cs="Times New Roman"/>
          <w:sz w:val="24"/>
          <w:szCs w:val="24"/>
        </w:rPr>
      </w:pPr>
    </w:p>
    <w:p w:rsidR="00381CCF" w:rsidRDefault="00381CCF">
      <w:pPr>
        <w:spacing w:after="0" w:line="240" w:lineRule="auto"/>
        <w:rPr>
          <w:rFonts w:ascii="Times New Roman" w:hAnsi="Times New Roman" w:cs="Times New Roman"/>
          <w:sz w:val="24"/>
          <w:szCs w:val="24"/>
        </w:rPr>
      </w:pPr>
    </w:p>
    <w:p w:rsidR="00381CCF" w:rsidRDefault="00381CCF">
      <w:pPr>
        <w:spacing w:after="0" w:line="240" w:lineRule="auto"/>
        <w:rPr>
          <w:rFonts w:ascii="Times New Roman" w:hAnsi="Times New Roman" w:cs="Times New Roman"/>
          <w:sz w:val="24"/>
          <w:szCs w:val="24"/>
        </w:rPr>
      </w:pPr>
    </w:p>
    <w:tbl>
      <w:tblPr>
        <w:tblW w:w="9576" w:type="dxa"/>
        <w:tblLayout w:type="fixed"/>
        <w:tblLook w:val="0000" w:firstRow="0" w:lastRow="0" w:firstColumn="0" w:lastColumn="0" w:noHBand="0" w:noVBand="0"/>
      </w:tblPr>
      <w:tblGrid>
        <w:gridCol w:w="4698"/>
        <w:gridCol w:w="630"/>
        <w:gridCol w:w="4248"/>
      </w:tblGrid>
      <w:tr w:rsidR="0004301C" w:rsidRPr="0035185E" w:rsidTr="007D06A2">
        <w:tc>
          <w:tcPr>
            <w:tcW w:w="4698" w:type="dxa"/>
            <w:shd w:val="clear" w:color="auto" w:fill="auto"/>
          </w:tcPr>
          <w:p w:rsidR="0004301C" w:rsidRPr="0035185E" w:rsidRDefault="0004301C" w:rsidP="0004301C">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In the Matter of</w:t>
            </w:r>
          </w:p>
          <w:p w:rsidR="0004301C" w:rsidRPr="0035185E" w:rsidRDefault="0004301C" w:rsidP="0004301C">
            <w:pPr>
              <w:tabs>
                <w:tab w:val="center" w:pos="4680"/>
              </w:tabs>
              <w:suppressAutoHyphens/>
              <w:spacing w:after="0"/>
              <w:rPr>
                <w:rFonts w:ascii="Times New Roman" w:hAnsi="Times New Roman" w:cs="Times New Roman"/>
                <w:spacing w:val="-2"/>
                <w:sz w:val="24"/>
                <w:szCs w:val="24"/>
              </w:rPr>
            </w:pPr>
          </w:p>
          <w:p w:rsidR="0004301C" w:rsidRPr="0035185E" w:rsidRDefault="0004301C" w:rsidP="0004301C">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Advanced Methods to Target and Eliminate</w:t>
            </w:r>
          </w:p>
          <w:p w:rsidR="0004301C" w:rsidRPr="006267D1" w:rsidRDefault="0004301C" w:rsidP="0004301C">
            <w:pPr>
              <w:tabs>
                <w:tab w:val="center" w:pos="4680"/>
              </w:tabs>
              <w:suppressAutoHyphens/>
              <w:spacing w:after="0"/>
              <w:rPr>
                <w:rFonts w:ascii="Times New Roman" w:hAnsi="Times New Roman" w:cs="Times New Roman"/>
                <w:spacing w:val="-2"/>
                <w:sz w:val="24"/>
                <w:szCs w:val="24"/>
                <w:highlight w:val="yellow"/>
              </w:rPr>
            </w:pPr>
            <w:r w:rsidRPr="0035185E">
              <w:rPr>
                <w:rFonts w:ascii="Times New Roman" w:hAnsi="Times New Roman" w:cs="Times New Roman"/>
                <w:spacing w:val="-2"/>
                <w:sz w:val="24"/>
                <w:szCs w:val="24"/>
              </w:rPr>
              <w:t xml:space="preserve">Unlawful </w:t>
            </w:r>
            <w:proofErr w:type="spellStart"/>
            <w:r w:rsidRPr="0035185E">
              <w:rPr>
                <w:rFonts w:ascii="Times New Roman" w:hAnsi="Times New Roman" w:cs="Times New Roman"/>
                <w:spacing w:val="-2"/>
                <w:sz w:val="24"/>
                <w:szCs w:val="24"/>
              </w:rPr>
              <w:t>Robocalls</w:t>
            </w:r>
            <w:proofErr w:type="spellEnd"/>
          </w:p>
          <w:p w:rsidR="0035185E" w:rsidRPr="0035185E" w:rsidRDefault="0035185E" w:rsidP="0035185E">
            <w:pPr>
              <w:pStyle w:val="StyleBoldCentered"/>
              <w:rPr>
                <w:rFonts w:ascii="Times New Roman" w:hAnsi="Times New Roman"/>
                <w:b w:val="0"/>
                <w:spacing w:val="-2"/>
                <w:sz w:val="24"/>
                <w:szCs w:val="24"/>
              </w:rPr>
            </w:pPr>
          </w:p>
        </w:tc>
        <w:tc>
          <w:tcPr>
            <w:tcW w:w="630" w:type="dxa"/>
            <w:shd w:val="clear" w:color="auto" w:fill="auto"/>
          </w:tcPr>
          <w:p w:rsidR="0004301C" w:rsidRPr="0035185E" w:rsidRDefault="0004301C" w:rsidP="0004301C">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w:t>
            </w:r>
          </w:p>
          <w:p w:rsidR="0004301C" w:rsidRPr="0035185E" w:rsidRDefault="0004301C" w:rsidP="0004301C">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w:t>
            </w:r>
          </w:p>
          <w:p w:rsidR="0004301C" w:rsidRPr="0035185E" w:rsidRDefault="0004301C" w:rsidP="0004301C">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w:t>
            </w:r>
          </w:p>
          <w:p w:rsidR="0004301C" w:rsidRPr="0035185E" w:rsidRDefault="0004301C" w:rsidP="0004301C">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w:t>
            </w:r>
          </w:p>
          <w:p w:rsidR="0004301C" w:rsidRPr="0035185E" w:rsidRDefault="0004301C" w:rsidP="0004301C">
            <w:pPr>
              <w:tabs>
                <w:tab w:val="center" w:pos="4680"/>
              </w:tabs>
              <w:suppressAutoHyphens/>
              <w:spacing w:after="0"/>
              <w:rPr>
                <w:rFonts w:ascii="Times New Roman" w:hAnsi="Times New Roman" w:cs="Times New Roman"/>
                <w:spacing w:val="-2"/>
                <w:sz w:val="24"/>
                <w:szCs w:val="24"/>
              </w:rPr>
            </w:pPr>
          </w:p>
        </w:tc>
        <w:tc>
          <w:tcPr>
            <w:tcW w:w="4248" w:type="dxa"/>
            <w:shd w:val="clear" w:color="auto" w:fill="auto"/>
          </w:tcPr>
          <w:p w:rsidR="0004301C" w:rsidRPr="0035185E" w:rsidRDefault="0004301C" w:rsidP="0004301C">
            <w:pPr>
              <w:tabs>
                <w:tab w:val="center" w:pos="4680"/>
              </w:tabs>
              <w:suppressAutoHyphens/>
              <w:spacing w:after="0"/>
              <w:rPr>
                <w:rFonts w:ascii="Times New Roman" w:hAnsi="Times New Roman" w:cs="Times New Roman"/>
                <w:spacing w:val="-2"/>
                <w:sz w:val="24"/>
                <w:szCs w:val="24"/>
              </w:rPr>
            </w:pPr>
          </w:p>
          <w:p w:rsidR="0004301C" w:rsidRPr="0035185E" w:rsidRDefault="0004301C" w:rsidP="0004301C">
            <w:pPr>
              <w:tabs>
                <w:tab w:val="center" w:pos="4680"/>
              </w:tabs>
              <w:suppressAutoHyphens/>
              <w:spacing w:after="0"/>
              <w:rPr>
                <w:rFonts w:ascii="Times New Roman" w:hAnsi="Times New Roman" w:cs="Times New Roman"/>
                <w:spacing w:val="-2"/>
                <w:sz w:val="24"/>
                <w:szCs w:val="24"/>
              </w:rPr>
            </w:pPr>
          </w:p>
          <w:p w:rsidR="0004301C" w:rsidRPr="0035185E" w:rsidRDefault="0035185E" w:rsidP="0004301C">
            <w:pPr>
              <w:tabs>
                <w:tab w:val="center" w:pos="4680"/>
              </w:tabs>
              <w:suppressAutoHyphens/>
              <w:spacing w:after="0"/>
              <w:rPr>
                <w:rFonts w:ascii="Times New Roman" w:hAnsi="Times New Roman" w:cs="Times New Roman"/>
                <w:spacing w:val="-2"/>
                <w:sz w:val="24"/>
                <w:szCs w:val="24"/>
              </w:rPr>
            </w:pPr>
            <w:r w:rsidRPr="0035185E">
              <w:rPr>
                <w:rFonts w:ascii="Times New Roman" w:hAnsi="Times New Roman" w:cs="Times New Roman"/>
                <w:spacing w:val="-2"/>
                <w:sz w:val="24"/>
                <w:szCs w:val="24"/>
              </w:rPr>
              <w:t>CG Docket No. 17-59</w:t>
            </w:r>
          </w:p>
        </w:tc>
      </w:tr>
      <w:tr w:rsidR="0035185E" w:rsidTr="007D06A2">
        <w:tc>
          <w:tcPr>
            <w:tcW w:w="4698" w:type="dxa"/>
            <w:shd w:val="clear" w:color="auto" w:fill="auto"/>
          </w:tcPr>
          <w:p w:rsidR="0035185E" w:rsidRPr="0004301C" w:rsidRDefault="0035185E" w:rsidP="0004301C">
            <w:pPr>
              <w:tabs>
                <w:tab w:val="center" w:pos="4680"/>
              </w:tabs>
              <w:suppressAutoHyphens/>
              <w:spacing w:after="0"/>
              <w:rPr>
                <w:rFonts w:ascii="Times New Roman" w:hAnsi="Times New Roman" w:cs="Times New Roman"/>
                <w:spacing w:val="-2"/>
                <w:sz w:val="24"/>
                <w:szCs w:val="24"/>
              </w:rPr>
            </w:pPr>
          </w:p>
        </w:tc>
        <w:tc>
          <w:tcPr>
            <w:tcW w:w="630" w:type="dxa"/>
            <w:shd w:val="clear" w:color="auto" w:fill="auto"/>
          </w:tcPr>
          <w:p w:rsidR="0035185E" w:rsidRPr="0004301C" w:rsidRDefault="0035185E" w:rsidP="0004301C">
            <w:pPr>
              <w:tabs>
                <w:tab w:val="center" w:pos="4680"/>
              </w:tabs>
              <w:suppressAutoHyphens/>
              <w:spacing w:after="0"/>
              <w:rPr>
                <w:rFonts w:ascii="Times New Roman" w:hAnsi="Times New Roman" w:cs="Times New Roman"/>
                <w:b/>
                <w:spacing w:val="-2"/>
                <w:sz w:val="24"/>
                <w:szCs w:val="24"/>
              </w:rPr>
            </w:pPr>
          </w:p>
        </w:tc>
        <w:tc>
          <w:tcPr>
            <w:tcW w:w="4248" w:type="dxa"/>
            <w:shd w:val="clear" w:color="auto" w:fill="auto"/>
          </w:tcPr>
          <w:p w:rsidR="0035185E" w:rsidRPr="0004301C" w:rsidRDefault="0035185E" w:rsidP="0004301C">
            <w:pPr>
              <w:tabs>
                <w:tab w:val="center" w:pos="4680"/>
              </w:tabs>
              <w:suppressAutoHyphens/>
              <w:spacing w:after="0"/>
              <w:rPr>
                <w:rFonts w:ascii="Times New Roman" w:hAnsi="Times New Roman" w:cs="Times New Roman"/>
                <w:spacing w:val="-2"/>
                <w:sz w:val="24"/>
                <w:szCs w:val="24"/>
              </w:rPr>
            </w:pPr>
          </w:p>
        </w:tc>
      </w:tr>
      <w:tr w:rsidR="0035185E" w:rsidTr="0035185E">
        <w:trPr>
          <w:trHeight w:val="80"/>
        </w:trPr>
        <w:tc>
          <w:tcPr>
            <w:tcW w:w="4698" w:type="dxa"/>
            <w:shd w:val="clear" w:color="auto" w:fill="auto"/>
          </w:tcPr>
          <w:p w:rsidR="0035185E" w:rsidRPr="0004301C" w:rsidRDefault="0035185E" w:rsidP="0004301C">
            <w:pPr>
              <w:tabs>
                <w:tab w:val="center" w:pos="4680"/>
              </w:tabs>
              <w:suppressAutoHyphens/>
              <w:spacing w:after="0"/>
              <w:rPr>
                <w:rFonts w:ascii="Times New Roman" w:hAnsi="Times New Roman" w:cs="Times New Roman"/>
                <w:spacing w:val="-2"/>
                <w:sz w:val="24"/>
                <w:szCs w:val="24"/>
              </w:rPr>
            </w:pPr>
          </w:p>
        </w:tc>
        <w:tc>
          <w:tcPr>
            <w:tcW w:w="630" w:type="dxa"/>
            <w:shd w:val="clear" w:color="auto" w:fill="auto"/>
          </w:tcPr>
          <w:p w:rsidR="0035185E" w:rsidRPr="0004301C" w:rsidRDefault="0035185E" w:rsidP="0004301C">
            <w:pPr>
              <w:tabs>
                <w:tab w:val="center" w:pos="4680"/>
              </w:tabs>
              <w:suppressAutoHyphens/>
              <w:spacing w:after="0"/>
              <w:rPr>
                <w:rFonts w:ascii="Times New Roman" w:hAnsi="Times New Roman" w:cs="Times New Roman"/>
                <w:b/>
                <w:spacing w:val="-2"/>
                <w:sz w:val="24"/>
                <w:szCs w:val="24"/>
              </w:rPr>
            </w:pPr>
          </w:p>
        </w:tc>
        <w:tc>
          <w:tcPr>
            <w:tcW w:w="4248" w:type="dxa"/>
            <w:shd w:val="clear" w:color="auto" w:fill="auto"/>
          </w:tcPr>
          <w:p w:rsidR="0035185E" w:rsidRPr="0004301C" w:rsidRDefault="0035185E" w:rsidP="0004301C">
            <w:pPr>
              <w:tabs>
                <w:tab w:val="center" w:pos="4680"/>
              </w:tabs>
              <w:suppressAutoHyphens/>
              <w:spacing w:after="0"/>
              <w:rPr>
                <w:rFonts w:ascii="Times New Roman" w:hAnsi="Times New Roman" w:cs="Times New Roman"/>
                <w:spacing w:val="-2"/>
                <w:sz w:val="24"/>
                <w:szCs w:val="24"/>
              </w:rPr>
            </w:pPr>
          </w:p>
        </w:tc>
      </w:tr>
    </w:tbl>
    <w:p w:rsidR="0035185E" w:rsidRPr="0035185E" w:rsidRDefault="004518EC" w:rsidP="0035185E">
      <w:pPr>
        <w:pStyle w:val="StyleBoldCentered"/>
        <w:rPr>
          <w:rFonts w:ascii="Times New Roman" w:hAnsi="Times New Roman"/>
          <w:sz w:val="24"/>
          <w:szCs w:val="24"/>
        </w:rPr>
      </w:pPr>
      <w:r>
        <w:t>Second Further Notice of Proposed Rulemaking</w:t>
      </w:r>
    </w:p>
    <w:p w:rsidR="00381CCF" w:rsidRDefault="00381CCF">
      <w:pPr>
        <w:spacing w:after="0" w:line="240" w:lineRule="auto"/>
        <w:rPr>
          <w:rFonts w:ascii="Times New Roman" w:hAnsi="Times New Roman" w:cs="Times New Roman"/>
          <w:sz w:val="24"/>
          <w:szCs w:val="24"/>
        </w:rPr>
      </w:pPr>
    </w:p>
    <w:p w:rsidR="00381CCF" w:rsidRDefault="00381CCF">
      <w:pPr>
        <w:spacing w:after="0" w:line="240" w:lineRule="auto"/>
        <w:rPr>
          <w:rFonts w:ascii="Times New Roman" w:hAnsi="Times New Roman" w:cs="Times New Roman"/>
          <w:b/>
          <w:sz w:val="24"/>
          <w:szCs w:val="24"/>
        </w:rPr>
      </w:pPr>
    </w:p>
    <w:p w:rsidR="00A95CE0" w:rsidRDefault="00A95CE0" w:rsidP="00A95CE0">
      <w:pPr>
        <w:spacing w:after="0" w:line="240" w:lineRule="auto"/>
        <w:rPr>
          <w:rFonts w:ascii="Times New Roman" w:hAnsi="Times New Roman" w:cs="Times New Roman"/>
          <w:sz w:val="24"/>
          <w:szCs w:val="24"/>
        </w:rPr>
      </w:pPr>
      <w:r>
        <w:rPr>
          <w:rFonts w:ascii="Times New Roman" w:hAnsi="Times New Roman" w:cs="Times New Roman"/>
          <w:sz w:val="24"/>
          <w:szCs w:val="24"/>
        </w:rPr>
        <w:t>To: The Commission</w:t>
      </w:r>
    </w:p>
    <w:p w:rsidR="00A95CE0" w:rsidRDefault="00A95CE0" w:rsidP="00A95CE0">
      <w:pPr>
        <w:spacing w:after="0" w:line="480" w:lineRule="auto"/>
        <w:jc w:val="center"/>
        <w:rPr>
          <w:rFonts w:ascii="Times New Roman" w:hAnsi="Times New Roman" w:cs="Times New Roman"/>
          <w:b/>
          <w:sz w:val="24"/>
          <w:szCs w:val="24"/>
        </w:rPr>
      </w:pPr>
    </w:p>
    <w:p w:rsidR="0035185E" w:rsidRPr="00A95CE0" w:rsidRDefault="007F19D7" w:rsidP="00A95CE0">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COMMENTS OF GENESYS COMMUNICATIONS LABORATORIES, INC.</w:t>
      </w:r>
    </w:p>
    <w:p w:rsidR="00381CCF" w:rsidRDefault="007F19D7" w:rsidP="00E40FF8">
      <w:pPr>
        <w:spacing w:after="0"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Genesys</w:t>
      </w:r>
      <w:proofErr w:type="spellEnd"/>
      <w:r>
        <w:rPr>
          <w:rFonts w:ascii="Times New Roman" w:hAnsi="Times New Roman" w:cs="Times New Roman"/>
          <w:sz w:val="24"/>
          <w:szCs w:val="24"/>
        </w:rPr>
        <w:t xml:space="preserve"> Communications Laboratories, Inc. (“</w:t>
      </w:r>
      <w:proofErr w:type="spellStart"/>
      <w:r>
        <w:rPr>
          <w:rFonts w:ascii="Times New Roman" w:hAnsi="Times New Roman" w:cs="Times New Roman"/>
          <w:sz w:val="24"/>
          <w:szCs w:val="24"/>
        </w:rPr>
        <w:t>Genesys</w:t>
      </w:r>
      <w:proofErr w:type="spellEnd"/>
      <w:r>
        <w:rPr>
          <w:rFonts w:ascii="Times New Roman" w:hAnsi="Times New Roman" w:cs="Times New Roman"/>
          <w:sz w:val="24"/>
          <w:szCs w:val="24"/>
        </w:rPr>
        <w:t xml:space="preserve">”) </w:t>
      </w:r>
      <w:r w:rsidR="0004301C">
        <w:rPr>
          <w:rFonts w:ascii="Times New Roman" w:hAnsi="Times New Roman" w:cs="Times New Roman"/>
          <w:sz w:val="24"/>
          <w:szCs w:val="24"/>
        </w:rPr>
        <w:t xml:space="preserve">welcomes and appreciates the Commission’s efforts to address the reassigned number issue outlined in the </w:t>
      </w:r>
      <w:r w:rsidR="0035185E">
        <w:rPr>
          <w:rFonts w:ascii="Times New Roman" w:hAnsi="Times New Roman" w:cs="Times New Roman"/>
          <w:sz w:val="24"/>
          <w:szCs w:val="24"/>
        </w:rPr>
        <w:t>second notice of</w:t>
      </w:r>
      <w:r w:rsidR="0004301C">
        <w:rPr>
          <w:rFonts w:ascii="Times New Roman" w:hAnsi="Times New Roman" w:cs="Times New Roman"/>
          <w:sz w:val="24"/>
          <w:szCs w:val="24"/>
        </w:rPr>
        <w:t xml:space="preserve"> inquiry and fully supports the development of a repository for reassigned number information. If successful the repository will provide an enhanced opportunity for responsible parties to track and scrub their outcall dat</w:t>
      </w:r>
      <w:r w:rsidR="006267D1">
        <w:rPr>
          <w:rFonts w:ascii="Times New Roman" w:hAnsi="Times New Roman" w:cs="Times New Roman"/>
          <w:sz w:val="24"/>
          <w:szCs w:val="24"/>
        </w:rPr>
        <w:t>abases and to</w:t>
      </w:r>
      <w:r w:rsidR="0004301C">
        <w:rPr>
          <w:rFonts w:ascii="Times New Roman" w:hAnsi="Times New Roman" w:cs="Times New Roman"/>
          <w:sz w:val="24"/>
          <w:szCs w:val="24"/>
        </w:rPr>
        <w:t xml:space="preserve"> and comply with requirements of the TCPA, while providing a tool to hold bad actors accountable for their destructive and abusive behavior.  </w:t>
      </w:r>
    </w:p>
    <w:p w:rsidR="00381CCF" w:rsidRPr="007F027E" w:rsidRDefault="007F19D7" w:rsidP="00E40FF8">
      <w:pPr>
        <w:spacing w:after="0" w:line="480" w:lineRule="auto"/>
        <w:ind w:firstLine="720"/>
        <w:rPr>
          <w:rFonts w:ascii="Times New Roman" w:hAnsi="Times New Roman" w:cs="Times New Roman"/>
          <w:sz w:val="24"/>
          <w:szCs w:val="24"/>
        </w:rPr>
      </w:pPr>
      <w:r w:rsidRPr="007F027E">
        <w:rPr>
          <w:rFonts w:ascii="Times New Roman" w:hAnsi="Times New Roman" w:cs="Times New Roman"/>
          <w:sz w:val="24"/>
          <w:szCs w:val="24"/>
        </w:rPr>
        <w:t xml:space="preserve">Since our inception in 1990, </w:t>
      </w:r>
      <w:proofErr w:type="spellStart"/>
      <w:r w:rsidRPr="007F027E">
        <w:rPr>
          <w:rFonts w:ascii="Times New Roman" w:hAnsi="Times New Roman" w:cs="Times New Roman"/>
          <w:sz w:val="24"/>
          <w:szCs w:val="24"/>
        </w:rPr>
        <w:t>Genesys</w:t>
      </w:r>
      <w:proofErr w:type="spellEnd"/>
      <w:r w:rsidRPr="007F027E">
        <w:rPr>
          <w:rFonts w:ascii="Times New Roman" w:hAnsi="Times New Roman" w:cs="Times New Roman"/>
          <w:sz w:val="24"/>
          <w:szCs w:val="24"/>
        </w:rPr>
        <w:t xml:space="preserve"> has been a pioneer in advancing customer service. We are a leading provider of customer experience and contact center solutions. With over 3500 customers in 80 countries, </w:t>
      </w:r>
      <w:proofErr w:type="spellStart"/>
      <w:r w:rsidRPr="007F027E">
        <w:rPr>
          <w:rFonts w:ascii="Times New Roman" w:hAnsi="Times New Roman" w:cs="Times New Roman"/>
          <w:sz w:val="24"/>
          <w:szCs w:val="24"/>
        </w:rPr>
        <w:t>Genesys</w:t>
      </w:r>
      <w:proofErr w:type="spellEnd"/>
      <w:r w:rsidRPr="007F027E">
        <w:rPr>
          <w:rFonts w:ascii="Times New Roman" w:hAnsi="Times New Roman" w:cs="Times New Roman"/>
          <w:sz w:val="24"/>
          <w:szCs w:val="24"/>
        </w:rPr>
        <w:t xml:space="preserve"> orchestrates more than 100 million customer interactions every day. </w:t>
      </w:r>
      <w:proofErr w:type="spellStart"/>
      <w:r w:rsidRPr="007F027E">
        <w:rPr>
          <w:rFonts w:ascii="Times New Roman" w:hAnsi="Times New Roman" w:cs="Times New Roman"/>
          <w:sz w:val="24"/>
          <w:szCs w:val="24"/>
        </w:rPr>
        <w:t>Genesys</w:t>
      </w:r>
      <w:proofErr w:type="spellEnd"/>
      <w:r w:rsidRPr="007F027E">
        <w:rPr>
          <w:rFonts w:ascii="Times New Roman" w:hAnsi="Times New Roman" w:cs="Times New Roman"/>
          <w:sz w:val="24"/>
          <w:szCs w:val="24"/>
        </w:rPr>
        <w:t xml:space="preserve"> helps its </w:t>
      </w:r>
      <w:proofErr w:type="gramStart"/>
      <w:r w:rsidRPr="007F027E">
        <w:rPr>
          <w:rFonts w:ascii="Times New Roman" w:hAnsi="Times New Roman" w:cs="Times New Roman"/>
          <w:sz w:val="24"/>
          <w:szCs w:val="24"/>
        </w:rPr>
        <w:t>clients</w:t>
      </w:r>
      <w:proofErr w:type="gramEnd"/>
      <w:r w:rsidRPr="007F027E">
        <w:rPr>
          <w:rFonts w:ascii="Times New Roman" w:hAnsi="Times New Roman" w:cs="Times New Roman"/>
          <w:sz w:val="24"/>
          <w:szCs w:val="24"/>
        </w:rPr>
        <w:t xml:space="preserve"> power optimal customer experiences that deliver consistent, seamless and personalized experiences across all touch-points, channels and interactions.</w:t>
      </w:r>
    </w:p>
    <w:p w:rsidR="00007563" w:rsidRPr="007F027E" w:rsidRDefault="00007563" w:rsidP="00E40FF8">
      <w:pPr>
        <w:spacing w:after="0" w:line="480" w:lineRule="auto"/>
        <w:ind w:firstLine="720"/>
        <w:rPr>
          <w:rFonts w:ascii="Times New Roman" w:hAnsi="Times New Roman" w:cs="Times New Roman"/>
          <w:sz w:val="24"/>
          <w:szCs w:val="24"/>
        </w:rPr>
      </w:pPr>
    </w:p>
    <w:p w:rsidR="00007563" w:rsidRPr="007F027E" w:rsidRDefault="00F42513" w:rsidP="00007563">
      <w:pPr>
        <w:spacing w:after="0" w:line="480" w:lineRule="auto"/>
        <w:jc w:val="center"/>
        <w:rPr>
          <w:rFonts w:ascii="Times New Roman" w:hAnsi="Times New Roman" w:cs="Times New Roman"/>
          <w:sz w:val="24"/>
          <w:szCs w:val="24"/>
        </w:rPr>
      </w:pPr>
      <w:r w:rsidRPr="007F027E">
        <w:rPr>
          <w:rFonts w:ascii="Times New Roman" w:hAnsi="Times New Roman" w:cs="Times New Roman"/>
          <w:sz w:val="24"/>
          <w:szCs w:val="24"/>
        </w:rPr>
        <w:lastRenderedPageBreak/>
        <w:t>COMMENTS</w:t>
      </w:r>
    </w:p>
    <w:p w:rsidR="004518EC" w:rsidRPr="007F027E" w:rsidRDefault="004836EC" w:rsidP="00E40FF8">
      <w:pPr>
        <w:spacing w:after="0" w:line="480" w:lineRule="auto"/>
        <w:ind w:firstLine="720"/>
        <w:rPr>
          <w:rFonts w:ascii="Times New Roman" w:hAnsi="Times New Roman" w:cs="Times New Roman"/>
          <w:sz w:val="24"/>
          <w:szCs w:val="24"/>
        </w:rPr>
      </w:pPr>
      <w:proofErr w:type="spellStart"/>
      <w:r w:rsidRPr="007F027E">
        <w:rPr>
          <w:rFonts w:ascii="Times New Roman" w:hAnsi="Times New Roman" w:cs="Times New Roman"/>
          <w:sz w:val="24"/>
          <w:szCs w:val="24"/>
        </w:rPr>
        <w:t>Genesys</w:t>
      </w:r>
      <w:proofErr w:type="spellEnd"/>
      <w:r w:rsidR="004518EC" w:rsidRPr="007F027E">
        <w:rPr>
          <w:rFonts w:ascii="Times New Roman" w:hAnsi="Times New Roman" w:cs="Times New Roman"/>
          <w:sz w:val="24"/>
          <w:szCs w:val="24"/>
        </w:rPr>
        <w:t xml:space="preserve"> supports the Commission</w:t>
      </w:r>
      <w:r w:rsidR="00EF7116">
        <w:rPr>
          <w:rFonts w:ascii="Times New Roman" w:hAnsi="Times New Roman" w:cs="Times New Roman"/>
          <w:sz w:val="24"/>
          <w:szCs w:val="24"/>
        </w:rPr>
        <w:t>’</w:t>
      </w:r>
      <w:r w:rsidR="004518EC" w:rsidRPr="007F027E">
        <w:rPr>
          <w:rFonts w:ascii="Times New Roman" w:hAnsi="Times New Roman" w:cs="Times New Roman"/>
          <w:sz w:val="24"/>
          <w:szCs w:val="24"/>
        </w:rPr>
        <w:t>s pro</w:t>
      </w:r>
      <w:r w:rsidR="00EF7116">
        <w:rPr>
          <w:rFonts w:ascii="Times New Roman" w:hAnsi="Times New Roman" w:cs="Times New Roman"/>
          <w:sz w:val="24"/>
          <w:szCs w:val="24"/>
        </w:rPr>
        <w:t>posal that one or more database</w:t>
      </w:r>
      <w:r w:rsidR="00A955D6">
        <w:rPr>
          <w:rFonts w:ascii="Times New Roman" w:hAnsi="Times New Roman" w:cs="Times New Roman"/>
          <w:sz w:val="24"/>
          <w:szCs w:val="24"/>
        </w:rPr>
        <w:t xml:space="preserve"> be available to </w:t>
      </w:r>
      <w:r w:rsidR="004518EC" w:rsidRPr="007F027E">
        <w:rPr>
          <w:rFonts w:ascii="Times New Roman" w:hAnsi="Times New Roman" w:cs="Times New Roman"/>
          <w:sz w:val="24"/>
          <w:szCs w:val="24"/>
        </w:rPr>
        <w:t xml:space="preserve">provide callers with the comprehensive and timely information they need to discover potential number reassignments before making a call. </w:t>
      </w:r>
      <w:r w:rsidRPr="007F027E">
        <w:rPr>
          <w:rFonts w:ascii="Times New Roman" w:hAnsi="Times New Roman" w:cs="Times New Roman"/>
          <w:sz w:val="24"/>
          <w:szCs w:val="24"/>
        </w:rPr>
        <w:t xml:space="preserve"> </w:t>
      </w:r>
      <w:r w:rsidR="00F42513" w:rsidRPr="007F027E">
        <w:rPr>
          <w:rFonts w:ascii="Times New Roman" w:hAnsi="Times New Roman" w:cs="Times New Roman"/>
          <w:sz w:val="24"/>
          <w:szCs w:val="24"/>
        </w:rPr>
        <w:t>The commission has sought further information of the following issues: (1) the specific information that callers need from a reassigned numbers database; and (2) the best way to make that information available to callers that want it.</w:t>
      </w:r>
      <w:r w:rsidR="00F42513" w:rsidRPr="007F027E">
        <w:rPr>
          <w:rStyle w:val="FootnoteReference"/>
          <w:rFonts w:ascii="Times New Roman" w:hAnsi="Times New Roman" w:cs="Times New Roman"/>
          <w:sz w:val="24"/>
          <w:szCs w:val="24"/>
        </w:rPr>
        <w:footnoteReference w:id="1"/>
      </w:r>
    </w:p>
    <w:p w:rsidR="00362C44" w:rsidRPr="007F027E" w:rsidRDefault="00F42513" w:rsidP="00E40FF8">
      <w:pPr>
        <w:spacing w:after="0" w:line="480" w:lineRule="auto"/>
        <w:ind w:firstLine="720"/>
        <w:rPr>
          <w:rFonts w:ascii="Times New Roman" w:hAnsi="Times New Roman" w:cs="Times New Roman"/>
          <w:sz w:val="24"/>
          <w:szCs w:val="24"/>
        </w:rPr>
      </w:pPr>
      <w:r w:rsidRPr="007F027E">
        <w:rPr>
          <w:rFonts w:ascii="Times New Roman" w:hAnsi="Times New Roman" w:cs="Times New Roman"/>
          <w:sz w:val="24"/>
          <w:szCs w:val="24"/>
        </w:rPr>
        <w:t xml:space="preserve">To </w:t>
      </w:r>
      <w:r w:rsidR="004836EC" w:rsidRPr="007F027E">
        <w:rPr>
          <w:rFonts w:ascii="Times New Roman" w:hAnsi="Times New Roman" w:cs="Times New Roman"/>
          <w:sz w:val="24"/>
          <w:szCs w:val="24"/>
        </w:rPr>
        <w:t xml:space="preserve">be truly effective such a repository must (a) contain all active numbers, whether associated with mobile, landline, VOIP or toll-free service; (b) </w:t>
      </w:r>
      <w:r w:rsidR="000F7AC4" w:rsidRPr="007F027E">
        <w:rPr>
          <w:rFonts w:ascii="Times New Roman" w:hAnsi="Times New Roman" w:cs="Times New Roman"/>
          <w:sz w:val="24"/>
          <w:szCs w:val="24"/>
        </w:rPr>
        <w:t>include information associated with each number to allow callers to reason</w:t>
      </w:r>
      <w:r w:rsidR="00173482" w:rsidRPr="007F027E">
        <w:rPr>
          <w:rFonts w:ascii="Times New Roman" w:hAnsi="Times New Roman" w:cs="Times New Roman"/>
          <w:sz w:val="24"/>
          <w:szCs w:val="24"/>
        </w:rPr>
        <w:t>ably be able to confirm their status</w:t>
      </w:r>
      <w:r w:rsidR="00007563" w:rsidRPr="007F027E">
        <w:rPr>
          <w:rFonts w:ascii="Times New Roman" w:hAnsi="Times New Roman" w:cs="Times New Roman"/>
          <w:sz w:val="24"/>
          <w:szCs w:val="24"/>
        </w:rPr>
        <w:t xml:space="preserve">; and (c) identify </w:t>
      </w:r>
      <w:r w:rsidR="000F7AC4" w:rsidRPr="007F027E">
        <w:rPr>
          <w:rFonts w:ascii="Times New Roman" w:hAnsi="Times New Roman" w:cs="Times New Roman"/>
          <w:sz w:val="24"/>
          <w:szCs w:val="24"/>
        </w:rPr>
        <w:t>“numbers in transition”</w:t>
      </w:r>
      <w:r w:rsidR="00007563" w:rsidRPr="007F027E">
        <w:rPr>
          <w:rFonts w:ascii="Times New Roman" w:hAnsi="Times New Roman" w:cs="Times New Roman"/>
          <w:sz w:val="24"/>
          <w:szCs w:val="24"/>
        </w:rPr>
        <w:t xml:space="preserve"> with</w:t>
      </w:r>
      <w:r w:rsidR="000F7AC4" w:rsidRPr="007F027E">
        <w:rPr>
          <w:rFonts w:ascii="Times New Roman" w:hAnsi="Times New Roman" w:cs="Times New Roman"/>
          <w:sz w:val="24"/>
          <w:szCs w:val="24"/>
        </w:rPr>
        <w:t xml:space="preserve"> additional information appended that will allow callers to </w:t>
      </w:r>
      <w:r w:rsidR="00007563" w:rsidRPr="007F027E">
        <w:rPr>
          <w:rFonts w:ascii="Times New Roman" w:hAnsi="Times New Roman" w:cs="Times New Roman"/>
          <w:sz w:val="24"/>
          <w:szCs w:val="24"/>
        </w:rPr>
        <w:t>identify which transitions reflect on</w:t>
      </w:r>
      <w:r w:rsidR="00362C44" w:rsidRPr="007F027E">
        <w:rPr>
          <w:rFonts w:ascii="Times New Roman" w:hAnsi="Times New Roman" w:cs="Times New Roman"/>
          <w:sz w:val="24"/>
          <w:szCs w:val="24"/>
        </w:rPr>
        <w:t xml:space="preserve"> a subscriber’s </w:t>
      </w:r>
      <w:r w:rsidR="00007563" w:rsidRPr="007F027E">
        <w:rPr>
          <w:rFonts w:ascii="Times New Roman" w:hAnsi="Times New Roman" w:cs="Times New Roman"/>
          <w:sz w:val="24"/>
          <w:szCs w:val="24"/>
        </w:rPr>
        <w:t xml:space="preserve">presumed </w:t>
      </w:r>
      <w:r w:rsidR="007F027E" w:rsidRPr="007F027E">
        <w:rPr>
          <w:rFonts w:ascii="Times New Roman" w:hAnsi="Times New Roman" w:cs="Times New Roman"/>
          <w:sz w:val="24"/>
          <w:szCs w:val="24"/>
        </w:rPr>
        <w:t>consent. In order to correctly maintain a chain of consent it is important that the reason for a deactivation be included in the data</w:t>
      </w:r>
      <w:r w:rsidR="00EF7116">
        <w:rPr>
          <w:rFonts w:ascii="Times New Roman" w:hAnsi="Times New Roman" w:cs="Times New Roman"/>
          <w:sz w:val="24"/>
          <w:szCs w:val="24"/>
        </w:rPr>
        <w:t>base</w:t>
      </w:r>
      <w:r w:rsidR="007F027E" w:rsidRPr="007F027E">
        <w:rPr>
          <w:rFonts w:ascii="Times New Roman" w:hAnsi="Times New Roman" w:cs="Times New Roman"/>
          <w:sz w:val="24"/>
          <w:szCs w:val="24"/>
        </w:rPr>
        <w:t xml:space="preserve"> because it is common for a </w:t>
      </w:r>
      <w:r w:rsidR="00EF7116">
        <w:rPr>
          <w:rFonts w:ascii="Times New Roman" w:hAnsi="Times New Roman" w:cs="Times New Roman"/>
          <w:sz w:val="24"/>
          <w:szCs w:val="24"/>
        </w:rPr>
        <w:t xml:space="preserve">carrier to consider a number deactivated when it is reassigned to another carrier even though it has not been reassigned to another subscriber. Further, some deactivations are only temporary, as in the case of a late payment or temporary suspension of service. In all those cases the chain on consent remains intact because the number continues to be associated with the same subscriber. Therefore more detail is needed to correctly track the chain of consent. </w:t>
      </w:r>
    </w:p>
    <w:p w:rsidR="007F027E" w:rsidRPr="007F027E" w:rsidRDefault="007F027E" w:rsidP="007F027E">
      <w:pPr>
        <w:spacing w:after="0" w:line="480" w:lineRule="auto"/>
        <w:ind w:firstLine="720"/>
        <w:rPr>
          <w:rFonts w:ascii="Times New Roman" w:hAnsi="Times New Roman" w:cs="Times New Roman"/>
          <w:sz w:val="24"/>
          <w:szCs w:val="24"/>
        </w:rPr>
      </w:pPr>
      <w:r w:rsidRPr="007F027E">
        <w:rPr>
          <w:rFonts w:ascii="Times New Roman" w:hAnsi="Times New Roman" w:cs="Times New Roman"/>
          <w:sz w:val="24"/>
          <w:szCs w:val="24"/>
        </w:rPr>
        <w:t xml:space="preserve">Addressing the issue of how </w:t>
      </w:r>
      <w:r w:rsidR="00EF7116">
        <w:rPr>
          <w:rFonts w:ascii="Times New Roman" w:hAnsi="Times New Roman" w:cs="Times New Roman"/>
          <w:sz w:val="24"/>
          <w:szCs w:val="24"/>
        </w:rPr>
        <w:t>a repository should be</w:t>
      </w:r>
      <w:r w:rsidRPr="007F027E">
        <w:rPr>
          <w:rFonts w:ascii="Times New Roman" w:hAnsi="Times New Roman" w:cs="Times New Roman"/>
          <w:sz w:val="24"/>
          <w:szCs w:val="24"/>
        </w:rPr>
        <w:t xml:space="preserve"> made available </w:t>
      </w:r>
      <w:proofErr w:type="spellStart"/>
      <w:r w:rsidR="00362C44" w:rsidRPr="007F027E">
        <w:rPr>
          <w:rFonts w:ascii="Times New Roman" w:hAnsi="Times New Roman" w:cs="Times New Roman"/>
          <w:sz w:val="24"/>
          <w:szCs w:val="24"/>
        </w:rPr>
        <w:t>Genesys</w:t>
      </w:r>
      <w:proofErr w:type="spellEnd"/>
      <w:r w:rsidR="00362C44" w:rsidRPr="007F027E">
        <w:rPr>
          <w:rFonts w:ascii="Times New Roman" w:hAnsi="Times New Roman" w:cs="Times New Roman"/>
          <w:sz w:val="24"/>
          <w:szCs w:val="24"/>
        </w:rPr>
        <w:t xml:space="preserve"> supports the creation of a single FCC-established database whether administered by a third party or not. Access to the database should </w:t>
      </w:r>
      <w:r w:rsidR="00007563" w:rsidRPr="007F027E">
        <w:rPr>
          <w:rFonts w:ascii="Times New Roman" w:hAnsi="Times New Roman" w:cs="Times New Roman"/>
          <w:sz w:val="24"/>
          <w:szCs w:val="24"/>
        </w:rPr>
        <w:t xml:space="preserve">not be public and should </w:t>
      </w:r>
      <w:r w:rsidR="00362C44" w:rsidRPr="007F027E">
        <w:rPr>
          <w:rFonts w:ascii="Times New Roman" w:hAnsi="Times New Roman" w:cs="Times New Roman"/>
          <w:sz w:val="24"/>
          <w:szCs w:val="24"/>
        </w:rPr>
        <w:t xml:space="preserve">be reasonably priced, reflecting the actual cost of providing the data. </w:t>
      </w:r>
      <w:proofErr w:type="spellStart"/>
      <w:r w:rsidR="00362C44" w:rsidRPr="007F027E">
        <w:rPr>
          <w:rFonts w:ascii="Times New Roman" w:hAnsi="Times New Roman" w:cs="Times New Roman"/>
          <w:sz w:val="24"/>
          <w:szCs w:val="24"/>
        </w:rPr>
        <w:t>Genesys</w:t>
      </w:r>
      <w:proofErr w:type="spellEnd"/>
      <w:r w:rsidR="00362C44" w:rsidRPr="007F027E">
        <w:rPr>
          <w:rFonts w:ascii="Times New Roman" w:hAnsi="Times New Roman" w:cs="Times New Roman"/>
          <w:sz w:val="24"/>
          <w:szCs w:val="24"/>
        </w:rPr>
        <w:t xml:space="preserve"> agrees that subscription and use of the repository should </w:t>
      </w:r>
      <w:r w:rsidR="00007563" w:rsidRPr="007F027E">
        <w:rPr>
          <w:rFonts w:ascii="Times New Roman" w:hAnsi="Times New Roman" w:cs="Times New Roman"/>
          <w:sz w:val="24"/>
          <w:szCs w:val="24"/>
        </w:rPr>
        <w:lastRenderedPageBreak/>
        <w:t xml:space="preserve">include a presumption of good faith on the part of callers, and a safe harbor from TCPA enforcement in cases where the accuracy of the database has been relied upon by callers. </w:t>
      </w:r>
      <w:r w:rsidR="00362C44" w:rsidRPr="007F027E">
        <w:rPr>
          <w:rFonts w:ascii="Times New Roman" w:hAnsi="Times New Roman" w:cs="Times New Roman"/>
          <w:sz w:val="24"/>
          <w:szCs w:val="24"/>
        </w:rPr>
        <w:t xml:space="preserve"> </w:t>
      </w:r>
    </w:p>
    <w:p w:rsidR="00007563" w:rsidRPr="007F027E" w:rsidRDefault="00173482" w:rsidP="00173482">
      <w:pPr>
        <w:spacing w:after="0" w:line="480" w:lineRule="auto"/>
        <w:rPr>
          <w:rFonts w:ascii="Times New Roman" w:hAnsi="Times New Roman" w:cs="Times New Roman"/>
          <w:sz w:val="24"/>
          <w:szCs w:val="24"/>
        </w:rPr>
      </w:pPr>
      <w:r w:rsidRPr="007F027E">
        <w:rPr>
          <w:rFonts w:ascii="Times New Roman" w:hAnsi="Times New Roman" w:cs="Times New Roman"/>
          <w:sz w:val="24"/>
          <w:szCs w:val="24"/>
        </w:rPr>
        <w:tab/>
      </w:r>
      <w:proofErr w:type="spellStart"/>
      <w:r w:rsidRPr="007F027E">
        <w:rPr>
          <w:rFonts w:ascii="Times New Roman" w:hAnsi="Times New Roman" w:cs="Times New Roman"/>
          <w:sz w:val="24"/>
          <w:szCs w:val="24"/>
        </w:rPr>
        <w:t>Genesys</w:t>
      </w:r>
      <w:proofErr w:type="spellEnd"/>
      <w:r w:rsidRPr="007F027E">
        <w:rPr>
          <w:rFonts w:ascii="Times New Roman" w:hAnsi="Times New Roman" w:cs="Times New Roman"/>
          <w:sz w:val="24"/>
          <w:szCs w:val="24"/>
        </w:rPr>
        <w:t xml:space="preserve"> appreciates efforts by the Commission </w:t>
      </w:r>
      <w:r w:rsidR="007F027E">
        <w:rPr>
          <w:rFonts w:ascii="Times New Roman" w:hAnsi="Times New Roman" w:cs="Times New Roman"/>
          <w:sz w:val="24"/>
          <w:szCs w:val="24"/>
        </w:rPr>
        <w:t xml:space="preserve">to provide tools that will help eliminate unwanted and unproductive calls. </w:t>
      </w:r>
      <w:r w:rsidRPr="007F027E">
        <w:rPr>
          <w:rFonts w:ascii="Times New Roman" w:hAnsi="Times New Roman" w:cs="Times New Roman"/>
          <w:sz w:val="24"/>
          <w:szCs w:val="24"/>
        </w:rPr>
        <w:t xml:space="preserve">   </w:t>
      </w:r>
    </w:p>
    <w:p w:rsidR="00381CCF" w:rsidRDefault="00381CCF">
      <w:pPr>
        <w:spacing w:after="0" w:line="240" w:lineRule="auto"/>
        <w:rPr>
          <w:rFonts w:ascii="Times New Roman" w:hAnsi="Times New Roman" w:cs="Times New Roman"/>
          <w:sz w:val="24"/>
          <w:szCs w:val="24"/>
        </w:rPr>
      </w:pPr>
    </w:p>
    <w:p w:rsidR="00381CCF" w:rsidRDefault="007F19D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Respectfully submitted, </w:t>
      </w:r>
    </w:p>
    <w:p w:rsidR="00381CCF" w:rsidRDefault="00381CCF">
      <w:pPr>
        <w:spacing w:after="0" w:line="240" w:lineRule="auto"/>
        <w:rPr>
          <w:rFonts w:ascii="Times New Roman" w:hAnsi="Times New Roman" w:cs="Times New Roman"/>
          <w:sz w:val="24"/>
          <w:szCs w:val="24"/>
        </w:rPr>
      </w:pPr>
    </w:p>
    <w:p w:rsidR="00381CCF" w:rsidRDefault="007F19D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John </w:t>
      </w:r>
      <w:proofErr w:type="spellStart"/>
      <w:r>
        <w:rPr>
          <w:rFonts w:ascii="Times New Roman" w:hAnsi="Times New Roman" w:cs="Times New Roman"/>
          <w:sz w:val="24"/>
          <w:szCs w:val="24"/>
        </w:rPr>
        <w:t>Tallarico</w:t>
      </w:r>
      <w:proofErr w:type="spellEnd"/>
    </w:p>
    <w:p w:rsidR="00381CCF" w:rsidRDefault="007F19D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Vice President, Cloud Services </w:t>
      </w:r>
    </w:p>
    <w:p w:rsidR="00381CCF" w:rsidRDefault="007F19D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2001 </w:t>
      </w:r>
      <w:proofErr w:type="spellStart"/>
      <w:r>
        <w:rPr>
          <w:rFonts w:ascii="Times New Roman" w:hAnsi="Times New Roman" w:cs="Times New Roman"/>
          <w:sz w:val="24"/>
          <w:szCs w:val="24"/>
        </w:rPr>
        <w:t>Junipero</w:t>
      </w:r>
      <w:proofErr w:type="spellEnd"/>
      <w:r>
        <w:rPr>
          <w:rFonts w:ascii="Times New Roman" w:hAnsi="Times New Roman" w:cs="Times New Roman"/>
          <w:sz w:val="24"/>
          <w:szCs w:val="24"/>
        </w:rPr>
        <w:t xml:space="preserve"> Serra Boulevard </w:t>
      </w:r>
    </w:p>
    <w:p w:rsidR="00381CCF" w:rsidRDefault="007F19D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Daly City, California 94014</w:t>
      </w:r>
    </w:p>
    <w:p w:rsidR="00381CCF" w:rsidRDefault="007F19D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781.897.2728 direct</w:t>
      </w:r>
    </w:p>
    <w:p w:rsidR="00381CCF" w:rsidRDefault="007F19D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john.tallarico@genesys.com</w:t>
      </w:r>
    </w:p>
    <w:p w:rsidR="00381CCF" w:rsidRDefault="00381CCF">
      <w:pPr>
        <w:spacing w:after="0" w:line="240" w:lineRule="auto"/>
        <w:rPr>
          <w:rFonts w:ascii="Times New Roman" w:hAnsi="Times New Roman" w:cs="Times New Roman"/>
          <w:sz w:val="24"/>
          <w:szCs w:val="24"/>
        </w:rPr>
      </w:pPr>
    </w:p>
    <w:p w:rsidR="00381CCF" w:rsidRPr="00E40FF8" w:rsidRDefault="007F19D7" w:rsidP="00E40FF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Dated: </w:t>
      </w:r>
      <w:r w:rsidR="00A955D6">
        <w:rPr>
          <w:rFonts w:ascii="Times New Roman" w:hAnsi="Times New Roman" w:cs="Times New Roman"/>
          <w:sz w:val="24"/>
          <w:szCs w:val="24"/>
        </w:rPr>
        <w:t>June 7</w:t>
      </w:r>
      <w:r w:rsidR="007F027E">
        <w:rPr>
          <w:rFonts w:ascii="Times New Roman" w:hAnsi="Times New Roman" w:cs="Times New Roman"/>
          <w:sz w:val="24"/>
          <w:szCs w:val="24"/>
        </w:rPr>
        <w:t>, 2018</w:t>
      </w:r>
      <w:bookmarkStart w:id="0" w:name="_GoBack"/>
      <w:bookmarkEnd w:id="0"/>
    </w:p>
    <w:sectPr w:rsidR="00381CCF" w:rsidRPr="00E40F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DCB" w:rsidRDefault="001B4DCB">
      <w:pPr>
        <w:spacing w:after="0" w:line="240" w:lineRule="auto"/>
      </w:pPr>
      <w:r>
        <w:separator/>
      </w:r>
    </w:p>
  </w:endnote>
  <w:endnote w:type="continuationSeparator" w:id="0">
    <w:p w:rsidR="001B4DCB" w:rsidRDefault="001B4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DCB" w:rsidRDefault="001B4DCB">
      <w:pPr>
        <w:spacing w:after="0" w:line="240" w:lineRule="auto"/>
      </w:pPr>
      <w:r>
        <w:separator/>
      </w:r>
    </w:p>
  </w:footnote>
  <w:footnote w:type="continuationSeparator" w:id="0">
    <w:p w:rsidR="001B4DCB" w:rsidRDefault="001B4DCB">
      <w:pPr>
        <w:spacing w:after="0" w:line="240" w:lineRule="auto"/>
      </w:pPr>
      <w:r>
        <w:continuationSeparator/>
      </w:r>
    </w:p>
  </w:footnote>
  <w:footnote w:id="1">
    <w:p w:rsidR="00F42513" w:rsidRPr="00EF7116" w:rsidRDefault="00F42513">
      <w:pPr>
        <w:pStyle w:val="FootnoteText"/>
        <w:rPr>
          <w:rFonts w:ascii="Times New Roman" w:hAnsi="Times New Roman" w:cs="Times New Roman"/>
        </w:rPr>
      </w:pPr>
      <w:r w:rsidRPr="00EF7116">
        <w:rPr>
          <w:rStyle w:val="FootnoteReference"/>
          <w:rFonts w:ascii="Times New Roman" w:hAnsi="Times New Roman" w:cs="Times New Roman"/>
        </w:rPr>
        <w:footnoteRef/>
      </w:r>
      <w:r w:rsidRPr="00EF7116">
        <w:rPr>
          <w:rFonts w:ascii="Times New Roman" w:hAnsi="Times New Roman" w:cs="Times New Roman"/>
        </w:rPr>
        <w:t xml:space="preserve"> </w:t>
      </w:r>
      <w:r w:rsidR="00EF7116">
        <w:rPr>
          <w:rFonts w:ascii="Times New Roman" w:hAnsi="Times New Roman" w:cs="Times New Roman"/>
        </w:rPr>
        <w:t xml:space="preserve">FCC Docket 17-59 </w:t>
      </w:r>
      <w:r w:rsidRPr="00EF7116">
        <w:rPr>
          <w:rFonts w:ascii="Times New Roman" w:hAnsi="Times New Roman" w:cs="Times New Roman"/>
        </w:rPr>
        <w:t>Second Further Notice of Proposed Rulemaking, Introduction, paragraph 2. (March 22,2018)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6275E"/>
    <w:multiLevelType w:val="hybridMultilevel"/>
    <w:tmpl w:val="69CE9D54"/>
    <w:lvl w:ilvl="0" w:tplc="110EC154">
      <w:start w:val="2"/>
      <w:numFmt w:val="bullet"/>
      <w:lvlText w:val=""/>
      <w:lvlJc w:val="left"/>
      <w:pPr>
        <w:ind w:left="4680" w:hanging="360"/>
      </w:pPr>
      <w:rPr>
        <w:rFonts w:ascii="Symbol" w:eastAsiaTheme="minorHAnsi" w:hAnsi="Symbol"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 w15:restartNumberingAfterBreak="0">
    <w:nsid w:val="3BC129B6"/>
    <w:multiLevelType w:val="hybridMultilevel"/>
    <w:tmpl w:val="F272B13A"/>
    <w:lvl w:ilvl="0" w:tplc="D556D850">
      <w:start w:val="2"/>
      <w:numFmt w:val="bullet"/>
      <w:lvlText w:val=""/>
      <w:lvlJc w:val="left"/>
      <w:pPr>
        <w:ind w:left="3240" w:hanging="360"/>
      </w:pPr>
      <w:rPr>
        <w:rFonts w:ascii="Symbol" w:eastAsiaTheme="minorHAnsi" w:hAnsi="Symbol"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40F5372C"/>
    <w:multiLevelType w:val="hybridMultilevel"/>
    <w:tmpl w:val="427C02F6"/>
    <w:lvl w:ilvl="0" w:tplc="67F821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CCF"/>
    <w:rsid w:val="00007563"/>
    <w:rsid w:val="0004301C"/>
    <w:rsid w:val="00053429"/>
    <w:rsid w:val="00083AAB"/>
    <w:rsid w:val="000E21D5"/>
    <w:rsid w:val="000F7AC4"/>
    <w:rsid w:val="00173482"/>
    <w:rsid w:val="001B4DCB"/>
    <w:rsid w:val="003470EB"/>
    <w:rsid w:val="0035185E"/>
    <w:rsid w:val="00362C44"/>
    <w:rsid w:val="00381CCF"/>
    <w:rsid w:val="00386AF0"/>
    <w:rsid w:val="003B6725"/>
    <w:rsid w:val="00450458"/>
    <w:rsid w:val="004518EC"/>
    <w:rsid w:val="004836EC"/>
    <w:rsid w:val="00486CA4"/>
    <w:rsid w:val="004F5F4B"/>
    <w:rsid w:val="00591D76"/>
    <w:rsid w:val="006267D1"/>
    <w:rsid w:val="00647CB5"/>
    <w:rsid w:val="0069240F"/>
    <w:rsid w:val="006E6579"/>
    <w:rsid w:val="00700886"/>
    <w:rsid w:val="007F027E"/>
    <w:rsid w:val="007F19D7"/>
    <w:rsid w:val="0086195C"/>
    <w:rsid w:val="00864B9D"/>
    <w:rsid w:val="008F2909"/>
    <w:rsid w:val="009062D7"/>
    <w:rsid w:val="009103A6"/>
    <w:rsid w:val="00957E82"/>
    <w:rsid w:val="00964D52"/>
    <w:rsid w:val="00981904"/>
    <w:rsid w:val="0098620E"/>
    <w:rsid w:val="009C414F"/>
    <w:rsid w:val="00A70AEC"/>
    <w:rsid w:val="00A955D6"/>
    <w:rsid w:val="00A95CE0"/>
    <w:rsid w:val="00AA4C66"/>
    <w:rsid w:val="00AA73FE"/>
    <w:rsid w:val="00B17BE1"/>
    <w:rsid w:val="00B234DC"/>
    <w:rsid w:val="00B27D8B"/>
    <w:rsid w:val="00B512F1"/>
    <w:rsid w:val="00B802A7"/>
    <w:rsid w:val="00B918FA"/>
    <w:rsid w:val="00B95946"/>
    <w:rsid w:val="00C42484"/>
    <w:rsid w:val="00C97B67"/>
    <w:rsid w:val="00CF2049"/>
    <w:rsid w:val="00CF673E"/>
    <w:rsid w:val="00E375FE"/>
    <w:rsid w:val="00E40FF8"/>
    <w:rsid w:val="00E94702"/>
    <w:rsid w:val="00EF5893"/>
    <w:rsid w:val="00EF7116"/>
    <w:rsid w:val="00F12980"/>
    <w:rsid w:val="00F215ED"/>
    <w:rsid w:val="00F4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E64ABF-A46B-4EA9-9174-B6DE66B28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DocID">
    <w:name w:val="DocID"/>
    <w:basedOn w:val="Footer"/>
    <w:next w:val="Footer"/>
    <w:link w:val="DocIDChar"/>
    <w:pPr>
      <w:tabs>
        <w:tab w:val="clear" w:pos="4680"/>
        <w:tab w:val="clear" w:pos="9360"/>
      </w:tabs>
    </w:pPr>
    <w:rPr>
      <w:rFonts w:ascii="Garamond" w:hAnsi="Garamond"/>
      <w:sz w:val="16"/>
    </w:rPr>
  </w:style>
  <w:style w:type="character" w:customStyle="1" w:styleId="DocIDChar">
    <w:name w:val="DocID Char"/>
    <w:basedOn w:val="DefaultParagraphFont"/>
    <w:link w:val="DocID"/>
    <w:rPr>
      <w:rFonts w:ascii="Garamond" w:hAnsi="Garamond"/>
      <w:sz w:val="16"/>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StyleBoldCentered">
    <w:name w:val="Style Bold Centered"/>
    <w:basedOn w:val="Normal"/>
    <w:rsid w:val="0035185E"/>
    <w:pPr>
      <w:widowControl w:val="0"/>
      <w:spacing w:after="0" w:line="240" w:lineRule="auto"/>
      <w:jc w:val="center"/>
    </w:pPr>
    <w:rPr>
      <w:rFonts w:ascii="Times New Roman Bold" w:eastAsia="Times New Roman" w:hAnsi="Times New Roman Bold" w:cs="Times New Roman"/>
      <w:b/>
      <w:bCs/>
      <w:caps/>
      <w:snapToGrid w:val="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F4BF4-B84C-46EE-ADB9-05A32B51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4</cp:revision>
  <cp:lastPrinted>2017-08-24T18:58:00Z</cp:lastPrinted>
  <dcterms:created xsi:type="dcterms:W3CDTF">2018-05-29T19:35:00Z</dcterms:created>
  <dcterms:modified xsi:type="dcterms:W3CDTF">2018-06-07T18:54:00Z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Separator">
    <vt:lpwstr>(Use Firm's Default)</vt:lpwstr>
  </property>
  <property fmtid="{D5CDD505-2E9C-101B-9397-08002B2CF9AE}" pid="3" name="CUS_DocIDbChkLibDB">
    <vt:lpwstr>0</vt:lpwstr>
  </property>
  <property fmtid="{D5CDD505-2E9C-101B-9397-08002B2CF9AE}" pid="4" name="CUS_DocIDbchkClientNumber">
    <vt:lpwstr>0</vt:lpwstr>
  </property>
  <property fmtid="{D5CDD505-2E9C-101B-9397-08002B2CF9AE}" pid="5" name="CUS_DocIDbchkMatterNumber">
    <vt:lpwstr>0</vt:lpwstr>
  </property>
  <property fmtid="{D5CDD505-2E9C-101B-9397-08002B2CF9AE}" pid="6" name="CUS_DocIDbchkDocumentName">
    <vt:lpwstr>0</vt:lpwstr>
  </property>
  <property fmtid="{D5CDD505-2E9C-101B-9397-08002B2CF9AE}" pid="7" name="CUS_DocIDbchkAuthorName">
    <vt:lpwstr>0</vt:lpwstr>
  </property>
  <property fmtid="{D5CDD505-2E9C-101B-9397-08002B2CF9AE}" pid="8" name="CUS_DocIDchkNativeAuthor">
    <vt:lpwstr>0</vt:lpwstr>
  </property>
  <property fmtid="{D5CDD505-2E9C-101B-9397-08002B2CF9AE}" pid="9" name="CUS_DocIDbchkDocumentNumber">
    <vt:lpwstr>-1</vt:lpwstr>
  </property>
  <property fmtid="{D5CDD505-2E9C-101B-9397-08002B2CF9AE}" pid="10" name="CUS_DocIDbchkVersionNumber">
    <vt:lpwstr>-1</vt:lpwstr>
  </property>
  <property fmtid="{D5CDD505-2E9C-101B-9397-08002B2CF9AE}" pid="11" name="CUS_DocIDbchkDate">
    <vt:lpwstr>0</vt:lpwstr>
  </property>
  <property fmtid="{D5CDD505-2E9C-101B-9397-08002B2CF9AE}" pid="12" name="CUS_DocIDbchkTime">
    <vt:lpwstr>0</vt:lpwstr>
  </property>
  <property fmtid="{D5CDD505-2E9C-101B-9397-08002B2CF9AE}" pid="13" name="CUS_DocIDiPage">
    <vt:lpwstr>0</vt:lpwstr>
  </property>
  <property fmtid="{D5CDD505-2E9C-101B-9397-08002B2CF9AE}" pid="14" name="CUS_DocIDString">
    <vt:lpwstr>4837-5971-4592.1.</vt:lpwstr>
  </property>
  <property fmtid="{D5CDD505-2E9C-101B-9397-08002B2CF9AE}" pid="15" name="NDDocNumber">
    <vt:lpwstr>4837-5971-4592</vt:lpwstr>
  </property>
  <property fmtid="{D5CDD505-2E9C-101B-9397-08002B2CF9AE}" pid="16" name="CUS_DocIDVersion">
    <vt:lpwstr>1</vt:lpwstr>
  </property>
  <property fmtid="{D5CDD505-2E9C-101B-9397-08002B2CF9AE}" pid="17" name="CUS_DocIDOperation">
    <vt:lpwstr>EVERY PAGE</vt:lpwstr>
  </property>
</Properties>
</file>