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327AFC" w14:textId="77777777" w:rsidR="00CB41FC" w:rsidRPr="00CB41FC" w:rsidRDefault="00CB41FC" w:rsidP="00CB41FC">
      <w:pPr>
        <w:spacing w:after="0" w:line="210" w:lineRule="atLeast"/>
        <w:rPr>
          <w:rFonts w:ascii="Arial" w:eastAsia="Times New Roman" w:hAnsi="Arial" w:cs="Arial"/>
          <w:b/>
          <w:bCs/>
          <w:color w:val="222222"/>
          <w:sz w:val="28"/>
          <w:szCs w:val="28"/>
          <w:u w:val="single"/>
        </w:rPr>
      </w:pPr>
      <w:r w:rsidRPr="003A0B81">
        <w:rPr>
          <w:rFonts w:ascii="Arial" w:eastAsia="Times New Roman" w:hAnsi="Arial" w:cs="Arial"/>
          <w:b/>
          <w:bCs/>
          <w:color w:val="222222"/>
          <w:sz w:val="23"/>
          <w:szCs w:val="23"/>
        </w:rPr>
        <w:t>Proceeding:</w:t>
      </w:r>
      <w:r w:rsidRPr="00CB41FC">
        <w:rPr>
          <w:rFonts w:ascii="Arial" w:eastAsia="Times New Roman" w:hAnsi="Arial" w:cs="Arial"/>
          <w:b/>
          <w:bCs/>
          <w:color w:val="222222"/>
          <w:sz w:val="23"/>
          <w:szCs w:val="23"/>
        </w:rPr>
        <w:t xml:space="preserve"> </w:t>
      </w:r>
      <w:r w:rsidRPr="003A0B81">
        <w:rPr>
          <w:rFonts w:ascii="Arial" w:eastAsia="Times New Roman" w:hAnsi="Arial" w:cs="Arial"/>
          <w:b/>
          <w:bCs/>
          <w:color w:val="222222"/>
          <w:sz w:val="28"/>
          <w:szCs w:val="28"/>
          <w:u w:val="single"/>
        </w:rPr>
        <w:t>WT Docket No. 19-71</w:t>
      </w:r>
      <w:r w:rsidRPr="00CB41FC">
        <w:rPr>
          <w:rFonts w:ascii="Arial" w:eastAsia="Times New Roman" w:hAnsi="Arial" w:cs="Arial"/>
          <w:b/>
          <w:bCs/>
          <w:color w:val="222222"/>
          <w:sz w:val="28"/>
          <w:szCs w:val="28"/>
          <w:u w:val="single"/>
        </w:rPr>
        <w:t xml:space="preserve"> </w:t>
      </w:r>
    </w:p>
    <w:p w14:paraId="45DA47B5" w14:textId="61FDBC6D" w:rsidR="00CB41FC" w:rsidRPr="003A0B81" w:rsidRDefault="00CB41FC" w:rsidP="00CB41FC">
      <w:pPr>
        <w:spacing w:after="0" w:line="210" w:lineRule="atLeast"/>
        <w:rPr>
          <w:rFonts w:ascii="Arial" w:eastAsia="Times New Roman" w:hAnsi="Arial" w:cs="Arial"/>
          <w:b/>
          <w:bCs/>
          <w:color w:val="222222"/>
          <w:sz w:val="28"/>
          <w:szCs w:val="28"/>
        </w:rPr>
      </w:pPr>
      <w:r w:rsidRPr="00CB41FC">
        <w:rPr>
          <w:rFonts w:ascii="Arial" w:hAnsi="Arial" w:cs="Arial"/>
          <w:b/>
          <w:bCs/>
          <w:sz w:val="28"/>
          <w:szCs w:val="28"/>
        </w:rPr>
        <w:t>Updating the Commission’s Rule for Over-the-Air Reception Devices</w:t>
      </w:r>
      <w:bookmarkStart w:id="0" w:name="_GoBack"/>
      <w:bookmarkEnd w:id="0"/>
    </w:p>
    <w:p w14:paraId="7BE80E0A" w14:textId="77777777" w:rsidR="00CB41FC" w:rsidRPr="003A0B81" w:rsidRDefault="00CB41FC" w:rsidP="00CB41FC">
      <w:pPr>
        <w:spacing w:before="100" w:beforeAutospacing="1" w:after="0" w:line="210" w:lineRule="atLeast"/>
        <w:rPr>
          <w:rFonts w:ascii="Arial" w:eastAsia="Times New Roman" w:hAnsi="Arial" w:cs="Arial"/>
          <w:color w:val="222222"/>
          <w:sz w:val="24"/>
          <w:szCs w:val="24"/>
        </w:rPr>
      </w:pPr>
      <w:r w:rsidRPr="003A0B81">
        <w:rPr>
          <w:rFonts w:ascii="Arial" w:eastAsia="Times New Roman" w:hAnsi="Arial" w:cs="Arial"/>
          <w:color w:val="222222"/>
          <w:sz w:val="23"/>
          <w:szCs w:val="23"/>
          <w:u w:val="single"/>
        </w:rPr>
        <w:t>Proposed Changes</w:t>
      </w:r>
      <w:r w:rsidRPr="003A0B81">
        <w:rPr>
          <w:rFonts w:ascii="Arial" w:eastAsia="Times New Roman" w:hAnsi="Arial" w:cs="Arial"/>
          <w:color w:val="222222"/>
          <w:sz w:val="23"/>
          <w:szCs w:val="23"/>
        </w:rPr>
        <w:t xml:space="preserve"> (note: final rules could have further changes, </w:t>
      </w:r>
      <w:proofErr w:type="spellStart"/>
      <w:r w:rsidRPr="003A0B81">
        <w:rPr>
          <w:rFonts w:ascii="Arial" w:eastAsia="Times New Roman" w:hAnsi="Arial" w:cs="Arial"/>
          <w:color w:val="222222"/>
          <w:sz w:val="23"/>
          <w:szCs w:val="23"/>
        </w:rPr>
        <w:t>eg.</w:t>
      </w:r>
      <w:proofErr w:type="spellEnd"/>
      <w:r w:rsidRPr="003A0B81">
        <w:rPr>
          <w:rFonts w:ascii="Arial" w:eastAsia="Times New Roman" w:hAnsi="Arial" w:cs="Arial"/>
          <w:color w:val="222222"/>
          <w:sz w:val="23"/>
          <w:szCs w:val="23"/>
        </w:rPr>
        <w:t xml:space="preserve"> eliminating size or height restrictions):</w:t>
      </w:r>
    </w:p>
    <w:p w14:paraId="106F7D56" w14:textId="77777777" w:rsidR="00CB41FC" w:rsidRPr="003A0B81" w:rsidRDefault="00CB41FC" w:rsidP="00CB41FC">
      <w:pPr>
        <w:spacing w:before="100" w:beforeAutospacing="1" w:after="0" w:line="210" w:lineRule="atLeast"/>
        <w:rPr>
          <w:rFonts w:ascii="Arial" w:eastAsia="Times New Roman" w:hAnsi="Arial" w:cs="Arial"/>
          <w:color w:val="222222"/>
          <w:sz w:val="24"/>
          <w:szCs w:val="24"/>
        </w:rPr>
      </w:pPr>
      <w:r w:rsidRPr="003A0B81">
        <w:rPr>
          <w:rFonts w:ascii="Arial" w:eastAsia="Times New Roman" w:hAnsi="Arial" w:cs="Arial"/>
          <w:color w:val="222222"/>
          <w:sz w:val="23"/>
          <w:szCs w:val="23"/>
        </w:rPr>
        <w:t>“1. Amend Section 1.4000(a)(1)(i)(A) to read as follows:</w:t>
      </w:r>
    </w:p>
    <w:p w14:paraId="20280EB5" w14:textId="77777777" w:rsidR="00CB41FC" w:rsidRPr="003A0B81" w:rsidRDefault="00CB41FC" w:rsidP="00CB41FC">
      <w:pPr>
        <w:spacing w:before="100" w:beforeAutospacing="1" w:after="0" w:line="210" w:lineRule="atLeast"/>
        <w:rPr>
          <w:rFonts w:ascii="Arial" w:eastAsia="Times New Roman" w:hAnsi="Arial" w:cs="Arial"/>
          <w:color w:val="222222"/>
          <w:sz w:val="24"/>
          <w:szCs w:val="24"/>
        </w:rPr>
      </w:pPr>
      <w:r w:rsidRPr="003A0B81">
        <w:rPr>
          <w:rFonts w:ascii="Arial" w:eastAsia="Times New Roman" w:hAnsi="Arial" w:cs="Arial"/>
          <w:color w:val="222222"/>
          <w:sz w:val="23"/>
          <w:szCs w:val="23"/>
        </w:rPr>
        <w:t xml:space="preserve">(a)(1)(i)(A) An antenna that is used to receive direct broadcast satellite service, including </w:t>
      </w:r>
      <w:proofErr w:type="spellStart"/>
      <w:r w:rsidRPr="003A0B81">
        <w:rPr>
          <w:rFonts w:ascii="Arial" w:eastAsia="Times New Roman" w:hAnsi="Arial" w:cs="Arial"/>
          <w:color w:val="222222"/>
          <w:sz w:val="23"/>
          <w:szCs w:val="23"/>
        </w:rPr>
        <w:t>directto</w:t>
      </w:r>
      <w:proofErr w:type="spellEnd"/>
      <w:r w:rsidRPr="003A0B81">
        <w:rPr>
          <w:rFonts w:ascii="Arial" w:eastAsia="Times New Roman" w:hAnsi="Arial" w:cs="Arial"/>
          <w:color w:val="222222"/>
          <w:sz w:val="23"/>
          <w:szCs w:val="23"/>
        </w:rPr>
        <w:t>-home satellite service, or to receive or transmit fixed wireless signals via satellite, </w:t>
      </w:r>
      <w:r w:rsidRPr="003A0B81">
        <w:rPr>
          <w:rFonts w:ascii="Arial" w:eastAsia="Times New Roman" w:hAnsi="Arial" w:cs="Arial"/>
          <w:color w:val="FF3333"/>
          <w:sz w:val="23"/>
          <w:szCs w:val="23"/>
        </w:rPr>
        <w:t>including a hub or relay antenna,</w:t>
      </w:r>
      <w:r w:rsidRPr="003A0B81">
        <w:rPr>
          <w:rFonts w:ascii="Arial" w:eastAsia="Times New Roman" w:hAnsi="Arial" w:cs="Arial"/>
          <w:color w:val="222222"/>
          <w:sz w:val="23"/>
          <w:szCs w:val="23"/>
        </w:rPr>
        <w:t> and”</w:t>
      </w:r>
    </w:p>
    <w:p w14:paraId="3BC8EDA7" w14:textId="77777777" w:rsidR="00CB41FC" w:rsidRPr="003A0B81" w:rsidRDefault="00CB41FC" w:rsidP="00CB41FC">
      <w:pPr>
        <w:spacing w:before="100" w:beforeAutospacing="1" w:after="0" w:line="210" w:lineRule="atLeast"/>
        <w:rPr>
          <w:rFonts w:ascii="Arial" w:eastAsia="Times New Roman" w:hAnsi="Arial" w:cs="Arial"/>
          <w:color w:val="222222"/>
          <w:sz w:val="24"/>
          <w:szCs w:val="24"/>
        </w:rPr>
      </w:pPr>
      <w:r w:rsidRPr="003A0B81">
        <w:rPr>
          <w:rFonts w:ascii="Arial" w:eastAsia="Times New Roman" w:hAnsi="Arial" w:cs="Arial"/>
          <w:color w:val="222222"/>
          <w:sz w:val="23"/>
          <w:szCs w:val="23"/>
        </w:rPr>
        <w:t>“2. Amend Section 1.4000(a)(1)(ii)(A) to read as follows:</w:t>
      </w:r>
    </w:p>
    <w:p w14:paraId="2651E67A" w14:textId="77777777" w:rsidR="00CB41FC" w:rsidRPr="003A0B81" w:rsidRDefault="00CB41FC" w:rsidP="00CB41FC">
      <w:pPr>
        <w:spacing w:before="100" w:beforeAutospacing="1" w:after="0" w:line="210" w:lineRule="atLeast"/>
        <w:rPr>
          <w:rFonts w:ascii="Arial" w:eastAsia="Times New Roman" w:hAnsi="Arial" w:cs="Arial"/>
          <w:color w:val="222222"/>
          <w:sz w:val="24"/>
          <w:szCs w:val="24"/>
        </w:rPr>
      </w:pPr>
      <w:r w:rsidRPr="003A0B81">
        <w:rPr>
          <w:rFonts w:ascii="Arial" w:eastAsia="Times New Roman" w:hAnsi="Arial" w:cs="Arial"/>
          <w:color w:val="222222"/>
          <w:sz w:val="23"/>
          <w:szCs w:val="23"/>
        </w:rPr>
        <w:t>(a)(1)(ii)(A) An antenna that is used to receive video programming services via multipoint distribution services, including multichannel multipoint distribution services, instructional television fixed services, and local multipoint distribution services, or to receive or transmit fixed wireless signals other than via satellite, </w:t>
      </w:r>
      <w:r w:rsidRPr="003A0B81">
        <w:rPr>
          <w:rFonts w:ascii="Arial" w:eastAsia="Times New Roman" w:hAnsi="Arial" w:cs="Arial"/>
          <w:color w:val="FF3333"/>
          <w:sz w:val="23"/>
          <w:szCs w:val="23"/>
        </w:rPr>
        <w:t>including a hub or relay antenna, </w:t>
      </w:r>
      <w:r w:rsidRPr="003A0B81">
        <w:rPr>
          <w:rFonts w:ascii="Arial" w:eastAsia="Times New Roman" w:hAnsi="Arial" w:cs="Arial"/>
          <w:color w:val="222222"/>
          <w:sz w:val="23"/>
          <w:szCs w:val="23"/>
        </w:rPr>
        <w:t>and”</w:t>
      </w:r>
    </w:p>
    <w:p w14:paraId="2F03A2C0" w14:textId="77777777" w:rsidR="00CB41FC" w:rsidRPr="003A0B81" w:rsidRDefault="00CB41FC" w:rsidP="00CB41FC">
      <w:pPr>
        <w:spacing w:before="100" w:beforeAutospacing="1" w:after="0" w:line="210" w:lineRule="atLeast"/>
        <w:jc w:val="center"/>
        <w:rPr>
          <w:rFonts w:ascii="Arial" w:eastAsia="Times New Roman" w:hAnsi="Arial" w:cs="Arial"/>
          <w:color w:val="222222"/>
          <w:sz w:val="24"/>
          <w:szCs w:val="24"/>
        </w:rPr>
      </w:pPr>
      <w:r w:rsidRPr="003A0B81">
        <w:rPr>
          <w:rFonts w:ascii="Arial" w:eastAsia="Times New Roman" w:hAnsi="Arial" w:cs="Arial"/>
          <w:color w:val="222222"/>
          <w:sz w:val="23"/>
          <w:szCs w:val="23"/>
        </w:rPr>
        <w:t>- - - - - - -</w:t>
      </w:r>
    </w:p>
    <w:p w14:paraId="39875DB7" w14:textId="77777777" w:rsidR="00CB41FC" w:rsidRPr="003A0B81" w:rsidRDefault="00CB41FC" w:rsidP="00CB41FC">
      <w:pPr>
        <w:spacing w:before="100" w:beforeAutospacing="1" w:after="0" w:line="210" w:lineRule="atLeast"/>
        <w:rPr>
          <w:rFonts w:ascii="Arial" w:eastAsia="Times New Roman" w:hAnsi="Arial" w:cs="Arial"/>
          <w:b/>
          <w:bCs/>
          <w:color w:val="222222"/>
          <w:sz w:val="24"/>
          <w:szCs w:val="24"/>
        </w:rPr>
      </w:pPr>
      <w:r w:rsidRPr="003A0B81">
        <w:rPr>
          <w:rFonts w:ascii="Arial" w:eastAsia="Times New Roman" w:hAnsi="Arial" w:cs="Arial"/>
          <w:b/>
          <w:bCs/>
          <w:color w:val="222222"/>
          <w:sz w:val="23"/>
          <w:szCs w:val="23"/>
          <w:u w:val="single"/>
        </w:rPr>
        <w:t>If these new rules are adopted, a network antenna located on private property would be exempt from local and state regulation</w:t>
      </w:r>
      <w:r w:rsidRPr="003A0B81">
        <w:rPr>
          <w:rFonts w:ascii="Arial" w:eastAsia="Times New Roman" w:hAnsi="Arial" w:cs="Arial"/>
          <w:b/>
          <w:bCs/>
          <w:color w:val="222222"/>
          <w:sz w:val="23"/>
          <w:szCs w:val="23"/>
        </w:rPr>
        <w:t xml:space="preserve"> (subject to size restrictions). This would include network systems for utility companies, broadband, wireless companies, and satellite, including SpaceX, </w:t>
      </w:r>
      <w:proofErr w:type="spellStart"/>
      <w:r w:rsidRPr="003A0B81">
        <w:rPr>
          <w:rFonts w:ascii="Arial" w:eastAsia="Times New Roman" w:hAnsi="Arial" w:cs="Arial"/>
          <w:b/>
          <w:bCs/>
          <w:color w:val="222222"/>
          <w:sz w:val="23"/>
          <w:szCs w:val="23"/>
        </w:rPr>
        <w:t>OneWeb</w:t>
      </w:r>
      <w:proofErr w:type="spellEnd"/>
      <w:r w:rsidRPr="003A0B81">
        <w:rPr>
          <w:rFonts w:ascii="Arial" w:eastAsia="Times New Roman" w:hAnsi="Arial" w:cs="Arial"/>
          <w:b/>
          <w:bCs/>
          <w:color w:val="222222"/>
          <w:sz w:val="23"/>
          <w:szCs w:val="23"/>
        </w:rPr>
        <w:t>, etc. </w:t>
      </w:r>
    </w:p>
    <w:p w14:paraId="192317A4" w14:textId="77777777" w:rsidR="00CB41FC" w:rsidRPr="003A0B81" w:rsidRDefault="00CB41FC" w:rsidP="00CB41FC">
      <w:pPr>
        <w:spacing w:before="100" w:beforeAutospacing="1" w:after="0" w:line="210" w:lineRule="atLeast"/>
        <w:rPr>
          <w:rFonts w:ascii="Arial" w:eastAsia="Times New Roman" w:hAnsi="Arial" w:cs="Arial"/>
          <w:b/>
          <w:bCs/>
          <w:color w:val="222222"/>
          <w:sz w:val="24"/>
          <w:szCs w:val="24"/>
          <w:u w:val="single"/>
        </w:rPr>
      </w:pPr>
      <w:r w:rsidRPr="003A0B81">
        <w:rPr>
          <w:rFonts w:ascii="Arial" w:eastAsia="Times New Roman" w:hAnsi="Arial" w:cs="Arial"/>
          <w:b/>
          <w:bCs/>
          <w:color w:val="222222"/>
          <w:sz w:val="23"/>
          <w:szCs w:val="23"/>
          <w:u w:val="single"/>
        </w:rPr>
        <w:t>The facilities would be exempt from permitting, public notice, public hearings, RF reports, discretionary permits, design guidelines, and all land use regulations, and they could be installed anywhere.</w:t>
      </w:r>
    </w:p>
    <w:p w14:paraId="724EA01A" w14:textId="77777777" w:rsidR="00CB41FC" w:rsidRPr="003A0B81" w:rsidRDefault="00CB41FC" w:rsidP="00CB41FC">
      <w:pPr>
        <w:spacing w:before="100" w:beforeAutospacing="1" w:after="0" w:line="210" w:lineRule="atLeast"/>
        <w:rPr>
          <w:rFonts w:ascii="Arial" w:eastAsia="Times New Roman" w:hAnsi="Arial" w:cs="Arial"/>
          <w:b/>
          <w:bCs/>
          <w:color w:val="222222"/>
          <w:sz w:val="24"/>
          <w:szCs w:val="24"/>
          <w:u w:val="single"/>
        </w:rPr>
      </w:pPr>
      <w:r w:rsidRPr="003A0B81">
        <w:rPr>
          <w:rFonts w:ascii="Arial" w:eastAsia="Times New Roman" w:hAnsi="Arial" w:cs="Arial"/>
          <w:b/>
          <w:bCs/>
          <w:color w:val="222222"/>
          <w:sz w:val="23"/>
          <w:szCs w:val="23"/>
          <w:u w:val="single"/>
        </w:rPr>
        <w:t>Unregulated and unpermitted co-location of multiple antennas on private property would also be possible.</w:t>
      </w:r>
    </w:p>
    <w:p w14:paraId="4D61081F" w14:textId="77777777" w:rsidR="00CB41FC" w:rsidRPr="003A0B81" w:rsidRDefault="00CB41FC" w:rsidP="00CB41FC">
      <w:pPr>
        <w:spacing w:before="100" w:beforeAutospacing="1" w:after="0" w:line="210" w:lineRule="atLeast"/>
        <w:rPr>
          <w:rFonts w:ascii="Arial" w:eastAsia="Times New Roman" w:hAnsi="Arial" w:cs="Arial"/>
          <w:b/>
          <w:bCs/>
          <w:color w:val="222222"/>
          <w:sz w:val="24"/>
          <w:szCs w:val="24"/>
          <w:u w:val="single"/>
        </w:rPr>
      </w:pPr>
      <w:r w:rsidRPr="003A0B81">
        <w:rPr>
          <w:rFonts w:ascii="Arial" w:eastAsia="Times New Roman" w:hAnsi="Arial" w:cs="Arial"/>
          <w:b/>
          <w:bCs/>
          <w:color w:val="222222"/>
          <w:sz w:val="23"/>
          <w:szCs w:val="23"/>
          <w:u w:val="single"/>
        </w:rPr>
        <w:t>Antennas would suddenly appear. Because they would be exempt, cities and counties would generally have no information about them – company name, specs, output, equipment, etc. </w:t>
      </w:r>
    </w:p>
    <w:p w14:paraId="1E815EB6" w14:textId="77777777" w:rsidR="00CB41FC" w:rsidRPr="003A0B81" w:rsidRDefault="00CB41FC" w:rsidP="00CB41FC">
      <w:pPr>
        <w:spacing w:before="100" w:beforeAutospacing="1" w:after="0" w:line="210" w:lineRule="atLeast"/>
        <w:rPr>
          <w:rFonts w:ascii="Arial" w:eastAsia="Times New Roman" w:hAnsi="Arial" w:cs="Arial"/>
          <w:b/>
          <w:bCs/>
          <w:color w:val="222222"/>
          <w:sz w:val="24"/>
          <w:szCs w:val="24"/>
        </w:rPr>
      </w:pPr>
      <w:r w:rsidRPr="003A0B81">
        <w:rPr>
          <w:rFonts w:ascii="Arial" w:eastAsia="Times New Roman" w:hAnsi="Arial" w:cs="Arial"/>
          <w:b/>
          <w:bCs/>
          <w:color w:val="222222"/>
          <w:sz w:val="23"/>
          <w:szCs w:val="23"/>
        </w:rPr>
        <w:t>Property owners would be offered monthly income or free services to host these microwave facilities on their properties. Neighbor would be pitted against neighbor, as people signed contracts without regard for their neighbors. This would be open season.</w:t>
      </w:r>
    </w:p>
    <w:p w14:paraId="641B309A" w14:textId="77777777" w:rsidR="00CB41FC" w:rsidRPr="003A0B81" w:rsidRDefault="00CB41FC" w:rsidP="00CB41FC">
      <w:pPr>
        <w:spacing w:before="100" w:beforeAutospacing="1" w:after="0" w:line="210" w:lineRule="atLeast"/>
        <w:rPr>
          <w:rFonts w:ascii="Arial" w:eastAsia="Times New Roman" w:hAnsi="Arial" w:cs="Arial"/>
          <w:b/>
          <w:bCs/>
          <w:color w:val="222222"/>
          <w:sz w:val="24"/>
          <w:szCs w:val="24"/>
        </w:rPr>
      </w:pPr>
      <w:r w:rsidRPr="003A0B81">
        <w:rPr>
          <w:rFonts w:ascii="Arial" w:eastAsia="Times New Roman" w:hAnsi="Arial" w:cs="Arial"/>
          <w:b/>
          <w:bCs/>
          <w:color w:val="222222"/>
          <w:sz w:val="23"/>
          <w:szCs w:val="23"/>
        </w:rPr>
        <w:t>This commandeering proposal by the FCC prohibits state and local governments from regulating the land within their jurisdiction and seems to violate the U.S. 10</w:t>
      </w:r>
      <w:r w:rsidRPr="003A0B81">
        <w:rPr>
          <w:rFonts w:ascii="Arial" w:eastAsia="Times New Roman" w:hAnsi="Arial" w:cs="Arial"/>
          <w:b/>
          <w:bCs/>
          <w:color w:val="222222"/>
          <w:sz w:val="23"/>
          <w:szCs w:val="23"/>
          <w:vertAlign w:val="superscript"/>
        </w:rPr>
        <w:t>th</w:t>
      </w:r>
      <w:r w:rsidRPr="003A0B81">
        <w:rPr>
          <w:rFonts w:ascii="Arial" w:eastAsia="Times New Roman" w:hAnsi="Arial" w:cs="Arial"/>
          <w:b/>
          <w:bCs/>
          <w:color w:val="222222"/>
          <w:sz w:val="23"/>
          <w:szCs w:val="23"/>
        </w:rPr>
        <w:t> amendment.</w:t>
      </w:r>
    </w:p>
    <w:p w14:paraId="02245E8A" w14:textId="77777777" w:rsidR="00CB41FC" w:rsidRPr="003A0B81" w:rsidRDefault="00CB41FC" w:rsidP="00CB41FC">
      <w:pPr>
        <w:spacing w:before="100" w:beforeAutospacing="1" w:after="0" w:line="210" w:lineRule="atLeast"/>
        <w:rPr>
          <w:rFonts w:ascii="Arial" w:eastAsia="Times New Roman" w:hAnsi="Arial" w:cs="Arial"/>
          <w:b/>
          <w:bCs/>
          <w:color w:val="222222"/>
          <w:sz w:val="24"/>
          <w:szCs w:val="24"/>
        </w:rPr>
      </w:pPr>
      <w:r w:rsidRPr="003A0B81">
        <w:rPr>
          <w:rFonts w:ascii="Arial" w:eastAsia="Times New Roman" w:hAnsi="Arial" w:cs="Arial"/>
          <w:b/>
          <w:bCs/>
          <w:color w:val="222222"/>
          <w:sz w:val="23"/>
          <w:szCs w:val="23"/>
        </w:rPr>
        <w:t>Interestingly, p. 16 of the FCC proposed rulemaking says:</w:t>
      </w:r>
    </w:p>
    <w:p w14:paraId="484B7866" w14:textId="77777777" w:rsidR="00CB41FC" w:rsidRPr="003A0B81" w:rsidRDefault="00CB41FC" w:rsidP="00CB41FC">
      <w:pPr>
        <w:spacing w:before="100" w:beforeAutospacing="1" w:after="0" w:line="210" w:lineRule="atLeast"/>
        <w:rPr>
          <w:rFonts w:ascii="Arial" w:eastAsia="Times New Roman" w:hAnsi="Arial" w:cs="Arial"/>
          <w:b/>
          <w:bCs/>
          <w:color w:val="222222"/>
          <w:sz w:val="24"/>
          <w:szCs w:val="24"/>
        </w:rPr>
      </w:pPr>
      <w:r w:rsidRPr="003A0B81">
        <w:rPr>
          <w:rFonts w:ascii="Arial" w:eastAsia="Times New Roman" w:hAnsi="Arial" w:cs="Arial"/>
          <w:b/>
          <w:bCs/>
          <w:color w:val="222222"/>
          <w:sz w:val="23"/>
          <w:szCs w:val="23"/>
        </w:rPr>
        <w:t>“F. Federal Rules that May Duplicate, Overlap, or Conflict with the Proposed Rules</w:t>
      </w:r>
    </w:p>
    <w:p w14:paraId="1256B79A" w14:textId="77777777" w:rsidR="00CB41FC" w:rsidRPr="003A0B81" w:rsidRDefault="00CB41FC" w:rsidP="00CB41FC">
      <w:pPr>
        <w:spacing w:before="100" w:beforeAutospacing="1" w:after="0" w:line="210" w:lineRule="atLeast"/>
        <w:rPr>
          <w:rFonts w:ascii="Arial" w:eastAsia="Times New Roman" w:hAnsi="Arial" w:cs="Arial"/>
          <w:b/>
          <w:bCs/>
          <w:color w:val="222222"/>
          <w:sz w:val="24"/>
          <w:szCs w:val="24"/>
        </w:rPr>
      </w:pPr>
      <w:r w:rsidRPr="003A0B81">
        <w:rPr>
          <w:rFonts w:ascii="Arial" w:eastAsia="Times New Roman" w:hAnsi="Arial" w:cs="Arial"/>
          <w:b/>
          <w:bCs/>
          <w:color w:val="222222"/>
          <w:sz w:val="23"/>
          <w:szCs w:val="23"/>
        </w:rPr>
        <w:t>23. None.”</w:t>
      </w:r>
    </w:p>
    <w:p w14:paraId="23CE518F" w14:textId="77777777" w:rsidR="00CB41FC" w:rsidRPr="003A0B81" w:rsidRDefault="00CB41FC" w:rsidP="00CB41FC">
      <w:pPr>
        <w:spacing w:before="100" w:beforeAutospacing="1" w:after="0" w:line="210" w:lineRule="atLeast"/>
        <w:rPr>
          <w:rFonts w:ascii="Arial" w:eastAsia="Times New Roman" w:hAnsi="Arial" w:cs="Arial"/>
          <w:b/>
          <w:bCs/>
          <w:color w:val="222222"/>
          <w:sz w:val="24"/>
          <w:szCs w:val="24"/>
          <w:u w:val="single"/>
        </w:rPr>
      </w:pPr>
      <w:r w:rsidRPr="003A0B81">
        <w:rPr>
          <w:rFonts w:ascii="Arial" w:eastAsia="Times New Roman" w:hAnsi="Arial" w:cs="Arial"/>
          <w:b/>
          <w:bCs/>
          <w:color w:val="222222"/>
          <w:sz w:val="23"/>
          <w:szCs w:val="23"/>
          <w:u w:val="single"/>
        </w:rPr>
        <w:t>In addition to conflicting with U.S. Constitution protections for due process, privacy, and the rights of citizens, and protecting against search and seizure, the rules also conflict with the Americans with Disabilities Act for those disabled by electromagnetic sensitivity.</w:t>
      </w:r>
    </w:p>
    <w:p w14:paraId="23EBFF0D" w14:textId="77777777" w:rsidR="00CB41FC" w:rsidRPr="00CB41FC" w:rsidRDefault="00CB41FC">
      <w:pPr>
        <w:rPr>
          <w:b/>
          <w:bCs/>
        </w:rPr>
      </w:pPr>
    </w:p>
    <w:sectPr w:rsidR="00CB41FC" w:rsidRPr="00CB41FC" w:rsidSect="00CB41FC">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CC"/>
    <w:family w:val="swiss"/>
    <w:pitch w:val="variable"/>
    <w:sig w:usb0="E0002AFF" w:usb1="00007843" w:usb2="00000001"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41FC"/>
    <w:rsid w:val="00CB41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BAA019"/>
  <w15:chartTrackingRefBased/>
  <w15:docId w15:val="{020F3F24-C630-4CFD-9BF2-EA5B0C908C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B41F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383</Words>
  <Characters>2189</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 REN</dc:creator>
  <cp:keywords/>
  <dc:description/>
  <cp:lastModifiedBy>B REN</cp:lastModifiedBy>
  <cp:revision>1</cp:revision>
  <dcterms:created xsi:type="dcterms:W3CDTF">2019-06-17T18:36:00Z</dcterms:created>
  <dcterms:modified xsi:type="dcterms:W3CDTF">2019-06-17T18:46:00Z</dcterms:modified>
</cp:coreProperties>
</file>