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4021B" w14:textId="77777777" w:rsidR="00611886" w:rsidRDefault="00611886" w:rsidP="00611886">
      <w:pPr>
        <w:spacing w:after="10" w:line="249" w:lineRule="auto"/>
        <w:ind w:left="111" w:right="381"/>
        <w:jc w:val="center"/>
      </w:pPr>
      <w:r>
        <w:rPr>
          <w:b/>
        </w:rPr>
        <w:t xml:space="preserve">Before the </w:t>
      </w:r>
    </w:p>
    <w:p w14:paraId="21219622" w14:textId="77777777" w:rsidR="00611886" w:rsidRDefault="00611886" w:rsidP="00611886">
      <w:pPr>
        <w:spacing w:after="10" w:line="249" w:lineRule="auto"/>
        <w:ind w:left="111"/>
        <w:jc w:val="center"/>
      </w:pPr>
      <w:r>
        <w:rPr>
          <w:b/>
        </w:rPr>
        <w:t xml:space="preserve">FEDERAL COMMUNICATIONS COMMISSION </w:t>
      </w:r>
    </w:p>
    <w:p w14:paraId="20896567" w14:textId="77777777" w:rsidR="00611886" w:rsidRDefault="00611886" w:rsidP="00611886">
      <w:pPr>
        <w:spacing w:after="10" w:line="249" w:lineRule="auto"/>
        <w:ind w:left="111" w:right="3"/>
        <w:jc w:val="center"/>
      </w:pPr>
      <w:r>
        <w:rPr>
          <w:b/>
        </w:rPr>
        <w:t>Washington, D.C.  20554</w:t>
      </w:r>
      <w:r>
        <w:t xml:space="preserve"> </w:t>
      </w:r>
    </w:p>
    <w:p w14:paraId="5203EC18" w14:textId="77777777" w:rsidR="00611886" w:rsidRDefault="00611886" w:rsidP="00611886">
      <w:pPr>
        <w:spacing w:after="0" w:line="259" w:lineRule="auto"/>
        <w:ind w:left="0" w:firstLine="0"/>
      </w:pPr>
      <w:r>
        <w:t xml:space="preserve">  </w:t>
      </w:r>
    </w:p>
    <w:p w14:paraId="7B854016" w14:textId="219CEC69" w:rsidR="00611886" w:rsidRDefault="00611886" w:rsidP="00611886">
      <w:pPr>
        <w:spacing w:after="0" w:line="259" w:lineRule="auto"/>
        <w:ind w:left="0" w:firstLine="0"/>
      </w:pPr>
      <w:r>
        <w:rPr>
          <w:b/>
          <w:noProof/>
        </w:rPr>
        <w:drawing>
          <wp:inline distT="0" distB="0" distL="0" distR="0" wp14:anchorId="2A1846F6" wp14:editId="00670D3C">
            <wp:extent cx="5419725" cy="2495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9725" cy="2495550"/>
                    </a:xfrm>
                    <a:prstGeom prst="rect">
                      <a:avLst/>
                    </a:prstGeom>
                    <a:noFill/>
                    <a:ln>
                      <a:noFill/>
                    </a:ln>
                  </pic:spPr>
                </pic:pic>
              </a:graphicData>
            </a:graphic>
          </wp:inline>
        </w:drawing>
      </w:r>
      <w:r w:rsidR="00D32E31">
        <w:rPr>
          <w:b/>
        </w:rPr>
        <w:t>RE:</w:t>
      </w:r>
      <w:r w:rsidR="005A0168">
        <w:rPr>
          <w:b/>
        </w:rPr>
        <w:t xml:space="preserve"> </w:t>
      </w:r>
      <w:r w:rsidR="00D32E31">
        <w:rPr>
          <w:b/>
        </w:rPr>
        <w:t>WC Docket Supplement – No. 19-142</w:t>
      </w:r>
      <w:r>
        <w:rPr>
          <w:b/>
        </w:rPr>
        <w:tab/>
        <w:t xml:space="preserve"> </w:t>
      </w:r>
      <w:r>
        <w:rPr>
          <w:b/>
        </w:rPr>
        <w:tab/>
        <w:t xml:space="preserve"> </w:t>
      </w:r>
      <w:r>
        <w:rPr>
          <w:b/>
        </w:rPr>
        <w:tab/>
        <w:t xml:space="preserve"> </w:t>
      </w:r>
    </w:p>
    <w:p w14:paraId="41F8975C" w14:textId="77777777" w:rsidR="00611886" w:rsidRDefault="00611886" w:rsidP="00611886">
      <w:pPr>
        <w:spacing w:after="0" w:line="259" w:lineRule="auto"/>
        <w:ind w:left="160" w:firstLine="0"/>
        <w:jc w:val="center"/>
      </w:pPr>
      <w:r>
        <w:t xml:space="preserve"> </w:t>
      </w:r>
    </w:p>
    <w:p w14:paraId="78D37890" w14:textId="77777777" w:rsidR="00611886" w:rsidRDefault="00611886" w:rsidP="00611886">
      <w:pPr>
        <w:spacing w:after="0" w:line="259" w:lineRule="auto"/>
        <w:ind w:left="185" w:firstLine="0"/>
      </w:pPr>
      <w:r>
        <w:rPr>
          <w:b/>
          <w:u w:val="single" w:color="000000"/>
        </w:rPr>
        <w:t>SUPPLEMENT TO THE APPLICATION OF CALLWORKS CORPORATION</w:t>
      </w:r>
      <w:r>
        <w:rPr>
          <w:b/>
        </w:rPr>
        <w:t xml:space="preserve"> </w:t>
      </w:r>
    </w:p>
    <w:p w14:paraId="63C52BD7" w14:textId="77777777" w:rsidR="00611886" w:rsidRDefault="00611886" w:rsidP="00611886">
      <w:pPr>
        <w:spacing w:after="0" w:line="259" w:lineRule="auto"/>
        <w:ind w:left="110"/>
        <w:jc w:val="center"/>
      </w:pPr>
      <w:r>
        <w:rPr>
          <w:b/>
          <w:u w:val="single" w:color="000000"/>
        </w:rPr>
        <w:t>FOR AUTHORIZATION TO OBTAIN NUMBERING</w:t>
      </w:r>
      <w:r>
        <w:rPr>
          <w:b/>
        </w:rPr>
        <w:t xml:space="preserve"> </w:t>
      </w:r>
      <w:r>
        <w:rPr>
          <w:b/>
          <w:u w:val="single" w:color="000000"/>
        </w:rPr>
        <w:t>RESOURCES</w:t>
      </w:r>
      <w:r>
        <w:rPr>
          <w:b/>
        </w:rPr>
        <w:t xml:space="preserve"> </w:t>
      </w:r>
    </w:p>
    <w:p w14:paraId="1E2FB6F1" w14:textId="77777777" w:rsidR="00611886" w:rsidRDefault="00611886" w:rsidP="00611886">
      <w:pPr>
        <w:spacing w:after="0" w:line="259" w:lineRule="auto"/>
        <w:ind w:left="0" w:firstLine="0"/>
      </w:pPr>
      <w:r>
        <w:t xml:space="preserve"> </w:t>
      </w:r>
    </w:p>
    <w:p w14:paraId="2789FB3E" w14:textId="77777777" w:rsidR="00611886" w:rsidRDefault="00611886" w:rsidP="00611886">
      <w:pPr>
        <w:spacing w:line="476" w:lineRule="auto"/>
        <w:ind w:left="-5" w:right="110"/>
      </w:pPr>
      <w:r>
        <w:t xml:space="preserve"> </w:t>
      </w:r>
      <w:r>
        <w:tab/>
        <w:t xml:space="preserve">On April 16, 2019, CallWorks Corporation pursuant to Section 52.15(g)(3)(i) of the Commission’s Rules, respectfully requested authorization to obtain numbering resources as an Internet Protocol Enabled Services (IPES) provider.  In response to the application, the Wireline Competition Bureau requested additional information to demonstrate proof of facilities readiness under Direct Access Order (FCC 15-70) paragraph 37.  In support of this application, CallWorks provides the following information: </w:t>
      </w:r>
    </w:p>
    <w:p w14:paraId="73783C22" w14:textId="77777777" w:rsidR="00611886" w:rsidRDefault="00611886" w:rsidP="00611886">
      <w:pPr>
        <w:numPr>
          <w:ilvl w:val="0"/>
          <w:numId w:val="1"/>
        </w:numPr>
        <w:spacing w:after="518" w:line="249" w:lineRule="auto"/>
        <w:ind w:hanging="420"/>
      </w:pPr>
      <w:r>
        <w:rPr>
          <w:b/>
        </w:rPr>
        <w:t xml:space="preserve">Proof of Facilities Readiness </w:t>
      </w:r>
    </w:p>
    <w:p w14:paraId="66A7D08C" w14:textId="4A7EA213" w:rsidR="00611886" w:rsidRDefault="00611886" w:rsidP="00611886">
      <w:pPr>
        <w:spacing w:after="902" w:line="476" w:lineRule="auto"/>
        <w:ind w:left="-15" w:firstLine="720"/>
      </w:pPr>
      <w:r>
        <w:t>CallWorks, as an IPES provider</w:t>
      </w:r>
      <w:r w:rsidR="008437AB">
        <w:t xml:space="preserve">, </w:t>
      </w:r>
      <w:r>
        <w:t>will be partnering with the CLEC Peerless Networks</w:t>
      </w:r>
      <w:r w:rsidR="0071103A">
        <w:t xml:space="preserve"> to provide PSTN interconnection</w:t>
      </w:r>
      <w:bookmarkStart w:id="0" w:name="_GoBack"/>
      <w:bookmarkEnd w:id="0"/>
      <w:r>
        <w:t xml:space="preserve">.  Peerless Networks is a CLEC in 43 of the 50 states and operates one of the largest interconnected networks in the </w:t>
      </w:r>
      <w:r w:rsidR="008437AB">
        <w:t>U.S.</w:t>
      </w:r>
      <w:r>
        <w:t xml:space="preserve"> CallWorks chose Peerless as our Interconnect Partner because of their ubiquity and their quality of servic</w:t>
      </w:r>
      <w:r w:rsidR="008437AB">
        <w:t>e / commitment.</w:t>
      </w:r>
    </w:p>
    <w:p w14:paraId="4EF86FCA" w14:textId="77777777" w:rsidR="00611886" w:rsidRDefault="00611886" w:rsidP="00611886">
      <w:pPr>
        <w:spacing w:after="0" w:line="259" w:lineRule="auto"/>
        <w:ind w:left="0" w:firstLine="0"/>
      </w:pPr>
      <w:r>
        <w:rPr>
          <w:sz w:val="14"/>
        </w:rPr>
        <w:lastRenderedPageBreak/>
        <w:t xml:space="preserve"> </w:t>
      </w:r>
    </w:p>
    <w:p w14:paraId="1A73A3C3" w14:textId="30CD9523" w:rsidR="008437AB" w:rsidRDefault="00611886" w:rsidP="00611886">
      <w:pPr>
        <w:spacing w:after="194"/>
        <w:ind w:left="-5"/>
      </w:pPr>
      <w:r>
        <w:t xml:space="preserve"> As per the LERG</w:t>
      </w:r>
      <w:r>
        <w:rPr>
          <w:rStyle w:val="FootnoteReference"/>
        </w:rPr>
        <w:footnoteReference w:id="1"/>
      </w:r>
      <w:r>
        <w:t>, Peerless has local and “</w:t>
      </w:r>
      <w:r w:rsidR="008437AB">
        <w:t>FG</w:t>
      </w:r>
      <w:r>
        <w:t xml:space="preserve">D” access interconnections to </w:t>
      </w:r>
      <w:r w:rsidR="008437AB">
        <w:t>more than</w:t>
      </w:r>
    </w:p>
    <w:p w14:paraId="2EA5C6AD" w14:textId="77777777" w:rsidR="008437AB" w:rsidRDefault="00611886" w:rsidP="00611886">
      <w:pPr>
        <w:spacing w:after="194"/>
        <w:ind w:left="-5"/>
      </w:pPr>
      <w:r>
        <w:t xml:space="preserve"> 240+</w:t>
      </w:r>
      <w:r w:rsidR="008437AB">
        <w:t xml:space="preserve"> </w:t>
      </w:r>
      <w:r>
        <w:t>Tandem interconnections to all of the major ILECS, LECs, and other CLECs</w:t>
      </w:r>
      <w:r w:rsidR="008437AB">
        <w:t xml:space="preserve"> in</w:t>
      </w:r>
    </w:p>
    <w:p w14:paraId="5AA9BF66" w14:textId="77777777" w:rsidR="008437AB" w:rsidRDefault="008437AB" w:rsidP="00611886">
      <w:pPr>
        <w:spacing w:after="194"/>
        <w:ind w:left="-5"/>
      </w:pPr>
      <w:r>
        <w:t xml:space="preserve"> the USA. </w:t>
      </w:r>
      <w:r w:rsidR="00611886">
        <w:t>Below is an example of interconnections that Peerless has in Texas (alone) to</w:t>
      </w:r>
    </w:p>
    <w:p w14:paraId="7A1A12EB" w14:textId="4B2B7CE1" w:rsidR="008437AB" w:rsidRDefault="00611886" w:rsidP="00611886">
      <w:pPr>
        <w:spacing w:after="194"/>
        <w:ind w:left="-5"/>
      </w:pPr>
      <w:r>
        <w:t xml:space="preserve"> ATT (South</w:t>
      </w:r>
      <w:r w:rsidR="008437AB">
        <w:t xml:space="preserve"> </w:t>
      </w:r>
      <w:r>
        <w:t>Western Bell), Frontier, and United Tel</w:t>
      </w:r>
      <w:r w:rsidR="008437AB">
        <w:t>ephone</w:t>
      </w:r>
      <w:r>
        <w:t>.</w:t>
      </w:r>
      <w:r w:rsidR="008437AB">
        <w:t xml:space="preserve">  Peerless also has filed the </w:t>
      </w:r>
    </w:p>
    <w:p w14:paraId="2C0C5EC2" w14:textId="3943362C" w:rsidR="008437AB" w:rsidRDefault="008437AB" w:rsidP="00611886">
      <w:pPr>
        <w:spacing w:after="194"/>
        <w:ind w:left="-5"/>
      </w:pPr>
      <w:r>
        <w:t xml:space="preserve">appropriate FCC and LOCAL PUC Tariffs to enumerate any and all costs and charges of </w:t>
      </w:r>
    </w:p>
    <w:p w14:paraId="167F0C73" w14:textId="5554AA0C" w:rsidR="00611886" w:rsidRDefault="008437AB" w:rsidP="00611886">
      <w:pPr>
        <w:spacing w:after="194"/>
        <w:ind w:left="-5"/>
      </w:pPr>
      <w:r>
        <w:t>interconnection.</w:t>
      </w:r>
    </w:p>
    <w:p w14:paraId="230D50E0" w14:textId="77777777" w:rsidR="00611886" w:rsidRDefault="00611886" w:rsidP="00611886">
      <w:pPr>
        <w:spacing w:after="492" w:line="259" w:lineRule="auto"/>
        <w:ind w:left="0" w:firstLine="0"/>
      </w:pPr>
      <w:r w:rsidRPr="00DA59D6">
        <w:rPr>
          <w:noProof/>
        </w:rPr>
        <w:drawing>
          <wp:inline distT="0" distB="0" distL="0" distR="0" wp14:anchorId="0C735D50" wp14:editId="40CF877A">
            <wp:extent cx="5422900" cy="163893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0" cy="1638935"/>
                    </a:xfrm>
                    <a:prstGeom prst="rect">
                      <a:avLst/>
                    </a:prstGeom>
                    <a:noFill/>
                    <a:ln>
                      <a:noFill/>
                    </a:ln>
                  </pic:spPr>
                </pic:pic>
              </a:graphicData>
            </a:graphic>
          </wp:inline>
        </w:drawing>
      </w:r>
      <w:r>
        <w:t xml:space="preserve"> </w:t>
      </w:r>
    </w:p>
    <w:p w14:paraId="50E46496" w14:textId="3135F3E1" w:rsidR="00611886" w:rsidRDefault="00611886" w:rsidP="00611886">
      <w:pPr>
        <w:numPr>
          <w:ilvl w:val="0"/>
          <w:numId w:val="1"/>
        </w:numPr>
        <w:spacing w:line="484" w:lineRule="auto"/>
        <w:ind w:hanging="420"/>
      </w:pPr>
      <w:r>
        <w:rPr>
          <w:b/>
        </w:rPr>
        <w:t>List of States in which CallWorks is planning to provide IPES /VoIP service.</w:t>
      </w:r>
      <w:r>
        <w:t xml:space="preserve">           CallWorks initially intends to provide service only in Texas (all major metro locations),</w:t>
      </w:r>
      <w:r w:rsidR="008437AB">
        <w:t xml:space="preserve"> </w:t>
      </w:r>
      <w:r>
        <w:t>but reserves the right to expand as business determines necessity.</w:t>
      </w:r>
    </w:p>
    <w:p w14:paraId="64F3A5B5" w14:textId="77777777" w:rsidR="00611886" w:rsidRDefault="00611886" w:rsidP="00611886">
      <w:pPr>
        <w:spacing w:after="0" w:line="259" w:lineRule="auto"/>
        <w:ind w:left="0" w:firstLine="0"/>
      </w:pPr>
    </w:p>
    <w:p w14:paraId="7228FB13" w14:textId="77777777" w:rsidR="00611886" w:rsidRDefault="00611886" w:rsidP="00611886">
      <w:pPr>
        <w:numPr>
          <w:ilvl w:val="0"/>
          <w:numId w:val="1"/>
        </w:numPr>
        <w:spacing w:after="283" w:line="249" w:lineRule="auto"/>
        <w:ind w:hanging="420"/>
      </w:pPr>
      <w:r>
        <w:rPr>
          <w:b/>
        </w:rPr>
        <w:t xml:space="preserve">Conclusion  </w:t>
      </w:r>
    </w:p>
    <w:p w14:paraId="2934FE71" w14:textId="416811DE" w:rsidR="00611886" w:rsidRDefault="00611886" w:rsidP="00611886">
      <w:pPr>
        <w:spacing w:after="246"/>
        <w:ind w:left="-5"/>
      </w:pPr>
      <w:r>
        <w:t>CallWorks respectfully submits this additional information</w:t>
      </w:r>
      <w:r w:rsidR="008437AB">
        <w:t xml:space="preserve"> in support of the readiness of both CallWorks Corporation and Peerless Networks.</w:t>
      </w:r>
    </w:p>
    <w:p w14:paraId="7111F650" w14:textId="77777777" w:rsidR="00611886" w:rsidRDefault="00611886" w:rsidP="00611886">
      <w:pPr>
        <w:ind w:left="4690"/>
      </w:pPr>
      <w:r>
        <w:t xml:space="preserve">Respectfully submitted, </w:t>
      </w:r>
    </w:p>
    <w:p w14:paraId="59233CEB" w14:textId="77777777" w:rsidR="00611886" w:rsidRDefault="00611886" w:rsidP="00611886">
      <w:pPr>
        <w:spacing w:after="0" w:line="259" w:lineRule="auto"/>
        <w:ind w:left="0" w:right="1104" w:firstLine="0"/>
      </w:pPr>
      <w:r>
        <w:t xml:space="preserve"> </w:t>
      </w:r>
    </w:p>
    <w:p w14:paraId="37E4E5E7" w14:textId="77777777" w:rsidR="00611886" w:rsidRDefault="00611886" w:rsidP="00611886">
      <w:pPr>
        <w:tabs>
          <w:tab w:val="center" w:pos="720"/>
          <w:tab w:val="center" w:pos="1440"/>
          <w:tab w:val="center" w:pos="2160"/>
          <w:tab w:val="center" w:pos="2880"/>
          <w:tab w:val="center" w:pos="3600"/>
          <w:tab w:val="center" w:pos="5910"/>
        </w:tabs>
        <w:spacing w:after="0" w:line="259" w:lineRule="auto"/>
        <w:ind w:left="0" w:firstLine="0"/>
      </w:pPr>
      <w:r>
        <w:t xml:space="preserve"> </w:t>
      </w:r>
      <w:r>
        <w:tab/>
        <w:t xml:space="preserve"> </w:t>
      </w:r>
      <w:r>
        <w:tab/>
        <w:t xml:space="preserve"> </w:t>
      </w:r>
      <w:r>
        <w:tab/>
        <w:t xml:space="preserve"> </w:t>
      </w:r>
      <w:r>
        <w:tab/>
        <w:t xml:space="preserve"> </w:t>
      </w:r>
      <w:r>
        <w:tab/>
        <w:t xml:space="preserve"> </w:t>
      </w:r>
      <w:r>
        <w:tab/>
        <w:t xml:space="preserve"> </w:t>
      </w:r>
    </w:p>
    <w:p w14:paraId="6354A349" w14:textId="77777777" w:rsidR="00611886" w:rsidRDefault="00611886" w:rsidP="00611886">
      <w:pPr>
        <w:tabs>
          <w:tab w:val="center" w:pos="720"/>
          <w:tab w:val="center" w:pos="1440"/>
          <w:tab w:val="center" w:pos="2160"/>
          <w:tab w:val="center" w:pos="2880"/>
          <w:tab w:val="center" w:pos="3600"/>
          <w:tab w:val="center" w:pos="6174"/>
        </w:tabs>
        <w:ind w:left="-15" w:firstLine="0"/>
      </w:pPr>
      <w:r>
        <w:t xml:space="preserve"> </w:t>
      </w:r>
      <w:r>
        <w:tab/>
        <w:t xml:space="preserve"> </w:t>
      </w:r>
      <w:r>
        <w:tab/>
        <w:t xml:space="preserve"> </w:t>
      </w:r>
      <w:r>
        <w:tab/>
        <w:t xml:space="preserve"> </w:t>
      </w:r>
      <w:r>
        <w:tab/>
        <w:t xml:space="preserve"> </w:t>
      </w:r>
      <w:r>
        <w:tab/>
        <w:t xml:space="preserve"> </w:t>
      </w:r>
      <w:r>
        <w:tab/>
        <w:t xml:space="preserve">By:  </w:t>
      </w:r>
      <w:r>
        <w:rPr>
          <w:noProof/>
        </w:rPr>
        <w:drawing>
          <wp:inline distT="0" distB="0" distL="0" distR="0" wp14:anchorId="748D2B20" wp14:editId="66BC570B">
            <wp:extent cx="2295525" cy="438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naturev-finalv1.jpg"/>
                    <pic:cNvPicPr/>
                  </pic:nvPicPr>
                  <pic:blipFill>
                    <a:blip r:embed="rId9">
                      <a:extLst>
                        <a:ext uri="{28A0092B-C50C-407E-A947-70E740481C1C}">
                          <a14:useLocalDpi xmlns:a14="http://schemas.microsoft.com/office/drawing/2010/main" val="0"/>
                        </a:ext>
                      </a:extLst>
                    </a:blip>
                    <a:stretch>
                      <a:fillRect/>
                    </a:stretch>
                  </pic:blipFill>
                  <pic:spPr>
                    <a:xfrm>
                      <a:off x="0" y="0"/>
                      <a:ext cx="2295525" cy="438150"/>
                    </a:xfrm>
                    <a:prstGeom prst="rect">
                      <a:avLst/>
                    </a:prstGeom>
                  </pic:spPr>
                </pic:pic>
              </a:graphicData>
            </a:graphic>
          </wp:inline>
        </w:drawing>
      </w:r>
    </w:p>
    <w:p w14:paraId="41091597" w14:textId="77777777" w:rsidR="00611886" w:rsidRDefault="00611886" w:rsidP="00611886">
      <w:pPr>
        <w:tabs>
          <w:tab w:val="center" w:pos="720"/>
          <w:tab w:val="center" w:pos="1440"/>
          <w:tab w:val="center" w:pos="2160"/>
          <w:tab w:val="center" w:pos="2880"/>
          <w:tab w:val="center" w:pos="3600"/>
          <w:tab w:val="center" w:pos="6174"/>
        </w:tabs>
        <w:ind w:left="-15" w:firstLine="0"/>
      </w:pPr>
    </w:p>
    <w:p w14:paraId="148E152E" w14:textId="77777777" w:rsidR="00611886" w:rsidRDefault="00611886" w:rsidP="00611886">
      <w:pPr>
        <w:ind w:left="4330"/>
      </w:pPr>
      <w:r>
        <w:t>Ronald J Grob</w:t>
      </w:r>
    </w:p>
    <w:p w14:paraId="29CF3897" w14:textId="77777777" w:rsidR="00611886" w:rsidRDefault="00611886" w:rsidP="00611886">
      <w:pPr>
        <w:ind w:left="4330"/>
      </w:pPr>
    </w:p>
    <w:p w14:paraId="0DBAB926" w14:textId="77777777" w:rsidR="00611886" w:rsidRDefault="00611886" w:rsidP="00611886">
      <w:pPr>
        <w:ind w:left="4330"/>
      </w:pPr>
      <w:r>
        <w:t>CallWorks VP Network and Regulatory</w:t>
      </w:r>
    </w:p>
    <w:p w14:paraId="4F5D946F" w14:textId="77777777" w:rsidR="00611886" w:rsidRDefault="00611886" w:rsidP="00611886">
      <w:pPr>
        <w:spacing w:after="0" w:line="259" w:lineRule="auto"/>
        <w:ind w:left="0" w:firstLine="0"/>
      </w:pPr>
      <w:r>
        <w:t xml:space="preserve"> </w:t>
      </w:r>
    </w:p>
    <w:p w14:paraId="03BB54C7" w14:textId="04E991AE" w:rsidR="00611886" w:rsidRDefault="00611886" w:rsidP="008437AB">
      <w:pPr>
        <w:spacing w:after="0" w:line="259" w:lineRule="auto"/>
        <w:ind w:left="0" w:firstLine="0"/>
      </w:pPr>
      <w:r>
        <w:t xml:space="preserve"> </w:t>
      </w:r>
    </w:p>
    <w:sectPr w:rsidR="00611886">
      <w:footnotePr>
        <w:numRestart w:val="eachPage"/>
      </w:footnotePr>
      <w:pgSz w:w="12240" w:h="15840"/>
      <w:pgMar w:top="1273" w:right="1900" w:bottom="716"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BE844" w14:textId="77777777" w:rsidR="00B8584C" w:rsidRDefault="00B8584C" w:rsidP="00611886">
      <w:pPr>
        <w:spacing w:after="0" w:line="240" w:lineRule="auto"/>
      </w:pPr>
      <w:r>
        <w:separator/>
      </w:r>
    </w:p>
  </w:endnote>
  <w:endnote w:type="continuationSeparator" w:id="0">
    <w:p w14:paraId="0017C550" w14:textId="77777777" w:rsidR="00B8584C" w:rsidRDefault="00B8584C" w:rsidP="00611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39D95" w14:textId="77777777" w:rsidR="00B8584C" w:rsidRDefault="00B8584C" w:rsidP="00611886">
      <w:pPr>
        <w:spacing w:after="0" w:line="240" w:lineRule="auto"/>
      </w:pPr>
      <w:r>
        <w:separator/>
      </w:r>
    </w:p>
  </w:footnote>
  <w:footnote w:type="continuationSeparator" w:id="0">
    <w:p w14:paraId="4450F0BB" w14:textId="77777777" w:rsidR="00B8584C" w:rsidRDefault="00B8584C" w:rsidP="00611886">
      <w:pPr>
        <w:spacing w:after="0" w:line="240" w:lineRule="auto"/>
      </w:pPr>
      <w:r>
        <w:continuationSeparator/>
      </w:r>
    </w:p>
  </w:footnote>
  <w:footnote w:id="1">
    <w:p w14:paraId="62643AE7" w14:textId="77777777" w:rsidR="00611886" w:rsidRDefault="00611886" w:rsidP="00611886">
      <w:pPr>
        <w:pStyle w:val="FootnoteText"/>
      </w:pPr>
      <w:r>
        <w:rPr>
          <w:rStyle w:val="FootnoteReference"/>
        </w:rPr>
        <w:footnoteRef/>
      </w:r>
      <w:r>
        <w:t xml:space="preserve"> LERG – Local Exchange Routing Guide – the TDM/PSTN routing bible.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87ABA"/>
    <w:multiLevelType w:val="hybridMultilevel"/>
    <w:tmpl w:val="FBE04AC2"/>
    <w:lvl w:ilvl="0" w:tplc="662281BA">
      <w:start w:val="1"/>
      <w:numFmt w:val="upperRoman"/>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37C457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22C717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B2E6AC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734A72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FE346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05E27B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BCA9C6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E0E80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UwNzOytDA2MLCwMDdS0lEKTi0uzszPAykwqgUAYnJLoiwAAAA="/>
  </w:docVars>
  <w:rsids>
    <w:rsidRoot w:val="00611886"/>
    <w:rsid w:val="005A0168"/>
    <w:rsid w:val="00611886"/>
    <w:rsid w:val="0071103A"/>
    <w:rsid w:val="008437AB"/>
    <w:rsid w:val="00AC6DFB"/>
    <w:rsid w:val="00B8584C"/>
    <w:rsid w:val="00D32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1DD9"/>
  <w15:chartTrackingRefBased/>
  <w15:docId w15:val="{501F0A04-9A21-4835-850D-7610EA60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886"/>
    <w:pPr>
      <w:spacing w:after="3" w:line="265"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118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1886"/>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6118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Grob</dc:creator>
  <cp:keywords/>
  <dc:description/>
  <cp:lastModifiedBy>Ronald Grob</cp:lastModifiedBy>
  <cp:revision>5</cp:revision>
  <dcterms:created xsi:type="dcterms:W3CDTF">2019-06-24T18:58:00Z</dcterms:created>
  <dcterms:modified xsi:type="dcterms:W3CDTF">2019-06-24T20:42:00Z</dcterms:modified>
</cp:coreProperties>
</file>