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C6B8E27" w14:textId="6EA2B651" w:rsidR="002C02FE" w:rsidRDefault="002C02FE" w:rsidP="002C02FE">
      <w:pPr>
        <w:pStyle w:val="Heading1"/>
        <w:spacing w:before="76"/>
        <w:ind w:left="2240" w:right="3478" w:firstLine="0"/>
        <w:jc w:val="right"/>
      </w:pPr>
      <w:r>
        <w:t xml:space="preserve">                                                                            </w:t>
      </w:r>
    </w:p>
    <w:p w14:paraId="2987A998" w14:textId="7FF61A9B" w:rsidR="002C02FE" w:rsidRDefault="002C02FE" w:rsidP="002C02FE">
      <w:pPr>
        <w:pStyle w:val="Heading1"/>
        <w:spacing w:before="76"/>
        <w:ind w:left="2240" w:right="3478" w:firstLine="0"/>
        <w:jc w:val="center"/>
      </w:pPr>
      <w:r>
        <w:t xml:space="preserve">          </w:t>
      </w:r>
      <w:r w:rsidR="00AB23E8">
        <w:t xml:space="preserve">    </w:t>
      </w:r>
      <w:r>
        <w:t>Before the</w:t>
      </w:r>
    </w:p>
    <w:p w14:paraId="2C2693BA" w14:textId="51EF9EB3" w:rsidR="002C02FE" w:rsidRDefault="002C02FE" w:rsidP="002C02FE">
      <w:pPr>
        <w:pStyle w:val="BodyText"/>
        <w:spacing w:before="4"/>
        <w:ind w:left="0"/>
        <w:jc w:val="center"/>
        <w:rPr>
          <w:b/>
        </w:rPr>
      </w:pPr>
      <w:r>
        <w:rPr>
          <w:b/>
        </w:rPr>
        <w:t>FEDERAL COMMUNICATIONS COMMISSION</w:t>
      </w:r>
    </w:p>
    <w:p w14:paraId="1FEB1B92" w14:textId="5EFE0416" w:rsidR="002C02FE" w:rsidRDefault="002C02FE" w:rsidP="002C02FE">
      <w:pPr>
        <w:pStyle w:val="BodyText"/>
        <w:spacing w:before="4"/>
        <w:ind w:left="0"/>
        <w:jc w:val="center"/>
        <w:rPr>
          <w:b/>
        </w:rPr>
      </w:pPr>
      <w:r>
        <w:rPr>
          <w:b/>
        </w:rPr>
        <w:t>WASHINGTON, D.C. 20554</w:t>
      </w:r>
    </w:p>
    <w:p w14:paraId="3CF90217" w14:textId="77777777" w:rsidR="002C02FE" w:rsidRDefault="002C02FE" w:rsidP="002C02FE">
      <w:pPr>
        <w:pStyle w:val="BodyText"/>
        <w:spacing w:before="4"/>
        <w:ind w:left="0"/>
        <w:jc w:val="center"/>
        <w:rPr>
          <w:b/>
        </w:rPr>
      </w:pPr>
    </w:p>
    <w:p w14:paraId="7E527900" w14:textId="77777777" w:rsidR="002C02FE" w:rsidRDefault="002C02FE" w:rsidP="002C02FE">
      <w:pPr>
        <w:pStyle w:val="BodyText"/>
        <w:spacing w:before="4"/>
        <w:ind w:left="0"/>
        <w:rPr>
          <w:b/>
          <w:sz w:val="21"/>
        </w:rPr>
      </w:pPr>
    </w:p>
    <w:tbl>
      <w:tblPr>
        <w:tblW w:w="0" w:type="auto"/>
        <w:tblInd w:w="108" w:type="dxa"/>
        <w:tblLayout w:type="fixed"/>
        <w:tblCellMar>
          <w:left w:w="0" w:type="dxa"/>
          <w:right w:w="0" w:type="dxa"/>
        </w:tblCellMar>
        <w:tblLook w:val="01E0" w:firstRow="1" w:lastRow="1" w:firstColumn="1" w:lastColumn="1" w:noHBand="0" w:noVBand="0"/>
      </w:tblPr>
      <w:tblGrid>
        <w:gridCol w:w="5224"/>
        <w:gridCol w:w="456"/>
        <w:gridCol w:w="1798"/>
      </w:tblGrid>
      <w:tr w:rsidR="002C02FE" w14:paraId="73F43758" w14:textId="77777777" w:rsidTr="002B7DD1">
        <w:trPr>
          <w:trHeight w:val="1921"/>
        </w:trPr>
        <w:tc>
          <w:tcPr>
            <w:tcW w:w="5224" w:type="dxa"/>
          </w:tcPr>
          <w:p w14:paraId="198D6C22" w14:textId="77777777" w:rsidR="002C02FE" w:rsidRDefault="002C02FE" w:rsidP="002C02FE">
            <w:pPr>
              <w:pStyle w:val="TableParagraph"/>
              <w:spacing w:line="266" w:lineRule="exact"/>
              <w:ind w:left="200"/>
              <w:rPr>
                <w:sz w:val="24"/>
              </w:rPr>
            </w:pPr>
            <w:r>
              <w:rPr>
                <w:sz w:val="24"/>
              </w:rPr>
              <w:t>In the Matter of</w:t>
            </w:r>
          </w:p>
          <w:p w14:paraId="617A21C0" w14:textId="77777777" w:rsidR="002C02FE" w:rsidRDefault="002C02FE" w:rsidP="002C02FE">
            <w:pPr>
              <w:pStyle w:val="TableParagraph"/>
              <w:rPr>
                <w:b/>
                <w:sz w:val="24"/>
              </w:rPr>
            </w:pPr>
          </w:p>
          <w:p w14:paraId="256DB4F1" w14:textId="77777777" w:rsidR="002C02FE" w:rsidRDefault="002C02FE" w:rsidP="002C02FE">
            <w:pPr>
              <w:pStyle w:val="TableParagraph"/>
              <w:ind w:left="200"/>
              <w:rPr>
                <w:sz w:val="24"/>
              </w:rPr>
            </w:pPr>
            <w:r>
              <w:rPr>
                <w:sz w:val="24"/>
              </w:rPr>
              <w:t>Petition to Modify Parts 2 and 101</w:t>
            </w:r>
          </w:p>
          <w:p w14:paraId="7CC3547E" w14:textId="77777777" w:rsidR="002C02FE" w:rsidRDefault="002C02FE" w:rsidP="002C02FE">
            <w:pPr>
              <w:pStyle w:val="TableParagraph"/>
              <w:ind w:left="200" w:right="171"/>
              <w:rPr>
                <w:sz w:val="24"/>
              </w:rPr>
            </w:pPr>
            <w:r>
              <w:rPr>
                <w:sz w:val="24"/>
              </w:rPr>
              <w:t>of the Commission’s Rules to Enable Timely Deployment of Fixed Stratospheric-Based Communications Services in the 21.5-23.6, 25.25-</w:t>
            </w:r>
          </w:p>
          <w:p w14:paraId="6C8D68E5" w14:textId="77777777" w:rsidR="002C02FE" w:rsidRDefault="002C02FE" w:rsidP="002C02FE">
            <w:pPr>
              <w:pStyle w:val="TableParagraph"/>
              <w:spacing w:line="256" w:lineRule="exact"/>
              <w:ind w:left="200"/>
              <w:rPr>
                <w:sz w:val="24"/>
              </w:rPr>
            </w:pPr>
            <w:r>
              <w:rPr>
                <w:sz w:val="24"/>
              </w:rPr>
              <w:t>27.5, 71-76, and 81-86 GHz Bands</w:t>
            </w:r>
          </w:p>
        </w:tc>
        <w:tc>
          <w:tcPr>
            <w:tcW w:w="456" w:type="dxa"/>
          </w:tcPr>
          <w:p w14:paraId="07FE149A" w14:textId="77777777" w:rsidR="002C02FE" w:rsidRDefault="002C02FE" w:rsidP="002C02FE">
            <w:pPr>
              <w:pStyle w:val="TableParagraph"/>
              <w:spacing w:line="266" w:lineRule="exact"/>
              <w:ind w:left="8"/>
              <w:rPr>
                <w:sz w:val="24"/>
              </w:rPr>
            </w:pPr>
            <w:r>
              <w:rPr>
                <w:w w:val="99"/>
                <w:sz w:val="24"/>
              </w:rPr>
              <w:t>)</w:t>
            </w:r>
          </w:p>
          <w:p w14:paraId="396911B7" w14:textId="77777777" w:rsidR="002C02FE" w:rsidRDefault="002C02FE" w:rsidP="002C02FE">
            <w:pPr>
              <w:pStyle w:val="TableParagraph"/>
              <w:ind w:left="8"/>
              <w:rPr>
                <w:sz w:val="24"/>
              </w:rPr>
            </w:pPr>
            <w:r>
              <w:rPr>
                <w:w w:val="99"/>
                <w:sz w:val="24"/>
              </w:rPr>
              <w:t>)</w:t>
            </w:r>
          </w:p>
          <w:p w14:paraId="0ED9750C" w14:textId="77777777" w:rsidR="002C02FE" w:rsidRDefault="002C02FE" w:rsidP="002C02FE">
            <w:pPr>
              <w:pStyle w:val="TableParagraph"/>
              <w:ind w:left="8"/>
              <w:rPr>
                <w:sz w:val="24"/>
              </w:rPr>
            </w:pPr>
            <w:r>
              <w:rPr>
                <w:w w:val="99"/>
                <w:sz w:val="24"/>
              </w:rPr>
              <w:t>)</w:t>
            </w:r>
          </w:p>
          <w:p w14:paraId="476BFF7C" w14:textId="77777777" w:rsidR="002C02FE" w:rsidRDefault="002C02FE" w:rsidP="002C02FE">
            <w:pPr>
              <w:pStyle w:val="TableParagraph"/>
              <w:ind w:left="8"/>
              <w:rPr>
                <w:sz w:val="24"/>
              </w:rPr>
            </w:pPr>
            <w:r>
              <w:rPr>
                <w:w w:val="99"/>
                <w:sz w:val="24"/>
              </w:rPr>
              <w:t>)</w:t>
            </w:r>
          </w:p>
          <w:p w14:paraId="153525BF" w14:textId="77777777" w:rsidR="002C02FE" w:rsidRDefault="002C02FE" w:rsidP="002C02FE">
            <w:pPr>
              <w:pStyle w:val="TableParagraph"/>
              <w:ind w:left="8"/>
              <w:rPr>
                <w:sz w:val="24"/>
              </w:rPr>
            </w:pPr>
            <w:r>
              <w:rPr>
                <w:w w:val="99"/>
                <w:sz w:val="24"/>
              </w:rPr>
              <w:t>)</w:t>
            </w:r>
          </w:p>
          <w:p w14:paraId="32F5C0DE" w14:textId="77777777" w:rsidR="002C02FE" w:rsidRDefault="002C02FE" w:rsidP="002C02FE">
            <w:pPr>
              <w:pStyle w:val="TableParagraph"/>
              <w:ind w:left="8"/>
              <w:rPr>
                <w:sz w:val="24"/>
              </w:rPr>
            </w:pPr>
            <w:r>
              <w:rPr>
                <w:w w:val="99"/>
                <w:sz w:val="24"/>
              </w:rPr>
              <w:t>)</w:t>
            </w:r>
          </w:p>
          <w:p w14:paraId="18F4CC22" w14:textId="77777777" w:rsidR="002C02FE" w:rsidRDefault="002C02FE" w:rsidP="002C02FE">
            <w:pPr>
              <w:pStyle w:val="TableParagraph"/>
              <w:spacing w:line="256" w:lineRule="exact"/>
              <w:ind w:left="8"/>
              <w:rPr>
                <w:sz w:val="24"/>
              </w:rPr>
            </w:pPr>
            <w:r>
              <w:rPr>
                <w:w w:val="99"/>
                <w:sz w:val="24"/>
              </w:rPr>
              <w:t>)</w:t>
            </w:r>
          </w:p>
        </w:tc>
        <w:tc>
          <w:tcPr>
            <w:tcW w:w="1798" w:type="dxa"/>
          </w:tcPr>
          <w:p w14:paraId="0247F2C5" w14:textId="77777777" w:rsidR="002C02FE" w:rsidRDefault="002C02FE" w:rsidP="002C02FE">
            <w:pPr>
              <w:pStyle w:val="TableParagraph"/>
              <w:rPr>
                <w:b/>
                <w:sz w:val="26"/>
              </w:rPr>
            </w:pPr>
          </w:p>
          <w:p w14:paraId="1D392ECF" w14:textId="77777777" w:rsidR="002C02FE" w:rsidRDefault="002C02FE" w:rsidP="002C02FE">
            <w:pPr>
              <w:pStyle w:val="TableParagraph"/>
              <w:spacing w:before="1"/>
              <w:rPr>
                <w:b/>
                <w:sz w:val="21"/>
              </w:rPr>
            </w:pPr>
          </w:p>
          <w:p w14:paraId="35C57A5E" w14:textId="70A829A4" w:rsidR="002C02FE" w:rsidRDefault="002C02FE" w:rsidP="002C02FE">
            <w:pPr>
              <w:pStyle w:val="TableParagraph"/>
              <w:tabs>
                <w:tab w:val="left" w:pos="1653"/>
              </w:tabs>
              <w:ind w:left="184"/>
              <w:rPr>
                <w:sz w:val="24"/>
              </w:rPr>
            </w:pPr>
            <w:r>
              <w:rPr>
                <w:sz w:val="24"/>
              </w:rPr>
              <w:t>RM-</w:t>
            </w:r>
            <w:r>
              <w:rPr>
                <w:sz w:val="24"/>
                <w:u w:val="single"/>
              </w:rPr>
              <w:t>11809</w:t>
            </w:r>
          </w:p>
        </w:tc>
      </w:tr>
    </w:tbl>
    <w:p w14:paraId="7AFC2AF1" w14:textId="77777777" w:rsidR="002C02FE" w:rsidRDefault="002C02FE" w:rsidP="002C02FE">
      <w:pPr>
        <w:pStyle w:val="BodyText"/>
        <w:ind w:left="0"/>
        <w:jc w:val="center"/>
        <w:rPr>
          <w:b/>
          <w:sz w:val="26"/>
        </w:rPr>
      </w:pPr>
    </w:p>
    <w:p w14:paraId="2272F214" w14:textId="77777777" w:rsidR="00EC2DFB" w:rsidRDefault="00EC2DFB" w:rsidP="00EC2DFB">
      <w:pPr>
        <w:pStyle w:val="p1"/>
        <w:rPr>
          <w:rFonts w:cs="Arial"/>
          <w:sz w:val="22"/>
          <w:szCs w:val="22"/>
        </w:rPr>
      </w:pPr>
    </w:p>
    <w:p w14:paraId="0F727BC5" w14:textId="0A0EEC48" w:rsidR="002C02FE" w:rsidRDefault="00385003" w:rsidP="002C02FE">
      <w:pPr>
        <w:pStyle w:val="p1"/>
        <w:jc w:val="center"/>
        <w:rPr>
          <w:rFonts w:cs="Arial"/>
          <w:b/>
          <w:sz w:val="22"/>
          <w:szCs w:val="22"/>
        </w:rPr>
      </w:pPr>
      <w:r w:rsidRPr="00385003">
        <w:rPr>
          <w:rFonts w:cs="Arial"/>
          <w:b/>
          <w:sz w:val="22"/>
          <w:szCs w:val="22"/>
        </w:rPr>
        <w:t xml:space="preserve">Opposition </w:t>
      </w:r>
      <w:r w:rsidR="002C02FE">
        <w:rPr>
          <w:rFonts w:cs="Arial"/>
          <w:b/>
          <w:sz w:val="22"/>
          <w:szCs w:val="22"/>
        </w:rPr>
        <w:t>and comments</w:t>
      </w:r>
      <w:r w:rsidRPr="00385003">
        <w:rPr>
          <w:rFonts w:cs="Arial"/>
          <w:b/>
          <w:sz w:val="22"/>
          <w:szCs w:val="22"/>
        </w:rPr>
        <w:t xml:space="preserve"> </w:t>
      </w:r>
    </w:p>
    <w:p w14:paraId="2A196DD3" w14:textId="75FFABB7" w:rsidR="002C02FE" w:rsidRDefault="002C02FE" w:rsidP="00385003">
      <w:pPr>
        <w:pStyle w:val="p1"/>
        <w:jc w:val="center"/>
        <w:rPr>
          <w:rFonts w:cs="Arial"/>
          <w:b/>
          <w:sz w:val="22"/>
          <w:szCs w:val="22"/>
        </w:rPr>
      </w:pPr>
      <w:r>
        <w:rPr>
          <w:rFonts w:cs="Arial"/>
          <w:b/>
          <w:sz w:val="22"/>
          <w:szCs w:val="22"/>
        </w:rPr>
        <w:t xml:space="preserve">of </w:t>
      </w:r>
      <w:r w:rsidR="00385003" w:rsidRPr="00385003">
        <w:rPr>
          <w:rFonts w:cs="Arial"/>
          <w:b/>
          <w:sz w:val="22"/>
          <w:szCs w:val="22"/>
        </w:rPr>
        <w:t xml:space="preserve"> </w:t>
      </w:r>
    </w:p>
    <w:p w14:paraId="23958F8E" w14:textId="2C96F16C" w:rsidR="00385003" w:rsidRPr="00385003" w:rsidRDefault="00385003" w:rsidP="00385003">
      <w:pPr>
        <w:pStyle w:val="p1"/>
        <w:jc w:val="center"/>
        <w:rPr>
          <w:rFonts w:cs="Arial"/>
          <w:b/>
          <w:sz w:val="22"/>
          <w:szCs w:val="22"/>
        </w:rPr>
      </w:pPr>
      <w:r w:rsidRPr="00385003">
        <w:rPr>
          <w:rFonts w:cs="Arial"/>
          <w:b/>
          <w:sz w:val="22"/>
          <w:szCs w:val="22"/>
        </w:rPr>
        <w:t>the National Radio Astronomy Observatory</w:t>
      </w:r>
    </w:p>
    <w:p w14:paraId="506EF4F8" w14:textId="77777777" w:rsidR="00385003" w:rsidRPr="001E4ABF" w:rsidRDefault="00385003" w:rsidP="00EC2DFB">
      <w:pPr>
        <w:pStyle w:val="p1"/>
        <w:rPr>
          <w:rFonts w:cs="Arial"/>
          <w:sz w:val="22"/>
          <w:szCs w:val="22"/>
        </w:rPr>
      </w:pPr>
    </w:p>
    <w:p w14:paraId="6D018CF4" w14:textId="74642894" w:rsidR="001E4ABF" w:rsidRDefault="002C02FE" w:rsidP="00EC2DFB">
      <w:pPr>
        <w:pStyle w:val="p1"/>
        <w:rPr>
          <w:rFonts w:cs="Arial"/>
          <w:sz w:val="22"/>
          <w:szCs w:val="22"/>
        </w:rPr>
      </w:pPr>
      <w:r>
        <w:rPr>
          <w:rFonts w:cs="Arial"/>
          <w:sz w:val="22"/>
          <w:szCs w:val="22"/>
        </w:rPr>
        <w:t>25 June 2018</w:t>
      </w:r>
    </w:p>
    <w:p w14:paraId="733932F0" w14:textId="77777777" w:rsidR="002C02FE" w:rsidRDefault="002C02FE" w:rsidP="00EC2DFB">
      <w:pPr>
        <w:pStyle w:val="p1"/>
        <w:rPr>
          <w:rFonts w:cs="Arial"/>
          <w:sz w:val="22"/>
          <w:szCs w:val="22"/>
        </w:rPr>
      </w:pPr>
    </w:p>
    <w:p w14:paraId="669645E4" w14:textId="206DCF75" w:rsidR="009D3341" w:rsidRDefault="001E4ABF" w:rsidP="00EC2DFB">
      <w:pPr>
        <w:pStyle w:val="p1"/>
        <w:rPr>
          <w:rFonts w:cs="Arial"/>
          <w:sz w:val="22"/>
          <w:szCs w:val="22"/>
        </w:rPr>
      </w:pPr>
      <w:r>
        <w:rPr>
          <w:rFonts w:cs="Arial"/>
          <w:sz w:val="22"/>
          <w:szCs w:val="22"/>
        </w:rPr>
        <w:t>The National Radio Astronomy Observatory</w:t>
      </w:r>
      <w:r w:rsidR="005378F4">
        <w:rPr>
          <w:rFonts w:cs="Arial"/>
          <w:sz w:val="22"/>
          <w:szCs w:val="22"/>
        </w:rPr>
        <w:t xml:space="preserve"> (NRAO)</w:t>
      </w:r>
      <w:r w:rsidR="003D4CE7">
        <w:rPr>
          <w:rFonts w:cs="Arial"/>
          <w:sz w:val="22"/>
          <w:szCs w:val="22"/>
        </w:rPr>
        <w:t>, on behalf of itself and its sister AUI-operated observatories the G</w:t>
      </w:r>
      <w:r w:rsidR="000B669E">
        <w:rPr>
          <w:rFonts w:cs="Arial"/>
          <w:sz w:val="22"/>
          <w:szCs w:val="22"/>
        </w:rPr>
        <w:t xml:space="preserve">reen </w:t>
      </w:r>
      <w:r w:rsidR="003D4CE7">
        <w:rPr>
          <w:rFonts w:cs="Arial"/>
          <w:sz w:val="22"/>
          <w:szCs w:val="22"/>
        </w:rPr>
        <w:t>B</w:t>
      </w:r>
      <w:r w:rsidR="000B669E">
        <w:rPr>
          <w:rFonts w:cs="Arial"/>
          <w:sz w:val="22"/>
          <w:szCs w:val="22"/>
        </w:rPr>
        <w:t xml:space="preserve">ank </w:t>
      </w:r>
      <w:r w:rsidR="003D4CE7">
        <w:rPr>
          <w:rFonts w:cs="Arial"/>
          <w:sz w:val="22"/>
          <w:szCs w:val="22"/>
        </w:rPr>
        <w:t>O</w:t>
      </w:r>
      <w:r w:rsidR="000B669E">
        <w:rPr>
          <w:rFonts w:cs="Arial"/>
          <w:sz w:val="22"/>
          <w:szCs w:val="22"/>
        </w:rPr>
        <w:t>bservatory</w:t>
      </w:r>
      <w:r w:rsidR="003D4CE7">
        <w:rPr>
          <w:rFonts w:cs="Arial"/>
          <w:sz w:val="22"/>
          <w:szCs w:val="22"/>
        </w:rPr>
        <w:t xml:space="preserve"> (</w:t>
      </w:r>
      <w:hyperlink r:id="rId7" w:history="1">
        <w:r w:rsidR="00F1587C" w:rsidRPr="00D35B2B">
          <w:rPr>
            <w:rStyle w:val="Hyperlink"/>
            <w:rFonts w:cs="Arial"/>
            <w:sz w:val="22"/>
            <w:szCs w:val="22"/>
          </w:rPr>
          <w:t>https://greenbankobservatory.org/</w:t>
        </w:r>
      </w:hyperlink>
      <w:r w:rsidR="003D4CE7">
        <w:rPr>
          <w:rFonts w:cs="Arial"/>
          <w:sz w:val="22"/>
          <w:szCs w:val="22"/>
        </w:rPr>
        <w:t xml:space="preserve">) and </w:t>
      </w:r>
      <w:r w:rsidR="00DF086F">
        <w:rPr>
          <w:rFonts w:cs="Arial"/>
          <w:sz w:val="22"/>
          <w:szCs w:val="22"/>
        </w:rPr>
        <w:t xml:space="preserve">the </w:t>
      </w:r>
      <w:r w:rsidR="003D4CE7">
        <w:rPr>
          <w:rFonts w:cs="Arial"/>
          <w:sz w:val="22"/>
          <w:szCs w:val="22"/>
        </w:rPr>
        <w:t>L</w:t>
      </w:r>
      <w:r w:rsidR="000B669E">
        <w:rPr>
          <w:rFonts w:cs="Arial"/>
          <w:sz w:val="22"/>
          <w:szCs w:val="22"/>
        </w:rPr>
        <w:t xml:space="preserve">ong </w:t>
      </w:r>
      <w:r w:rsidR="003D4CE7">
        <w:rPr>
          <w:rFonts w:cs="Arial"/>
          <w:sz w:val="22"/>
          <w:szCs w:val="22"/>
        </w:rPr>
        <w:t>B</w:t>
      </w:r>
      <w:r w:rsidR="000B669E">
        <w:rPr>
          <w:rFonts w:cs="Arial"/>
          <w:sz w:val="22"/>
          <w:szCs w:val="22"/>
        </w:rPr>
        <w:t xml:space="preserve">aseline </w:t>
      </w:r>
      <w:r w:rsidR="003D4CE7">
        <w:rPr>
          <w:rFonts w:cs="Arial"/>
          <w:sz w:val="22"/>
          <w:szCs w:val="22"/>
        </w:rPr>
        <w:t>O</w:t>
      </w:r>
      <w:r w:rsidR="000B669E">
        <w:rPr>
          <w:rFonts w:cs="Arial"/>
          <w:sz w:val="22"/>
          <w:szCs w:val="22"/>
        </w:rPr>
        <w:t>bservatory</w:t>
      </w:r>
      <w:r w:rsidR="003D4CE7">
        <w:rPr>
          <w:rFonts w:cs="Arial"/>
          <w:sz w:val="22"/>
          <w:szCs w:val="22"/>
        </w:rPr>
        <w:t xml:space="preserve"> (</w:t>
      </w:r>
      <w:r w:rsidR="00F1587C" w:rsidRPr="00F1587C">
        <w:rPr>
          <w:rFonts w:cs="Arial"/>
          <w:sz w:val="22"/>
          <w:szCs w:val="22"/>
        </w:rPr>
        <w:t>https://www.lbo.us/</w:t>
      </w:r>
      <w:r w:rsidR="003D4CE7">
        <w:rPr>
          <w:rFonts w:cs="Arial"/>
          <w:sz w:val="22"/>
          <w:szCs w:val="22"/>
        </w:rPr>
        <w:t>),</w:t>
      </w:r>
      <w:r>
        <w:rPr>
          <w:rFonts w:cs="Arial"/>
          <w:sz w:val="22"/>
          <w:szCs w:val="22"/>
        </w:rPr>
        <w:t xml:space="preserve"> is taking the opportunity to </w:t>
      </w:r>
      <w:r w:rsidR="000541C5">
        <w:rPr>
          <w:rFonts w:cs="Arial"/>
          <w:sz w:val="22"/>
          <w:szCs w:val="22"/>
        </w:rPr>
        <w:t>remark</w:t>
      </w:r>
      <w:r>
        <w:rPr>
          <w:rFonts w:cs="Arial"/>
          <w:sz w:val="22"/>
          <w:szCs w:val="22"/>
        </w:rPr>
        <w:t xml:space="preserve"> on the </w:t>
      </w:r>
      <w:proofErr w:type="spellStart"/>
      <w:r w:rsidR="00A3142D">
        <w:rPr>
          <w:rFonts w:cs="Arial"/>
          <w:sz w:val="22"/>
          <w:szCs w:val="22"/>
        </w:rPr>
        <w:t>Elefante</w:t>
      </w:r>
      <w:proofErr w:type="spellEnd"/>
      <w:r w:rsidR="00A3142D">
        <w:rPr>
          <w:rFonts w:cs="Arial"/>
          <w:sz w:val="22"/>
          <w:szCs w:val="22"/>
        </w:rPr>
        <w:t xml:space="preserve"> Group’s </w:t>
      </w:r>
      <w:r w:rsidR="00AB23E8">
        <w:rPr>
          <w:rFonts w:cs="Arial"/>
          <w:sz w:val="22"/>
          <w:szCs w:val="22"/>
        </w:rPr>
        <w:t>recent petition for r</w:t>
      </w:r>
      <w:r>
        <w:rPr>
          <w:rFonts w:cs="Arial"/>
          <w:sz w:val="22"/>
          <w:szCs w:val="22"/>
        </w:rPr>
        <w:t>ulemaking</w:t>
      </w:r>
      <w:r w:rsidR="009D3341">
        <w:rPr>
          <w:rFonts w:cs="Arial"/>
          <w:sz w:val="22"/>
          <w:szCs w:val="22"/>
        </w:rPr>
        <w:t xml:space="preserve">.  </w:t>
      </w:r>
      <w:r w:rsidR="002B6C8A">
        <w:rPr>
          <w:rFonts w:cs="Arial"/>
          <w:sz w:val="22"/>
          <w:szCs w:val="22"/>
        </w:rPr>
        <w:t>The</w:t>
      </w:r>
      <w:r w:rsidR="005378F4">
        <w:rPr>
          <w:rFonts w:cs="Arial"/>
          <w:sz w:val="22"/>
          <w:szCs w:val="22"/>
        </w:rPr>
        <w:t xml:space="preserve"> AUI</w:t>
      </w:r>
      <w:r w:rsidR="00672F1D">
        <w:rPr>
          <w:rFonts w:cs="Arial"/>
          <w:sz w:val="22"/>
          <w:szCs w:val="22"/>
        </w:rPr>
        <w:t xml:space="preserve"> </w:t>
      </w:r>
      <w:r w:rsidR="009D3341">
        <w:rPr>
          <w:rFonts w:cs="Arial"/>
          <w:sz w:val="22"/>
          <w:szCs w:val="22"/>
        </w:rPr>
        <w:t>observatories</w:t>
      </w:r>
      <w:r w:rsidR="00A3142D">
        <w:rPr>
          <w:rFonts w:cs="Arial"/>
          <w:sz w:val="22"/>
          <w:szCs w:val="22"/>
        </w:rPr>
        <w:t xml:space="preserve"> </w:t>
      </w:r>
      <w:r w:rsidR="003D4CE7">
        <w:rPr>
          <w:rFonts w:cs="Arial"/>
          <w:sz w:val="22"/>
          <w:szCs w:val="22"/>
        </w:rPr>
        <w:t>host</w:t>
      </w:r>
      <w:r w:rsidR="000127D1">
        <w:rPr>
          <w:rFonts w:cs="Arial"/>
          <w:sz w:val="22"/>
          <w:szCs w:val="22"/>
        </w:rPr>
        <w:t xml:space="preserve"> </w:t>
      </w:r>
      <w:r w:rsidR="002B6C8A">
        <w:rPr>
          <w:rFonts w:cs="Arial"/>
          <w:sz w:val="22"/>
          <w:szCs w:val="22"/>
        </w:rPr>
        <w:t xml:space="preserve">the Jansky Very Large Array in New Mexico, the Robert C. Byrd Green Bank 100m Telescope </w:t>
      </w:r>
      <w:r w:rsidR="00DD6EEE">
        <w:rPr>
          <w:rFonts w:cs="Arial"/>
          <w:sz w:val="22"/>
          <w:szCs w:val="22"/>
        </w:rPr>
        <w:t>in West Virginia</w:t>
      </w:r>
      <w:r w:rsidR="000541C5">
        <w:rPr>
          <w:rFonts w:cs="Arial"/>
          <w:sz w:val="22"/>
          <w:szCs w:val="22"/>
        </w:rPr>
        <w:t xml:space="preserve"> </w:t>
      </w:r>
      <w:r w:rsidR="002B6C8A">
        <w:rPr>
          <w:rFonts w:cs="Arial"/>
          <w:sz w:val="22"/>
          <w:szCs w:val="22"/>
        </w:rPr>
        <w:t>and the 10 stations of the Very Long Baseline Array</w:t>
      </w:r>
      <w:r w:rsidR="005378F4">
        <w:rPr>
          <w:rFonts w:cs="Arial"/>
          <w:sz w:val="22"/>
          <w:szCs w:val="22"/>
        </w:rPr>
        <w:t>, which</w:t>
      </w:r>
      <w:r w:rsidR="005B39BE">
        <w:rPr>
          <w:rFonts w:cs="Arial"/>
          <w:sz w:val="22"/>
          <w:szCs w:val="22"/>
        </w:rPr>
        <w:t xml:space="preserve"> stand to be </w:t>
      </w:r>
      <w:r w:rsidR="000127D1">
        <w:rPr>
          <w:rFonts w:cs="Arial"/>
          <w:sz w:val="22"/>
          <w:szCs w:val="22"/>
        </w:rPr>
        <w:t xml:space="preserve">profoundly </w:t>
      </w:r>
      <w:r w:rsidR="005B39BE">
        <w:rPr>
          <w:rFonts w:cs="Arial"/>
          <w:sz w:val="22"/>
          <w:szCs w:val="22"/>
        </w:rPr>
        <w:t>affected by</w:t>
      </w:r>
      <w:r w:rsidR="00C93022">
        <w:rPr>
          <w:rFonts w:cs="Arial"/>
          <w:sz w:val="22"/>
          <w:szCs w:val="22"/>
        </w:rPr>
        <w:t xml:space="preserve"> </w:t>
      </w:r>
      <w:r w:rsidR="00672F1D">
        <w:rPr>
          <w:rFonts w:cs="Arial"/>
          <w:sz w:val="22"/>
          <w:szCs w:val="22"/>
        </w:rPr>
        <w:t xml:space="preserve">the </w:t>
      </w:r>
      <w:r w:rsidR="00DD6EEE">
        <w:rPr>
          <w:rFonts w:cs="Arial"/>
          <w:sz w:val="22"/>
          <w:szCs w:val="22"/>
        </w:rPr>
        <w:t>operation</w:t>
      </w:r>
      <w:r w:rsidR="00672F1D">
        <w:rPr>
          <w:rFonts w:cs="Arial"/>
          <w:sz w:val="22"/>
          <w:szCs w:val="22"/>
        </w:rPr>
        <w:t xml:space="preserve"> of </w:t>
      </w:r>
      <w:r w:rsidR="00C93022">
        <w:rPr>
          <w:rFonts w:cs="Arial"/>
          <w:sz w:val="22"/>
          <w:szCs w:val="22"/>
        </w:rPr>
        <w:t>High Altitude Platform</w:t>
      </w:r>
      <w:r w:rsidR="000A21F6">
        <w:rPr>
          <w:rFonts w:cs="Arial"/>
          <w:sz w:val="22"/>
          <w:szCs w:val="22"/>
        </w:rPr>
        <w:t xml:space="preserve"> </w:t>
      </w:r>
      <w:r w:rsidR="00E46C4B">
        <w:rPr>
          <w:rFonts w:cs="Arial"/>
          <w:sz w:val="22"/>
          <w:szCs w:val="22"/>
        </w:rPr>
        <w:t>S</w:t>
      </w:r>
      <w:r w:rsidR="000A21F6">
        <w:rPr>
          <w:rFonts w:cs="Arial"/>
          <w:sz w:val="22"/>
          <w:szCs w:val="22"/>
        </w:rPr>
        <w:t xml:space="preserve">ystems </w:t>
      </w:r>
      <w:r w:rsidR="005378F4">
        <w:rPr>
          <w:rFonts w:cs="Arial"/>
          <w:sz w:val="22"/>
          <w:szCs w:val="22"/>
        </w:rPr>
        <w:t>(HAPS) such as</w:t>
      </w:r>
      <w:r w:rsidR="00A3142D">
        <w:rPr>
          <w:rFonts w:cs="Arial"/>
          <w:sz w:val="22"/>
          <w:szCs w:val="22"/>
        </w:rPr>
        <w:t xml:space="preserve"> </w:t>
      </w:r>
      <w:r w:rsidR="005378F4">
        <w:rPr>
          <w:rFonts w:cs="Arial"/>
          <w:sz w:val="22"/>
          <w:szCs w:val="22"/>
        </w:rPr>
        <w:t xml:space="preserve">those </w:t>
      </w:r>
      <w:r w:rsidR="00A3142D">
        <w:rPr>
          <w:rFonts w:cs="Arial"/>
          <w:sz w:val="22"/>
          <w:szCs w:val="22"/>
        </w:rPr>
        <w:t xml:space="preserve">proposed by </w:t>
      </w:r>
      <w:r w:rsidR="005B39BE">
        <w:rPr>
          <w:rFonts w:cs="Arial"/>
          <w:sz w:val="22"/>
          <w:szCs w:val="22"/>
        </w:rPr>
        <w:t xml:space="preserve">the </w:t>
      </w:r>
      <w:proofErr w:type="spellStart"/>
      <w:r w:rsidR="00A3142D">
        <w:rPr>
          <w:rFonts w:cs="Arial"/>
          <w:sz w:val="22"/>
          <w:szCs w:val="22"/>
        </w:rPr>
        <w:t>Elefante</w:t>
      </w:r>
      <w:proofErr w:type="spellEnd"/>
      <w:r w:rsidR="00A3142D">
        <w:rPr>
          <w:rFonts w:cs="Arial"/>
          <w:sz w:val="22"/>
          <w:szCs w:val="22"/>
        </w:rPr>
        <w:t xml:space="preserve"> Group</w:t>
      </w:r>
      <w:r w:rsidR="000B669E">
        <w:rPr>
          <w:rFonts w:cs="Arial"/>
          <w:sz w:val="22"/>
          <w:szCs w:val="22"/>
        </w:rPr>
        <w:t xml:space="preserve">.  </w:t>
      </w:r>
      <w:r w:rsidR="000127D1">
        <w:rPr>
          <w:rFonts w:cs="Arial"/>
          <w:sz w:val="22"/>
          <w:szCs w:val="22"/>
        </w:rPr>
        <w:t xml:space="preserve">  </w:t>
      </w:r>
    </w:p>
    <w:p w14:paraId="601AAFBB" w14:textId="77777777" w:rsidR="00345D83" w:rsidRPr="007000F4" w:rsidRDefault="00345D83" w:rsidP="00EC2DFB">
      <w:pPr>
        <w:pStyle w:val="p1"/>
        <w:rPr>
          <w:rFonts w:cs="Arial"/>
          <w:b/>
          <w:sz w:val="22"/>
          <w:szCs w:val="22"/>
        </w:rPr>
      </w:pPr>
    </w:p>
    <w:p w14:paraId="46EA29B6" w14:textId="246DB503" w:rsidR="00345D83" w:rsidRPr="007000F4" w:rsidRDefault="00345D83" w:rsidP="00345D83">
      <w:pPr>
        <w:pStyle w:val="p1"/>
        <w:numPr>
          <w:ilvl w:val="0"/>
          <w:numId w:val="1"/>
        </w:numPr>
        <w:rPr>
          <w:rFonts w:cs="Arial"/>
          <w:b/>
          <w:sz w:val="22"/>
          <w:szCs w:val="22"/>
        </w:rPr>
      </w:pPr>
      <w:r w:rsidRPr="007000F4">
        <w:rPr>
          <w:rFonts w:cs="Arial"/>
          <w:b/>
          <w:sz w:val="22"/>
          <w:szCs w:val="22"/>
        </w:rPr>
        <w:t xml:space="preserve"> </w:t>
      </w:r>
      <w:r w:rsidR="00AA0F79" w:rsidRPr="007000F4">
        <w:rPr>
          <w:rFonts w:cs="Arial"/>
          <w:b/>
          <w:sz w:val="22"/>
          <w:szCs w:val="22"/>
        </w:rPr>
        <w:t>HAPS or STRAPS?</w:t>
      </w:r>
    </w:p>
    <w:p w14:paraId="1FC60384" w14:textId="77777777" w:rsidR="00AA0F79" w:rsidRDefault="00AA0F79" w:rsidP="00AA0F79">
      <w:pPr>
        <w:pStyle w:val="p1"/>
        <w:ind w:left="1080"/>
        <w:rPr>
          <w:rFonts w:cs="Arial"/>
          <w:sz w:val="22"/>
          <w:szCs w:val="22"/>
        </w:rPr>
      </w:pPr>
    </w:p>
    <w:p w14:paraId="5E27345D" w14:textId="6D9826B8" w:rsidR="005B39BE" w:rsidRDefault="00AA0F79" w:rsidP="00AA0F79">
      <w:pPr>
        <w:pStyle w:val="p1"/>
        <w:rPr>
          <w:rFonts w:cs="Arial"/>
          <w:sz w:val="22"/>
          <w:szCs w:val="22"/>
        </w:rPr>
      </w:pPr>
      <w:proofErr w:type="spellStart"/>
      <w:r>
        <w:rPr>
          <w:rFonts w:cs="Arial"/>
          <w:sz w:val="22"/>
          <w:szCs w:val="22"/>
        </w:rPr>
        <w:t>Elefante</w:t>
      </w:r>
      <w:proofErr w:type="spellEnd"/>
      <w:r>
        <w:rPr>
          <w:rFonts w:cs="Arial"/>
          <w:sz w:val="22"/>
          <w:szCs w:val="22"/>
        </w:rPr>
        <w:t xml:space="preserve"> Group</w:t>
      </w:r>
      <w:r w:rsidR="005B39BE">
        <w:rPr>
          <w:rFonts w:cs="Arial"/>
          <w:sz w:val="22"/>
          <w:szCs w:val="22"/>
        </w:rPr>
        <w:t>’</w:t>
      </w:r>
      <w:r>
        <w:rPr>
          <w:rFonts w:cs="Arial"/>
          <w:sz w:val="22"/>
          <w:szCs w:val="22"/>
        </w:rPr>
        <w:t xml:space="preserve">s version of HAPS is still HAPS.  </w:t>
      </w:r>
      <w:proofErr w:type="spellStart"/>
      <w:r w:rsidR="00B952F7">
        <w:rPr>
          <w:rFonts w:cs="Arial"/>
          <w:sz w:val="22"/>
          <w:szCs w:val="22"/>
        </w:rPr>
        <w:t>Elefante</w:t>
      </w:r>
      <w:proofErr w:type="spellEnd"/>
      <w:r w:rsidR="00B952F7">
        <w:rPr>
          <w:rFonts w:cs="Arial"/>
          <w:sz w:val="22"/>
          <w:szCs w:val="22"/>
        </w:rPr>
        <w:t xml:space="preserve"> Group seeks to use the fixed service spectrum that is being considered for HAPS.  </w:t>
      </w:r>
      <w:r w:rsidR="005B39BE">
        <w:rPr>
          <w:rFonts w:cs="Arial"/>
          <w:sz w:val="22"/>
          <w:szCs w:val="22"/>
        </w:rPr>
        <w:t xml:space="preserve">A </w:t>
      </w:r>
      <w:r w:rsidR="00672F1D">
        <w:rPr>
          <w:rFonts w:cs="Arial"/>
          <w:sz w:val="22"/>
          <w:szCs w:val="22"/>
        </w:rPr>
        <w:t xml:space="preserve">HAPS </w:t>
      </w:r>
      <w:r w:rsidR="005B39BE">
        <w:rPr>
          <w:rFonts w:cs="Arial"/>
          <w:sz w:val="22"/>
          <w:szCs w:val="22"/>
        </w:rPr>
        <w:t xml:space="preserve">platform at 19.8 km is visible </w:t>
      </w:r>
      <w:r w:rsidR="00F048AF">
        <w:rPr>
          <w:rFonts w:cs="Arial"/>
          <w:sz w:val="22"/>
          <w:szCs w:val="22"/>
        </w:rPr>
        <w:t>to an observer on the ground</w:t>
      </w:r>
      <w:r w:rsidR="005B39BE">
        <w:rPr>
          <w:rFonts w:cs="Arial"/>
          <w:sz w:val="22"/>
          <w:szCs w:val="22"/>
        </w:rPr>
        <w:t xml:space="preserve"> 502 km </w:t>
      </w:r>
      <w:r w:rsidR="00F048AF">
        <w:rPr>
          <w:rFonts w:cs="Arial"/>
          <w:sz w:val="22"/>
          <w:szCs w:val="22"/>
        </w:rPr>
        <w:t xml:space="preserve">distant </w:t>
      </w:r>
      <w:r w:rsidR="005B39BE">
        <w:rPr>
          <w:rFonts w:cs="Arial"/>
          <w:sz w:val="22"/>
          <w:szCs w:val="22"/>
        </w:rPr>
        <w:t>whereas one at 20 km is visible for 506 km.</w:t>
      </w:r>
      <w:r w:rsidR="00F048AF">
        <w:rPr>
          <w:rFonts w:cs="Arial"/>
          <w:sz w:val="22"/>
          <w:szCs w:val="22"/>
        </w:rPr>
        <w:t xml:space="preserve"> </w:t>
      </w:r>
      <w:r>
        <w:rPr>
          <w:rFonts w:cs="Arial"/>
          <w:sz w:val="22"/>
          <w:szCs w:val="22"/>
        </w:rPr>
        <w:t xml:space="preserve">The focus on operating </w:t>
      </w:r>
      <w:r w:rsidR="00C93022">
        <w:rPr>
          <w:rFonts w:cs="Arial"/>
          <w:sz w:val="22"/>
          <w:szCs w:val="22"/>
        </w:rPr>
        <w:t>a</w:t>
      </w:r>
      <w:r w:rsidR="00B82E6C">
        <w:rPr>
          <w:rFonts w:cs="Arial"/>
          <w:sz w:val="22"/>
          <w:szCs w:val="22"/>
        </w:rPr>
        <w:t xml:space="preserve">t </w:t>
      </w:r>
      <w:r w:rsidR="00BC19C5">
        <w:rPr>
          <w:rFonts w:cs="Arial"/>
          <w:sz w:val="22"/>
          <w:szCs w:val="22"/>
        </w:rPr>
        <w:t>19.8 km,</w:t>
      </w:r>
      <w:r>
        <w:rPr>
          <w:rFonts w:cs="Arial"/>
          <w:sz w:val="22"/>
          <w:szCs w:val="22"/>
        </w:rPr>
        <w:t xml:space="preserve"> </w:t>
      </w:r>
      <w:r w:rsidR="000C7853">
        <w:rPr>
          <w:rFonts w:cs="Arial"/>
          <w:sz w:val="22"/>
          <w:szCs w:val="22"/>
        </w:rPr>
        <w:t>a mere 0.2</w:t>
      </w:r>
      <w:r>
        <w:rPr>
          <w:rFonts w:cs="Arial"/>
          <w:sz w:val="22"/>
          <w:szCs w:val="22"/>
        </w:rPr>
        <w:t xml:space="preserve"> km below the range given in</w:t>
      </w:r>
      <w:r w:rsidR="00E9015F">
        <w:rPr>
          <w:rFonts w:cs="Arial"/>
          <w:sz w:val="22"/>
          <w:szCs w:val="22"/>
        </w:rPr>
        <w:t xml:space="preserve"> the</w:t>
      </w:r>
      <w:r w:rsidR="005378F4">
        <w:rPr>
          <w:rFonts w:cs="Arial"/>
          <w:sz w:val="22"/>
          <w:szCs w:val="22"/>
        </w:rPr>
        <w:t xml:space="preserve"> </w:t>
      </w:r>
      <w:r>
        <w:rPr>
          <w:rFonts w:cs="Arial"/>
          <w:sz w:val="22"/>
          <w:szCs w:val="22"/>
        </w:rPr>
        <w:t xml:space="preserve">ITU-R definition </w:t>
      </w:r>
      <w:r w:rsidR="005B39BE">
        <w:rPr>
          <w:rFonts w:cs="Arial"/>
          <w:sz w:val="22"/>
          <w:szCs w:val="22"/>
        </w:rPr>
        <w:t>(</w:t>
      </w:r>
      <w:r w:rsidR="00E9015F">
        <w:rPr>
          <w:rFonts w:cs="Arial"/>
          <w:sz w:val="22"/>
          <w:szCs w:val="22"/>
        </w:rPr>
        <w:t>20 – 50 km in Article No. 1.66A</w:t>
      </w:r>
      <w:r w:rsidR="005B39BE">
        <w:rPr>
          <w:rFonts w:cs="Arial"/>
          <w:sz w:val="22"/>
          <w:szCs w:val="22"/>
        </w:rPr>
        <w:t>)</w:t>
      </w:r>
      <w:r w:rsidR="00E9015F">
        <w:rPr>
          <w:rFonts w:cs="Arial"/>
          <w:sz w:val="22"/>
          <w:szCs w:val="22"/>
        </w:rPr>
        <w:t xml:space="preserve"> is </w:t>
      </w:r>
      <w:r w:rsidR="00B952F7">
        <w:rPr>
          <w:rFonts w:cs="Arial"/>
          <w:sz w:val="22"/>
          <w:szCs w:val="22"/>
        </w:rPr>
        <w:t xml:space="preserve">at odds with </w:t>
      </w:r>
      <w:r w:rsidR="00672F1D">
        <w:rPr>
          <w:rFonts w:cs="Arial"/>
          <w:sz w:val="22"/>
          <w:szCs w:val="22"/>
        </w:rPr>
        <w:t>other</w:t>
      </w:r>
      <w:r w:rsidR="00E9015F">
        <w:rPr>
          <w:rFonts w:cs="Arial"/>
          <w:sz w:val="22"/>
          <w:szCs w:val="22"/>
        </w:rPr>
        <w:t xml:space="preserve"> elements of </w:t>
      </w:r>
      <w:proofErr w:type="spellStart"/>
      <w:r w:rsidR="00E9015F">
        <w:rPr>
          <w:rFonts w:cs="Arial"/>
          <w:sz w:val="22"/>
          <w:szCs w:val="22"/>
        </w:rPr>
        <w:t>Elefante</w:t>
      </w:r>
      <w:proofErr w:type="spellEnd"/>
      <w:r w:rsidR="00E9015F">
        <w:rPr>
          <w:rFonts w:cs="Arial"/>
          <w:sz w:val="22"/>
          <w:szCs w:val="22"/>
        </w:rPr>
        <w:t xml:space="preserve"> Group’s presenta</w:t>
      </w:r>
      <w:r w:rsidR="005B39BE">
        <w:rPr>
          <w:rFonts w:cs="Arial"/>
          <w:sz w:val="22"/>
          <w:szCs w:val="22"/>
        </w:rPr>
        <w:t>tion</w:t>
      </w:r>
      <w:r w:rsidR="00B952F7">
        <w:rPr>
          <w:rFonts w:cs="Arial"/>
          <w:sz w:val="22"/>
          <w:szCs w:val="22"/>
        </w:rPr>
        <w:t>s</w:t>
      </w:r>
      <w:r w:rsidR="005B39BE">
        <w:rPr>
          <w:rFonts w:cs="Arial"/>
          <w:sz w:val="22"/>
          <w:szCs w:val="22"/>
        </w:rPr>
        <w:t xml:space="preserve">.  </w:t>
      </w:r>
      <w:r w:rsidR="00573D2E">
        <w:rPr>
          <w:rFonts w:cs="Arial"/>
          <w:sz w:val="22"/>
          <w:szCs w:val="22"/>
        </w:rPr>
        <w:t xml:space="preserve">The title to Figure 6 in </w:t>
      </w:r>
      <w:proofErr w:type="spellStart"/>
      <w:r w:rsidR="00F1587C">
        <w:rPr>
          <w:rFonts w:cs="Arial"/>
          <w:sz w:val="22"/>
          <w:szCs w:val="22"/>
        </w:rPr>
        <w:t>Elefante’s</w:t>
      </w:r>
      <w:proofErr w:type="spellEnd"/>
      <w:r w:rsidR="00F1587C">
        <w:rPr>
          <w:rFonts w:cs="Arial"/>
          <w:sz w:val="22"/>
          <w:szCs w:val="22"/>
        </w:rPr>
        <w:t xml:space="preserve"> </w:t>
      </w:r>
      <w:r w:rsidR="00573D2E">
        <w:rPr>
          <w:rFonts w:cs="Arial"/>
          <w:sz w:val="22"/>
          <w:szCs w:val="22"/>
        </w:rPr>
        <w:t xml:space="preserve">Appendix M describing the results of the dynamic compatibility calculation </w:t>
      </w:r>
      <w:r w:rsidR="00C93022">
        <w:rPr>
          <w:rFonts w:cs="Arial"/>
          <w:sz w:val="22"/>
          <w:szCs w:val="22"/>
        </w:rPr>
        <w:t>with radio astronomy notes a</w:t>
      </w:r>
      <w:r w:rsidR="00573D2E">
        <w:rPr>
          <w:rFonts w:cs="Arial"/>
          <w:sz w:val="22"/>
          <w:szCs w:val="22"/>
        </w:rPr>
        <w:t xml:space="preserve"> platform height of 21.3 km. </w:t>
      </w:r>
      <w:r w:rsidR="005B39BE">
        <w:rPr>
          <w:rFonts w:cs="Arial"/>
          <w:sz w:val="22"/>
          <w:szCs w:val="22"/>
        </w:rPr>
        <w:t xml:space="preserve">The systems with which </w:t>
      </w:r>
      <w:proofErr w:type="spellStart"/>
      <w:r w:rsidR="005B39BE">
        <w:rPr>
          <w:rFonts w:cs="Arial"/>
          <w:sz w:val="22"/>
          <w:szCs w:val="22"/>
        </w:rPr>
        <w:t>Elefante</w:t>
      </w:r>
      <w:proofErr w:type="spellEnd"/>
      <w:r w:rsidR="005B39BE">
        <w:rPr>
          <w:rFonts w:cs="Arial"/>
          <w:sz w:val="22"/>
          <w:szCs w:val="22"/>
        </w:rPr>
        <w:t xml:space="preserve"> Group</w:t>
      </w:r>
      <w:r w:rsidR="00E9015F">
        <w:rPr>
          <w:rFonts w:cs="Arial"/>
          <w:sz w:val="22"/>
          <w:szCs w:val="22"/>
        </w:rPr>
        <w:t xml:space="preserve"> compare</w:t>
      </w:r>
      <w:r w:rsidR="005B39BE">
        <w:rPr>
          <w:rFonts w:cs="Arial"/>
          <w:sz w:val="22"/>
          <w:szCs w:val="22"/>
        </w:rPr>
        <w:t>s its system (Section E</w:t>
      </w:r>
      <w:r w:rsidR="00F048AF">
        <w:rPr>
          <w:rFonts w:cs="Arial"/>
          <w:sz w:val="22"/>
          <w:szCs w:val="22"/>
        </w:rPr>
        <w:t xml:space="preserve"> of its petition</w:t>
      </w:r>
      <w:r w:rsidR="005B39BE">
        <w:rPr>
          <w:rFonts w:cs="Arial"/>
          <w:sz w:val="22"/>
          <w:szCs w:val="22"/>
        </w:rPr>
        <w:t xml:space="preserve">) </w:t>
      </w:r>
      <w:r w:rsidR="00E9015F">
        <w:rPr>
          <w:rFonts w:cs="Arial"/>
          <w:sz w:val="22"/>
          <w:szCs w:val="22"/>
        </w:rPr>
        <w:t>and which</w:t>
      </w:r>
      <w:r w:rsidR="005B39BE">
        <w:rPr>
          <w:rFonts w:cs="Arial"/>
          <w:sz w:val="22"/>
          <w:szCs w:val="22"/>
        </w:rPr>
        <w:t xml:space="preserve"> it describes </w:t>
      </w:r>
      <w:r w:rsidR="00672F1D">
        <w:rPr>
          <w:rFonts w:cs="Arial"/>
          <w:sz w:val="22"/>
          <w:szCs w:val="22"/>
        </w:rPr>
        <w:t xml:space="preserve">as operating at comparable </w:t>
      </w:r>
      <w:r w:rsidR="00DD6EEE">
        <w:rPr>
          <w:rFonts w:cs="Arial"/>
          <w:sz w:val="22"/>
          <w:szCs w:val="22"/>
        </w:rPr>
        <w:t>altitude</w:t>
      </w:r>
      <w:r w:rsidR="00672F1D">
        <w:rPr>
          <w:rFonts w:cs="Arial"/>
          <w:sz w:val="22"/>
          <w:szCs w:val="22"/>
        </w:rPr>
        <w:t>s</w:t>
      </w:r>
      <w:r w:rsidR="005B39BE">
        <w:rPr>
          <w:rFonts w:cs="Arial"/>
          <w:sz w:val="22"/>
          <w:szCs w:val="22"/>
        </w:rPr>
        <w:t>, are self-described HAPS systems whose characteristics are among those that are being used for compatibility and sharing studies at ITU-R in the context of</w:t>
      </w:r>
      <w:r w:rsidR="00573D2E">
        <w:rPr>
          <w:rFonts w:cs="Arial"/>
          <w:sz w:val="22"/>
          <w:szCs w:val="22"/>
        </w:rPr>
        <w:t xml:space="preserve"> </w:t>
      </w:r>
      <w:r w:rsidR="00672F1D">
        <w:rPr>
          <w:rFonts w:cs="Arial"/>
          <w:sz w:val="22"/>
          <w:szCs w:val="22"/>
        </w:rPr>
        <w:lastRenderedPageBreak/>
        <w:t xml:space="preserve">WRC-19 </w:t>
      </w:r>
      <w:r w:rsidR="00573D2E">
        <w:rPr>
          <w:rFonts w:cs="Arial"/>
          <w:sz w:val="22"/>
          <w:szCs w:val="22"/>
        </w:rPr>
        <w:t>AI 1.14 (</w:t>
      </w:r>
      <w:r w:rsidR="005B39BE">
        <w:rPr>
          <w:rFonts w:cs="Arial"/>
          <w:sz w:val="22"/>
          <w:szCs w:val="22"/>
        </w:rPr>
        <w:t>Annex 14 to</w:t>
      </w:r>
      <w:r w:rsidR="00573D2E">
        <w:rPr>
          <w:rFonts w:cs="Arial"/>
          <w:sz w:val="22"/>
          <w:szCs w:val="22"/>
        </w:rPr>
        <w:t xml:space="preserve"> the WP 5C Chairman’s Report 5C/53</w:t>
      </w:r>
      <w:r w:rsidR="00835968">
        <w:rPr>
          <w:rFonts w:cs="Arial"/>
          <w:sz w:val="22"/>
          <w:szCs w:val="22"/>
        </w:rPr>
        <w:t>1</w:t>
      </w:r>
      <w:r w:rsidR="00573D2E">
        <w:rPr>
          <w:rFonts w:cs="Arial"/>
          <w:sz w:val="22"/>
          <w:szCs w:val="22"/>
        </w:rPr>
        <w:t xml:space="preserve"> on the ITU-R website; requires TIES access)</w:t>
      </w:r>
      <w:r w:rsidR="000127D1">
        <w:rPr>
          <w:rFonts w:cs="Arial"/>
          <w:sz w:val="22"/>
          <w:szCs w:val="22"/>
        </w:rPr>
        <w:t xml:space="preserve"> with operating altitudes</w:t>
      </w:r>
      <w:r w:rsidR="003D4507">
        <w:rPr>
          <w:rFonts w:cs="Arial"/>
          <w:sz w:val="22"/>
          <w:szCs w:val="22"/>
        </w:rPr>
        <w:t xml:space="preserve"> given as 20 km</w:t>
      </w:r>
      <w:r w:rsidR="000541C5">
        <w:rPr>
          <w:rFonts w:cs="Arial"/>
          <w:sz w:val="22"/>
          <w:szCs w:val="22"/>
        </w:rPr>
        <w:t>:</w:t>
      </w:r>
    </w:p>
    <w:p w14:paraId="1BB5D8B3" w14:textId="77777777" w:rsidR="005B39BE" w:rsidRDefault="005B39BE" w:rsidP="00AA0F79">
      <w:pPr>
        <w:pStyle w:val="p1"/>
        <w:rPr>
          <w:rFonts w:cs="Arial"/>
          <w:sz w:val="22"/>
          <w:szCs w:val="22"/>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532"/>
        <w:gridCol w:w="1175"/>
        <w:gridCol w:w="947"/>
        <w:gridCol w:w="5706"/>
      </w:tblGrid>
      <w:tr w:rsidR="005B39BE" w:rsidRPr="005B39BE" w14:paraId="064DC7FF" w14:textId="77777777" w:rsidTr="005B39BE">
        <w:trPr>
          <w:tblCellSpacing w:w="15" w:type="dxa"/>
        </w:trPr>
        <w:tc>
          <w:tcPr>
            <w:tcW w:w="1950" w:type="dxa"/>
            <w:shd w:val="clear" w:color="auto" w:fill="FFFF80"/>
            <w:noWrap/>
            <w:vAlign w:val="center"/>
            <w:hideMark/>
          </w:tcPr>
          <w:p w14:paraId="6D1374E0" w14:textId="216EFACF" w:rsidR="005B39BE" w:rsidRPr="005B39BE" w:rsidRDefault="008137F5" w:rsidP="005B39BE">
            <w:pPr>
              <w:spacing w:before="100" w:beforeAutospacing="1" w:after="100" w:afterAutospacing="1"/>
            </w:pPr>
            <w:hyperlink r:id="rId8" w:tgtFrame="_blank" w:history="1">
              <w:r w:rsidR="005B39BE" w:rsidRPr="005B39BE">
                <w:rPr>
                  <w:color w:val="0000FF"/>
                </w:rPr>
                <w:fldChar w:fldCharType="begin"/>
              </w:r>
              <w:r w:rsidR="005B39BE" w:rsidRPr="005B39BE">
                <w:rPr>
                  <w:color w:val="0000FF"/>
                </w:rPr>
                <w:instrText xml:space="preserve"> INCLUDEPICTURE "https://www.itu.int/res/templates/dms/images/msw12.gif" \* MERGEFORMATINET </w:instrText>
              </w:r>
              <w:r w:rsidR="005B39BE" w:rsidRPr="005B39BE">
                <w:rPr>
                  <w:color w:val="0000FF"/>
                </w:rPr>
                <w:fldChar w:fldCharType="separate"/>
              </w:r>
              <w:r w:rsidR="005B39BE" w:rsidRPr="005B39BE">
                <w:rPr>
                  <w:noProof/>
                  <w:color w:val="0000FF"/>
                </w:rPr>
                <w:drawing>
                  <wp:inline distT="0" distB="0" distL="0" distR="0" wp14:anchorId="674F6CF2" wp14:editId="46C8D3B7">
                    <wp:extent cx="200660" cy="200660"/>
                    <wp:effectExtent l="0" t="0" r="2540" b="2540"/>
                    <wp:docPr id="3" name="Picture 3" descr="https://www.itu.int/res/templates/dms/images/msw12.gif">
                      <a:hlinkClick xmlns:a="http://schemas.openxmlformats.org/drawingml/2006/main" r:id="rId8"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www.itu.int/res/templates/dms/images/msw12.gif">
                              <a:hlinkClick r:id="rId8" tgtFrame="&quot;_blank&quot;"/>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00660" cy="200660"/>
                            </a:xfrm>
                            <a:prstGeom prst="rect">
                              <a:avLst/>
                            </a:prstGeom>
                            <a:noFill/>
                            <a:ln>
                              <a:noFill/>
                            </a:ln>
                          </pic:spPr>
                        </pic:pic>
                      </a:graphicData>
                    </a:graphic>
                  </wp:inline>
                </w:drawing>
              </w:r>
              <w:r w:rsidR="005B39BE" w:rsidRPr="005B39BE">
                <w:rPr>
                  <w:color w:val="0000FF"/>
                </w:rPr>
                <w:fldChar w:fldCharType="end"/>
              </w:r>
              <w:r w:rsidR="005B39BE" w:rsidRPr="005B39BE">
                <w:rPr>
                  <w:b/>
                  <w:bCs/>
                  <w:color w:val="0000FF"/>
                  <w:sz w:val="15"/>
                  <w:szCs w:val="15"/>
                  <w:u w:val="single"/>
                </w:rPr>
                <w:t xml:space="preserve">Word 2010 </w:t>
              </w:r>
            </w:hyperlink>
            <w:r w:rsidR="005B39BE" w:rsidRPr="005B39BE">
              <w:t xml:space="preserve">  </w:t>
            </w:r>
          </w:p>
        </w:tc>
        <w:tc>
          <w:tcPr>
            <w:tcW w:w="1500" w:type="dxa"/>
            <w:shd w:val="clear" w:color="auto" w:fill="FFFFCC"/>
            <w:noWrap/>
            <w:vAlign w:val="center"/>
            <w:hideMark/>
          </w:tcPr>
          <w:p w14:paraId="1E77A3F9" w14:textId="77777777" w:rsidR="005B39BE" w:rsidRPr="005B39BE" w:rsidRDefault="005B39BE" w:rsidP="005B39BE">
            <w:pPr>
              <w:jc w:val="right"/>
            </w:pPr>
            <w:r w:rsidRPr="005B39BE">
              <w:rPr>
                <w:b/>
                <w:bCs/>
                <w:color w:val="000080"/>
                <w:sz w:val="15"/>
                <w:szCs w:val="15"/>
              </w:rPr>
              <w:t xml:space="preserve">3159484 bytes </w:t>
            </w:r>
          </w:p>
        </w:tc>
        <w:tc>
          <w:tcPr>
            <w:tcW w:w="1200" w:type="dxa"/>
            <w:shd w:val="clear" w:color="auto" w:fill="FFFFCC"/>
            <w:noWrap/>
            <w:vAlign w:val="center"/>
            <w:hideMark/>
          </w:tcPr>
          <w:p w14:paraId="6EDA3ED4" w14:textId="77777777" w:rsidR="005B39BE" w:rsidRPr="005B39BE" w:rsidRDefault="005B39BE" w:rsidP="005B39BE">
            <w:pPr>
              <w:jc w:val="center"/>
            </w:pPr>
            <w:r w:rsidRPr="005B39BE">
              <w:rPr>
                <w:b/>
                <w:bCs/>
                <w:color w:val="000080"/>
                <w:sz w:val="15"/>
                <w:szCs w:val="15"/>
              </w:rPr>
              <w:t>2018-06-06</w:t>
            </w:r>
          </w:p>
        </w:tc>
        <w:tc>
          <w:tcPr>
            <w:tcW w:w="0" w:type="auto"/>
            <w:shd w:val="clear" w:color="auto" w:fill="FFFFCC"/>
            <w:noWrap/>
            <w:vAlign w:val="center"/>
            <w:hideMark/>
          </w:tcPr>
          <w:p w14:paraId="45A92DC5" w14:textId="77777777" w:rsidR="005B39BE" w:rsidRPr="005B39BE" w:rsidRDefault="005B39BE" w:rsidP="005B39BE">
            <w:r w:rsidRPr="005B39BE">
              <w:rPr>
                <w:b/>
                <w:bCs/>
                <w:color w:val="000080"/>
                <w:sz w:val="15"/>
                <w:szCs w:val="15"/>
              </w:rPr>
              <w:t>[531] Annex 14</w:t>
            </w:r>
            <w:r w:rsidRPr="005B39BE">
              <w:rPr>
                <w:color w:val="000080"/>
                <w:sz w:val="15"/>
                <w:szCs w:val="15"/>
              </w:rPr>
              <w:t xml:space="preserve"> - Preliminary draft new Recommendation/Report ITU-R F.[BROADBAND HAPS CHARACTERISTICS]</w:t>
            </w:r>
          </w:p>
        </w:tc>
      </w:tr>
    </w:tbl>
    <w:p w14:paraId="0A81A71D" w14:textId="2110C72D" w:rsidR="00AA0F79" w:rsidRDefault="005B39BE" w:rsidP="00AA0F79">
      <w:pPr>
        <w:pStyle w:val="p1"/>
        <w:rPr>
          <w:rFonts w:cs="Arial"/>
          <w:sz w:val="22"/>
          <w:szCs w:val="22"/>
        </w:rPr>
      </w:pPr>
      <w:r>
        <w:rPr>
          <w:rFonts w:cs="Arial"/>
          <w:sz w:val="22"/>
          <w:szCs w:val="22"/>
        </w:rPr>
        <w:t xml:space="preserve"> </w:t>
      </w:r>
      <w:r w:rsidR="00E9015F">
        <w:rPr>
          <w:rFonts w:cs="Arial"/>
          <w:sz w:val="22"/>
          <w:szCs w:val="22"/>
        </w:rPr>
        <w:t xml:space="preserve"> </w:t>
      </w:r>
    </w:p>
    <w:p w14:paraId="06726F59" w14:textId="4E1596D5" w:rsidR="00345D83" w:rsidRDefault="00573D2E" w:rsidP="00573D2E">
      <w:pPr>
        <w:pStyle w:val="p1"/>
        <w:rPr>
          <w:rFonts w:cs="Arial"/>
          <w:sz w:val="22"/>
          <w:szCs w:val="22"/>
        </w:rPr>
      </w:pPr>
      <w:proofErr w:type="spellStart"/>
      <w:r>
        <w:rPr>
          <w:rFonts w:cs="Arial"/>
          <w:sz w:val="22"/>
          <w:szCs w:val="22"/>
        </w:rPr>
        <w:t>Elefante</w:t>
      </w:r>
      <w:proofErr w:type="spellEnd"/>
      <w:r>
        <w:rPr>
          <w:rFonts w:cs="Arial"/>
          <w:sz w:val="22"/>
          <w:szCs w:val="22"/>
        </w:rPr>
        <w:t xml:space="preserve"> Group’s </w:t>
      </w:r>
      <w:r w:rsidR="00C93022">
        <w:rPr>
          <w:rFonts w:cs="Arial"/>
          <w:sz w:val="22"/>
          <w:szCs w:val="22"/>
        </w:rPr>
        <w:t xml:space="preserve">own </w:t>
      </w:r>
      <w:r w:rsidR="002D14B4">
        <w:rPr>
          <w:rFonts w:cs="Arial"/>
          <w:sz w:val="22"/>
          <w:szCs w:val="22"/>
        </w:rPr>
        <w:t>system will operate in the range 18-26</w:t>
      </w:r>
      <w:r>
        <w:rPr>
          <w:rFonts w:cs="Arial"/>
          <w:sz w:val="22"/>
          <w:szCs w:val="22"/>
        </w:rPr>
        <w:t xml:space="preserve"> km</w:t>
      </w:r>
      <w:r w:rsidR="003C25AA">
        <w:rPr>
          <w:rFonts w:cs="Arial"/>
          <w:sz w:val="22"/>
          <w:szCs w:val="22"/>
        </w:rPr>
        <w:t xml:space="preserve"> (p. 80 of its</w:t>
      </w:r>
      <w:r w:rsidR="002D14B4">
        <w:rPr>
          <w:rFonts w:cs="Arial"/>
          <w:sz w:val="22"/>
          <w:szCs w:val="22"/>
        </w:rPr>
        <w:t xml:space="preserve"> petition)</w:t>
      </w:r>
      <w:r>
        <w:rPr>
          <w:rFonts w:cs="Arial"/>
          <w:sz w:val="22"/>
          <w:szCs w:val="22"/>
        </w:rPr>
        <w:t xml:space="preserve">. </w:t>
      </w:r>
      <w:r w:rsidR="002D14B4">
        <w:rPr>
          <w:rFonts w:cs="Arial"/>
          <w:sz w:val="22"/>
          <w:szCs w:val="22"/>
        </w:rPr>
        <w:t xml:space="preserve"> This</w:t>
      </w:r>
      <w:r w:rsidR="00E46C4B">
        <w:rPr>
          <w:rFonts w:cs="Arial"/>
          <w:sz w:val="22"/>
          <w:szCs w:val="22"/>
        </w:rPr>
        <w:t xml:space="preserve"> is </w:t>
      </w:r>
      <w:r>
        <w:rPr>
          <w:rFonts w:cs="Arial"/>
          <w:sz w:val="22"/>
          <w:szCs w:val="22"/>
        </w:rPr>
        <w:t xml:space="preserve">HAPS.  The argument in favor of another identification is </w:t>
      </w:r>
      <w:r w:rsidR="00BC19C5">
        <w:rPr>
          <w:rFonts w:cs="Arial"/>
          <w:sz w:val="22"/>
          <w:szCs w:val="22"/>
        </w:rPr>
        <w:t xml:space="preserve">… </w:t>
      </w:r>
      <w:r>
        <w:rPr>
          <w:rFonts w:cs="Arial"/>
          <w:sz w:val="22"/>
          <w:szCs w:val="22"/>
        </w:rPr>
        <w:t>HAP</w:t>
      </w:r>
      <w:r w:rsidR="00E46C4B">
        <w:rPr>
          <w:rFonts w:cs="Arial"/>
          <w:sz w:val="22"/>
          <w:szCs w:val="22"/>
        </w:rPr>
        <w:t>-</w:t>
      </w:r>
      <w:r>
        <w:rPr>
          <w:rFonts w:cs="Arial"/>
          <w:sz w:val="22"/>
          <w:szCs w:val="22"/>
        </w:rPr>
        <w:t>less.</w:t>
      </w:r>
    </w:p>
    <w:p w14:paraId="6F265F34" w14:textId="77777777" w:rsidR="00345D83" w:rsidRDefault="00345D83" w:rsidP="00345D83">
      <w:pPr>
        <w:pStyle w:val="p1"/>
        <w:ind w:left="1080"/>
        <w:rPr>
          <w:rFonts w:cs="Arial"/>
          <w:sz w:val="22"/>
          <w:szCs w:val="22"/>
        </w:rPr>
      </w:pPr>
    </w:p>
    <w:p w14:paraId="3A78955E" w14:textId="3D10BEA1" w:rsidR="00345D83" w:rsidRPr="007000F4" w:rsidRDefault="00345D83" w:rsidP="00345D83">
      <w:pPr>
        <w:pStyle w:val="p1"/>
        <w:numPr>
          <w:ilvl w:val="0"/>
          <w:numId w:val="1"/>
        </w:numPr>
        <w:rPr>
          <w:rFonts w:cs="Arial"/>
          <w:b/>
          <w:sz w:val="22"/>
          <w:szCs w:val="22"/>
        </w:rPr>
      </w:pPr>
      <w:r w:rsidRPr="007000F4">
        <w:rPr>
          <w:rFonts w:cs="Arial"/>
          <w:b/>
          <w:sz w:val="22"/>
          <w:szCs w:val="22"/>
        </w:rPr>
        <w:t>Compatibility with radio astronomy service operations</w:t>
      </w:r>
      <w:r w:rsidR="00BC19C5">
        <w:rPr>
          <w:rFonts w:cs="Arial"/>
          <w:b/>
          <w:sz w:val="22"/>
          <w:szCs w:val="22"/>
        </w:rPr>
        <w:t xml:space="preserve"> in the aggregate</w:t>
      </w:r>
    </w:p>
    <w:p w14:paraId="4119AD29" w14:textId="77777777" w:rsidR="000A21F6" w:rsidRDefault="000A21F6" w:rsidP="00EC2DFB">
      <w:pPr>
        <w:pStyle w:val="p1"/>
        <w:rPr>
          <w:rFonts w:cs="Arial"/>
          <w:sz w:val="22"/>
          <w:szCs w:val="22"/>
        </w:rPr>
      </w:pPr>
    </w:p>
    <w:p w14:paraId="4B39C8A3" w14:textId="3B4B0839" w:rsidR="00BC19C5" w:rsidRDefault="00BF0789" w:rsidP="00EC2DFB">
      <w:pPr>
        <w:pStyle w:val="p1"/>
        <w:rPr>
          <w:rFonts w:cs="Arial"/>
          <w:sz w:val="22"/>
          <w:szCs w:val="22"/>
        </w:rPr>
      </w:pPr>
      <w:r>
        <w:rPr>
          <w:rFonts w:cs="Arial"/>
          <w:sz w:val="22"/>
          <w:szCs w:val="22"/>
        </w:rPr>
        <w:t>Lockheed Martin has done a</w:t>
      </w:r>
      <w:r w:rsidR="000A21F6">
        <w:rPr>
          <w:rFonts w:cs="Arial"/>
          <w:sz w:val="22"/>
          <w:szCs w:val="22"/>
        </w:rPr>
        <w:t xml:space="preserve"> credi</w:t>
      </w:r>
      <w:r w:rsidR="00BC19C5">
        <w:rPr>
          <w:rFonts w:cs="Arial"/>
          <w:sz w:val="22"/>
          <w:szCs w:val="22"/>
        </w:rPr>
        <w:t>ble</w:t>
      </w:r>
      <w:r>
        <w:rPr>
          <w:rFonts w:cs="Arial"/>
          <w:sz w:val="22"/>
          <w:szCs w:val="22"/>
        </w:rPr>
        <w:t xml:space="preserve"> job of studying the issue</w:t>
      </w:r>
      <w:r w:rsidR="000A21F6">
        <w:rPr>
          <w:rFonts w:cs="Arial"/>
          <w:sz w:val="22"/>
          <w:szCs w:val="22"/>
        </w:rPr>
        <w:t xml:space="preserve"> of compatibility with radio astronomy operations</w:t>
      </w:r>
      <w:r>
        <w:rPr>
          <w:rFonts w:cs="Arial"/>
          <w:sz w:val="22"/>
          <w:szCs w:val="22"/>
        </w:rPr>
        <w:t xml:space="preserve"> for </w:t>
      </w:r>
      <w:r w:rsidR="00613A8D">
        <w:rPr>
          <w:rFonts w:cs="Arial"/>
          <w:sz w:val="22"/>
          <w:szCs w:val="22"/>
        </w:rPr>
        <w:t xml:space="preserve">the downlink transmissions of </w:t>
      </w:r>
      <w:r w:rsidR="00573D2E">
        <w:rPr>
          <w:rFonts w:cs="Arial"/>
          <w:sz w:val="22"/>
          <w:szCs w:val="22"/>
        </w:rPr>
        <w:t>a</w:t>
      </w:r>
      <w:r>
        <w:rPr>
          <w:rFonts w:cs="Arial"/>
          <w:sz w:val="22"/>
          <w:szCs w:val="22"/>
        </w:rPr>
        <w:t xml:space="preserve"> </w:t>
      </w:r>
      <w:r w:rsidR="00BC19C5">
        <w:rPr>
          <w:rFonts w:cs="Arial"/>
          <w:sz w:val="22"/>
          <w:szCs w:val="22"/>
        </w:rPr>
        <w:t xml:space="preserve">single </w:t>
      </w:r>
      <w:r>
        <w:rPr>
          <w:rFonts w:cs="Arial"/>
          <w:sz w:val="22"/>
          <w:szCs w:val="22"/>
        </w:rPr>
        <w:t>HAPS platform (Appendix M)</w:t>
      </w:r>
    </w:p>
    <w:p w14:paraId="72B38C0A" w14:textId="0D53B4C8" w:rsidR="00BC19C5" w:rsidRDefault="00BC19C5" w:rsidP="00EC2DFB">
      <w:pPr>
        <w:pStyle w:val="p1"/>
        <w:rPr>
          <w:rFonts w:cs="Arial"/>
          <w:sz w:val="22"/>
          <w:szCs w:val="22"/>
        </w:rPr>
      </w:pPr>
      <w:r>
        <w:rPr>
          <w:rFonts w:cs="Arial"/>
          <w:sz w:val="22"/>
          <w:szCs w:val="22"/>
        </w:rPr>
        <w:t>but platfor</w:t>
      </w:r>
      <w:r w:rsidR="00DD6EEE">
        <w:rPr>
          <w:rFonts w:cs="Arial"/>
          <w:sz w:val="22"/>
          <w:szCs w:val="22"/>
        </w:rPr>
        <w:t xml:space="preserve">ms over El Paso, Las Cruces, Socorro, </w:t>
      </w:r>
      <w:r>
        <w:rPr>
          <w:rFonts w:cs="Arial"/>
          <w:sz w:val="22"/>
          <w:szCs w:val="22"/>
        </w:rPr>
        <w:t xml:space="preserve">Albuquerque </w:t>
      </w:r>
      <w:r w:rsidR="00DF086F">
        <w:rPr>
          <w:rFonts w:cs="Arial"/>
          <w:sz w:val="22"/>
          <w:szCs w:val="22"/>
        </w:rPr>
        <w:t>etc</w:t>
      </w:r>
      <w:r>
        <w:rPr>
          <w:rFonts w:cs="Arial"/>
          <w:sz w:val="22"/>
          <w:szCs w:val="22"/>
        </w:rPr>
        <w:t xml:space="preserve">. would all be visible at the VLA site at the same time.  </w:t>
      </w:r>
      <w:r w:rsidR="00DF086F">
        <w:rPr>
          <w:rFonts w:cs="Arial"/>
          <w:sz w:val="22"/>
          <w:szCs w:val="22"/>
        </w:rPr>
        <w:t xml:space="preserve">With </w:t>
      </w:r>
      <w:r w:rsidR="00672F1D">
        <w:rPr>
          <w:rFonts w:cs="Arial"/>
          <w:sz w:val="22"/>
          <w:szCs w:val="22"/>
        </w:rPr>
        <w:t xml:space="preserve">HAPS platform </w:t>
      </w:r>
      <w:r w:rsidR="00DF086F">
        <w:rPr>
          <w:rFonts w:cs="Arial"/>
          <w:sz w:val="22"/>
          <w:szCs w:val="22"/>
        </w:rPr>
        <w:t>service radii of 50 – 70 km t</w:t>
      </w:r>
      <w:r>
        <w:rPr>
          <w:rFonts w:cs="Arial"/>
          <w:sz w:val="22"/>
          <w:szCs w:val="22"/>
        </w:rPr>
        <w:t xml:space="preserve">he </w:t>
      </w:r>
      <w:r w:rsidR="003C25AA">
        <w:rPr>
          <w:rFonts w:cs="Arial"/>
          <w:sz w:val="22"/>
          <w:szCs w:val="22"/>
        </w:rPr>
        <w:t xml:space="preserve">possible </w:t>
      </w:r>
      <w:r>
        <w:rPr>
          <w:rFonts w:cs="Arial"/>
          <w:sz w:val="22"/>
          <w:szCs w:val="22"/>
        </w:rPr>
        <w:t xml:space="preserve">number of simultaneously visible platforms is of order n ~ </w:t>
      </w:r>
      <w:r w:rsidR="003C25AA">
        <w:rPr>
          <w:rFonts w:cs="Arial"/>
          <w:sz w:val="22"/>
          <w:szCs w:val="22"/>
        </w:rPr>
        <w:t>(500/70)</w:t>
      </w:r>
      <w:r w:rsidR="003C25AA" w:rsidRPr="003C25AA">
        <w:rPr>
          <w:rFonts w:cs="Arial"/>
          <w:sz w:val="22"/>
          <w:szCs w:val="22"/>
          <w:vertAlign w:val="superscript"/>
        </w:rPr>
        <w:t>2</w:t>
      </w:r>
      <w:r w:rsidR="003C25AA">
        <w:rPr>
          <w:rFonts w:cs="Arial"/>
          <w:sz w:val="22"/>
          <w:szCs w:val="22"/>
        </w:rPr>
        <w:t xml:space="preserve"> to (500/50)</w:t>
      </w:r>
      <w:r w:rsidR="003C25AA" w:rsidRPr="003C25AA">
        <w:rPr>
          <w:rFonts w:cs="Arial"/>
          <w:sz w:val="22"/>
          <w:szCs w:val="22"/>
          <w:vertAlign w:val="superscript"/>
        </w:rPr>
        <w:t>2</w:t>
      </w:r>
      <w:r w:rsidR="0063646D">
        <w:rPr>
          <w:rFonts w:cs="Arial"/>
          <w:sz w:val="22"/>
          <w:szCs w:val="22"/>
        </w:rPr>
        <w:t xml:space="preserve"> ~</w:t>
      </w:r>
      <w:r w:rsidR="004B6788">
        <w:rPr>
          <w:rFonts w:cs="Arial"/>
          <w:sz w:val="22"/>
          <w:szCs w:val="22"/>
        </w:rPr>
        <w:t xml:space="preserve"> </w:t>
      </w:r>
      <w:r w:rsidR="003C25AA">
        <w:rPr>
          <w:rFonts w:cs="Arial"/>
          <w:sz w:val="22"/>
          <w:szCs w:val="22"/>
        </w:rPr>
        <w:t xml:space="preserve">50 </w:t>
      </w:r>
      <w:r w:rsidR="004B6788">
        <w:rPr>
          <w:rFonts w:cs="Arial"/>
          <w:sz w:val="22"/>
          <w:szCs w:val="22"/>
        </w:rPr>
        <w:t xml:space="preserve">to </w:t>
      </w:r>
      <w:r w:rsidR="003C25AA">
        <w:rPr>
          <w:rFonts w:cs="Arial"/>
          <w:sz w:val="22"/>
          <w:szCs w:val="22"/>
        </w:rPr>
        <w:t>100</w:t>
      </w:r>
      <w:r w:rsidR="00DF086F">
        <w:rPr>
          <w:rFonts w:cs="Arial"/>
          <w:sz w:val="22"/>
          <w:szCs w:val="22"/>
        </w:rPr>
        <w:t xml:space="preserve">, </w:t>
      </w:r>
      <w:r>
        <w:rPr>
          <w:rFonts w:cs="Arial"/>
          <w:sz w:val="22"/>
          <w:szCs w:val="22"/>
        </w:rPr>
        <w:t>and n = 81 is being used (see below) in studies at the ITU-R.</w:t>
      </w:r>
    </w:p>
    <w:p w14:paraId="5500CC24" w14:textId="73EF4A7B" w:rsidR="00BC19C5" w:rsidRDefault="00BC19C5" w:rsidP="00EC2DFB">
      <w:pPr>
        <w:pStyle w:val="p1"/>
        <w:rPr>
          <w:rFonts w:cs="Arial"/>
          <w:sz w:val="22"/>
          <w:szCs w:val="22"/>
        </w:rPr>
      </w:pPr>
    </w:p>
    <w:p w14:paraId="23B96DD3" w14:textId="0B6B2AE8" w:rsidR="00B952F7" w:rsidRDefault="003C25AA" w:rsidP="00EC2DFB">
      <w:pPr>
        <w:pStyle w:val="p1"/>
        <w:rPr>
          <w:rFonts w:cs="Arial"/>
          <w:sz w:val="22"/>
          <w:szCs w:val="22"/>
        </w:rPr>
      </w:pPr>
      <w:r>
        <w:rPr>
          <w:rFonts w:cs="Arial"/>
          <w:sz w:val="22"/>
          <w:szCs w:val="22"/>
        </w:rPr>
        <w:t>Lockheed Martin’s calculation,</w:t>
      </w:r>
      <w:r w:rsidR="00613A8D">
        <w:rPr>
          <w:rFonts w:cs="Arial"/>
          <w:sz w:val="22"/>
          <w:szCs w:val="22"/>
        </w:rPr>
        <w:t xml:space="preserve"> like many such, is not immediatel</w:t>
      </w:r>
      <w:r w:rsidR="00573D2E">
        <w:rPr>
          <w:rFonts w:cs="Arial"/>
          <w:sz w:val="22"/>
          <w:szCs w:val="22"/>
        </w:rPr>
        <w:t>y obvious in all its ramifications</w:t>
      </w:r>
      <w:r w:rsidR="00613A8D">
        <w:rPr>
          <w:rFonts w:cs="Arial"/>
          <w:sz w:val="22"/>
          <w:szCs w:val="22"/>
        </w:rPr>
        <w:t>.</w:t>
      </w:r>
      <w:r w:rsidR="00B952F7">
        <w:rPr>
          <w:rFonts w:cs="Arial"/>
          <w:sz w:val="22"/>
          <w:szCs w:val="22"/>
        </w:rPr>
        <w:t xml:space="preserve">  It is however easily checked</w:t>
      </w:r>
      <w:r>
        <w:rPr>
          <w:rFonts w:cs="Arial"/>
          <w:sz w:val="22"/>
          <w:szCs w:val="22"/>
        </w:rPr>
        <w:t xml:space="preserve"> in a way that elucidates the necessary elements of an aggregate analysis.  Data loss to radio astronomy is equivalent to sky blockage owing to the need on the part of the radio astronomy telescope to avoid pointing </w:t>
      </w:r>
      <w:r w:rsidR="0063646D">
        <w:rPr>
          <w:rFonts w:cs="Arial"/>
          <w:sz w:val="22"/>
          <w:szCs w:val="22"/>
        </w:rPr>
        <w:t xml:space="preserve">too </w:t>
      </w:r>
      <w:r>
        <w:rPr>
          <w:rFonts w:cs="Arial"/>
          <w:sz w:val="22"/>
          <w:szCs w:val="22"/>
        </w:rPr>
        <w:t>directly at a platform.</w:t>
      </w:r>
      <w:r w:rsidR="0063646D">
        <w:rPr>
          <w:rFonts w:cs="Arial"/>
          <w:sz w:val="22"/>
          <w:szCs w:val="22"/>
        </w:rPr>
        <w:t xml:space="preserve"> A zone of avoidance about each platform wil</w:t>
      </w:r>
      <w:r w:rsidR="00672F1D">
        <w:rPr>
          <w:rFonts w:cs="Arial"/>
          <w:sz w:val="22"/>
          <w:szCs w:val="22"/>
        </w:rPr>
        <w:t>l have to be programmed into each</w:t>
      </w:r>
      <w:r w:rsidR="0063646D">
        <w:rPr>
          <w:rFonts w:cs="Arial"/>
          <w:sz w:val="22"/>
          <w:szCs w:val="22"/>
        </w:rPr>
        <w:t xml:space="preserve"> telescope’</w:t>
      </w:r>
      <w:r w:rsidR="00672F1D">
        <w:rPr>
          <w:rFonts w:cs="Arial"/>
          <w:sz w:val="22"/>
          <w:szCs w:val="22"/>
        </w:rPr>
        <w:t>s operations as shown by the following argument:</w:t>
      </w:r>
    </w:p>
    <w:p w14:paraId="3209B3DB" w14:textId="77777777" w:rsidR="00B952F7" w:rsidRDefault="00B952F7" w:rsidP="00B952F7">
      <w:pPr>
        <w:pStyle w:val="p1"/>
        <w:rPr>
          <w:rFonts w:cs="Arial"/>
          <w:sz w:val="22"/>
          <w:szCs w:val="22"/>
        </w:rPr>
      </w:pPr>
    </w:p>
    <w:p w14:paraId="0D05F094" w14:textId="38581D64" w:rsidR="00E46C4B" w:rsidRDefault="00B952F7" w:rsidP="00B952F7">
      <w:pPr>
        <w:pStyle w:val="p1"/>
        <w:rPr>
          <w:rFonts w:cs="Arial"/>
          <w:sz w:val="22"/>
          <w:szCs w:val="22"/>
        </w:rPr>
      </w:pPr>
      <w:proofErr w:type="spellStart"/>
      <w:r>
        <w:rPr>
          <w:rFonts w:cs="Arial"/>
          <w:sz w:val="22"/>
          <w:szCs w:val="22"/>
        </w:rPr>
        <w:t>i</w:t>
      </w:r>
      <w:proofErr w:type="spellEnd"/>
      <w:r>
        <w:rPr>
          <w:rFonts w:cs="Arial"/>
          <w:sz w:val="22"/>
          <w:szCs w:val="22"/>
        </w:rPr>
        <w:t xml:space="preserve">) </w:t>
      </w:r>
      <w:proofErr w:type="spellStart"/>
      <w:r w:rsidR="00E46C4B">
        <w:rPr>
          <w:rFonts w:cs="Arial"/>
          <w:sz w:val="22"/>
          <w:szCs w:val="22"/>
        </w:rPr>
        <w:t>Elefante</w:t>
      </w:r>
      <w:proofErr w:type="spellEnd"/>
      <w:r w:rsidR="00E46C4B">
        <w:rPr>
          <w:rFonts w:cs="Arial"/>
          <w:sz w:val="22"/>
          <w:szCs w:val="22"/>
        </w:rPr>
        <w:t xml:space="preserve"> Group’s</w:t>
      </w:r>
      <w:r w:rsidR="000A21F6">
        <w:rPr>
          <w:rFonts w:cs="Arial"/>
          <w:sz w:val="22"/>
          <w:szCs w:val="22"/>
        </w:rPr>
        <w:t xml:space="preserve"> suggested </w:t>
      </w:r>
      <w:proofErr w:type="spellStart"/>
      <w:r w:rsidR="000A21F6">
        <w:rPr>
          <w:rFonts w:cs="Arial"/>
          <w:sz w:val="22"/>
          <w:szCs w:val="22"/>
        </w:rPr>
        <w:t>pfd</w:t>
      </w:r>
      <w:proofErr w:type="spellEnd"/>
      <w:r w:rsidR="000A21F6">
        <w:rPr>
          <w:rFonts w:cs="Arial"/>
          <w:sz w:val="22"/>
          <w:szCs w:val="22"/>
        </w:rPr>
        <w:t xml:space="preserve"> </w:t>
      </w:r>
      <w:r w:rsidR="00981046">
        <w:rPr>
          <w:rFonts w:cs="Arial"/>
          <w:sz w:val="22"/>
          <w:szCs w:val="22"/>
        </w:rPr>
        <w:t xml:space="preserve">limit </w:t>
      </w:r>
      <w:r w:rsidR="000A21F6">
        <w:rPr>
          <w:rFonts w:cs="Arial"/>
          <w:sz w:val="22"/>
          <w:szCs w:val="22"/>
        </w:rPr>
        <w:t>-193 dB W/m</w:t>
      </w:r>
      <w:r w:rsidR="000A21F6" w:rsidRPr="000A21F6">
        <w:rPr>
          <w:rFonts w:cs="Arial"/>
          <w:sz w:val="22"/>
          <w:szCs w:val="22"/>
          <w:vertAlign w:val="superscript"/>
        </w:rPr>
        <w:t>2</w:t>
      </w:r>
      <w:r w:rsidR="000A21F6">
        <w:rPr>
          <w:rFonts w:cs="Arial"/>
          <w:sz w:val="22"/>
          <w:szCs w:val="22"/>
        </w:rPr>
        <w:t>/MHz at a radio astronomy site</w:t>
      </w:r>
      <w:r w:rsidR="00981046">
        <w:rPr>
          <w:rFonts w:cs="Arial"/>
          <w:sz w:val="22"/>
          <w:szCs w:val="22"/>
        </w:rPr>
        <w:t xml:space="preserve"> from downlink operations is 20 dB</w:t>
      </w:r>
      <w:r>
        <w:rPr>
          <w:rFonts w:cs="Arial"/>
          <w:sz w:val="22"/>
          <w:szCs w:val="22"/>
        </w:rPr>
        <w:t xml:space="preserve"> below the protection levels given</w:t>
      </w:r>
      <w:r w:rsidR="00981046">
        <w:rPr>
          <w:rFonts w:cs="Arial"/>
          <w:sz w:val="22"/>
          <w:szCs w:val="22"/>
        </w:rPr>
        <w:t xml:space="preserve"> in</w:t>
      </w:r>
      <w:r w:rsidR="00E46C4B">
        <w:rPr>
          <w:rFonts w:cs="Arial"/>
          <w:sz w:val="22"/>
          <w:szCs w:val="22"/>
        </w:rPr>
        <w:t xml:space="preserve"> Table 1 of</w:t>
      </w:r>
      <w:r w:rsidR="00981046">
        <w:rPr>
          <w:rFonts w:cs="Arial"/>
          <w:sz w:val="22"/>
          <w:szCs w:val="22"/>
        </w:rPr>
        <w:t xml:space="preserve"> ITU-R Recommendation RA 769</w:t>
      </w:r>
      <w:r w:rsidR="000A21F6">
        <w:rPr>
          <w:rFonts w:cs="Arial"/>
          <w:sz w:val="22"/>
          <w:szCs w:val="22"/>
        </w:rPr>
        <w:t>.</w:t>
      </w:r>
      <w:r w:rsidR="00981046">
        <w:rPr>
          <w:rFonts w:cs="Arial"/>
          <w:sz w:val="22"/>
          <w:szCs w:val="22"/>
        </w:rPr>
        <w:t xml:space="preserve">  </w:t>
      </w:r>
      <w:r w:rsidR="002D14B4">
        <w:rPr>
          <w:rFonts w:cs="Arial"/>
          <w:sz w:val="22"/>
          <w:szCs w:val="22"/>
        </w:rPr>
        <w:t>This allows a radio astronomy antenn</w:t>
      </w:r>
      <w:r>
        <w:rPr>
          <w:rFonts w:cs="Arial"/>
          <w:sz w:val="22"/>
          <w:szCs w:val="22"/>
        </w:rPr>
        <w:t>a to point at a platform with</w:t>
      </w:r>
      <w:r w:rsidR="002D14B4">
        <w:rPr>
          <w:rFonts w:cs="Arial"/>
          <w:sz w:val="22"/>
          <w:szCs w:val="22"/>
        </w:rPr>
        <w:t xml:space="preserve"> 20 </w:t>
      </w:r>
      <w:proofErr w:type="spellStart"/>
      <w:r w:rsidR="002D14B4">
        <w:rPr>
          <w:rFonts w:cs="Arial"/>
          <w:sz w:val="22"/>
          <w:szCs w:val="22"/>
        </w:rPr>
        <w:t>dBi</w:t>
      </w:r>
      <w:proofErr w:type="spellEnd"/>
      <w:r w:rsidR="002D14B4">
        <w:rPr>
          <w:rFonts w:cs="Arial"/>
          <w:sz w:val="22"/>
          <w:szCs w:val="22"/>
        </w:rPr>
        <w:t xml:space="preserve"> gain and still maintain protection at </w:t>
      </w:r>
      <w:r w:rsidR="000541C5">
        <w:rPr>
          <w:rFonts w:cs="Arial"/>
          <w:sz w:val="22"/>
          <w:szCs w:val="22"/>
        </w:rPr>
        <w:t xml:space="preserve">ITU-R Recommendation </w:t>
      </w:r>
      <w:r w:rsidR="002D14B4">
        <w:rPr>
          <w:rFonts w:cs="Arial"/>
          <w:sz w:val="22"/>
          <w:szCs w:val="22"/>
        </w:rPr>
        <w:t xml:space="preserve">RA. 769 levels. </w:t>
      </w:r>
      <w:r w:rsidR="00BF0789">
        <w:rPr>
          <w:rFonts w:cs="Arial"/>
          <w:sz w:val="22"/>
          <w:szCs w:val="22"/>
        </w:rPr>
        <w:t xml:space="preserve">According to ITU-R Recommendation SA. 509 giving the reference radio astronomy antenna pattern, 20 </w:t>
      </w:r>
      <w:proofErr w:type="spellStart"/>
      <w:r w:rsidR="00BF0789">
        <w:rPr>
          <w:rFonts w:cs="Arial"/>
          <w:sz w:val="22"/>
          <w:szCs w:val="22"/>
        </w:rPr>
        <w:t>dB</w:t>
      </w:r>
      <w:r w:rsidR="00613A8D">
        <w:rPr>
          <w:rFonts w:cs="Arial"/>
          <w:sz w:val="22"/>
          <w:szCs w:val="22"/>
        </w:rPr>
        <w:t>i</w:t>
      </w:r>
      <w:proofErr w:type="spellEnd"/>
      <w:r w:rsidR="00BF0789">
        <w:rPr>
          <w:rFonts w:cs="Arial"/>
          <w:sz w:val="22"/>
          <w:szCs w:val="22"/>
        </w:rPr>
        <w:t xml:space="preserve"> gain occurs at a boresight angle of 3</w:t>
      </w:r>
      <w:r w:rsidR="00BF0789" w:rsidRPr="00BF0789">
        <w:rPr>
          <w:rFonts w:cs="Arial"/>
          <w:sz w:val="22"/>
          <w:szCs w:val="22"/>
          <w:vertAlign w:val="superscript"/>
        </w:rPr>
        <w:t>o</w:t>
      </w:r>
      <w:r w:rsidR="00613A8D">
        <w:rPr>
          <w:rFonts w:cs="Arial"/>
          <w:sz w:val="22"/>
          <w:szCs w:val="22"/>
        </w:rPr>
        <w:t xml:space="preserve">, </w:t>
      </w:r>
      <w:r w:rsidR="00F85673">
        <w:rPr>
          <w:rFonts w:cs="Arial"/>
          <w:sz w:val="22"/>
          <w:szCs w:val="22"/>
        </w:rPr>
        <w:t>so</w:t>
      </w:r>
      <w:r w:rsidR="00BF0789">
        <w:rPr>
          <w:rFonts w:cs="Arial"/>
          <w:sz w:val="22"/>
          <w:szCs w:val="22"/>
        </w:rPr>
        <w:t xml:space="preserve"> a radio astronomy telescope</w:t>
      </w:r>
      <w:r w:rsidR="00613A8D">
        <w:rPr>
          <w:rFonts w:cs="Arial"/>
          <w:sz w:val="22"/>
          <w:szCs w:val="22"/>
        </w:rPr>
        <w:t xml:space="preserve"> could</w:t>
      </w:r>
      <w:r w:rsidR="00981046">
        <w:rPr>
          <w:rFonts w:cs="Arial"/>
          <w:sz w:val="22"/>
          <w:szCs w:val="22"/>
        </w:rPr>
        <w:t xml:space="preserve"> point</w:t>
      </w:r>
      <w:r w:rsidR="00E46C4B">
        <w:rPr>
          <w:rFonts w:cs="Arial"/>
          <w:sz w:val="22"/>
          <w:szCs w:val="22"/>
        </w:rPr>
        <w:t xml:space="preserve"> within </w:t>
      </w:r>
      <w:r w:rsidR="00981046">
        <w:rPr>
          <w:rFonts w:cs="Arial"/>
          <w:sz w:val="22"/>
          <w:szCs w:val="22"/>
        </w:rPr>
        <w:t>3</w:t>
      </w:r>
      <w:r w:rsidR="00981046" w:rsidRPr="00981046">
        <w:rPr>
          <w:rFonts w:cs="Arial"/>
          <w:sz w:val="22"/>
          <w:szCs w:val="22"/>
          <w:vertAlign w:val="superscript"/>
        </w:rPr>
        <w:t>o</w:t>
      </w:r>
      <w:r w:rsidR="00C376BF">
        <w:rPr>
          <w:rFonts w:cs="Arial"/>
          <w:sz w:val="22"/>
          <w:szCs w:val="22"/>
        </w:rPr>
        <w:t xml:space="preserve"> </w:t>
      </w:r>
      <w:r w:rsidR="00E46C4B">
        <w:rPr>
          <w:rFonts w:cs="Arial"/>
          <w:sz w:val="22"/>
          <w:szCs w:val="22"/>
        </w:rPr>
        <w:t xml:space="preserve">of </w:t>
      </w:r>
      <w:proofErr w:type="spellStart"/>
      <w:r w:rsidR="00613A8D">
        <w:rPr>
          <w:rFonts w:cs="Arial"/>
          <w:sz w:val="22"/>
          <w:szCs w:val="22"/>
        </w:rPr>
        <w:t>Elefante</w:t>
      </w:r>
      <w:proofErr w:type="spellEnd"/>
      <w:r w:rsidR="00E46C4B">
        <w:rPr>
          <w:rFonts w:cs="Arial"/>
          <w:sz w:val="22"/>
          <w:szCs w:val="22"/>
        </w:rPr>
        <w:t xml:space="preserve"> Group’</w:t>
      </w:r>
      <w:r w:rsidR="00F1587C">
        <w:rPr>
          <w:rFonts w:cs="Arial"/>
          <w:sz w:val="22"/>
          <w:szCs w:val="22"/>
        </w:rPr>
        <w:t>s</w:t>
      </w:r>
      <w:r w:rsidR="00981046">
        <w:rPr>
          <w:rFonts w:cs="Arial"/>
          <w:sz w:val="22"/>
          <w:szCs w:val="22"/>
        </w:rPr>
        <w:t xml:space="preserve"> platform without receiving interference above the </w:t>
      </w:r>
      <w:r w:rsidR="00613A8D">
        <w:rPr>
          <w:rFonts w:cs="Arial"/>
          <w:sz w:val="22"/>
          <w:szCs w:val="22"/>
        </w:rPr>
        <w:t>RA. 769</w:t>
      </w:r>
      <w:r w:rsidR="00981046">
        <w:rPr>
          <w:rFonts w:cs="Arial"/>
          <w:sz w:val="22"/>
          <w:szCs w:val="22"/>
        </w:rPr>
        <w:t xml:space="preserve"> level.</w:t>
      </w:r>
      <w:r w:rsidR="00E46C4B">
        <w:rPr>
          <w:rFonts w:cs="Arial"/>
          <w:sz w:val="22"/>
          <w:szCs w:val="22"/>
        </w:rPr>
        <w:t xml:space="preserve">  </w:t>
      </w:r>
    </w:p>
    <w:p w14:paraId="52CA291F" w14:textId="77777777" w:rsidR="00E46C4B" w:rsidRDefault="00E46C4B" w:rsidP="00EC2DFB">
      <w:pPr>
        <w:pStyle w:val="p1"/>
        <w:rPr>
          <w:rFonts w:cs="Arial"/>
          <w:sz w:val="22"/>
          <w:szCs w:val="22"/>
        </w:rPr>
      </w:pPr>
    </w:p>
    <w:p w14:paraId="1114E526" w14:textId="2959B8DC" w:rsidR="000A21F6" w:rsidRDefault="00B952F7" w:rsidP="00EC2DFB">
      <w:pPr>
        <w:pStyle w:val="p1"/>
        <w:rPr>
          <w:rFonts w:cs="Arial"/>
          <w:sz w:val="22"/>
          <w:szCs w:val="22"/>
        </w:rPr>
      </w:pPr>
      <w:r>
        <w:rPr>
          <w:rFonts w:cs="Arial"/>
          <w:sz w:val="22"/>
          <w:szCs w:val="22"/>
        </w:rPr>
        <w:t xml:space="preserve">ii) </w:t>
      </w:r>
      <w:r w:rsidR="00981046">
        <w:rPr>
          <w:rFonts w:cs="Arial"/>
          <w:sz w:val="22"/>
          <w:szCs w:val="22"/>
        </w:rPr>
        <w:t xml:space="preserve">A cone of angular radius </w:t>
      </w:r>
      <w:r w:rsidR="00981046">
        <w:rPr>
          <w:rFonts w:ascii="Symbol" w:hAnsi="Symbol" w:cs="Arial"/>
          <w:sz w:val="22"/>
          <w:szCs w:val="22"/>
        </w:rPr>
        <w:t></w:t>
      </w:r>
      <w:r w:rsidR="00981046">
        <w:rPr>
          <w:rFonts w:cs="Arial"/>
          <w:sz w:val="22"/>
          <w:szCs w:val="22"/>
        </w:rPr>
        <w:t xml:space="preserve"> subtends a fraction 1-cos(</w:t>
      </w:r>
      <w:r w:rsidR="00981046">
        <w:rPr>
          <w:rFonts w:ascii="Symbol" w:hAnsi="Symbol" w:cs="Arial"/>
          <w:sz w:val="22"/>
          <w:szCs w:val="22"/>
        </w:rPr>
        <w:t></w:t>
      </w:r>
      <w:r w:rsidR="00613A8D">
        <w:rPr>
          <w:rFonts w:cs="Arial"/>
          <w:sz w:val="22"/>
          <w:szCs w:val="22"/>
        </w:rPr>
        <w:t>) of the 2</w:t>
      </w:r>
      <w:r w:rsidR="00613A8D" w:rsidRPr="00613A8D">
        <w:rPr>
          <w:rFonts w:ascii="Symbol" w:hAnsi="Symbol" w:cs="Arial"/>
          <w:sz w:val="22"/>
          <w:szCs w:val="22"/>
        </w:rPr>
        <w:t></w:t>
      </w:r>
      <w:r w:rsidR="00981046">
        <w:rPr>
          <w:rFonts w:cs="Arial"/>
          <w:sz w:val="22"/>
          <w:szCs w:val="22"/>
        </w:rPr>
        <w:t xml:space="preserve"> steradians </w:t>
      </w:r>
      <w:r w:rsidR="00613A8D">
        <w:rPr>
          <w:rFonts w:cs="Arial"/>
          <w:sz w:val="22"/>
          <w:szCs w:val="22"/>
        </w:rPr>
        <w:t>that are above the horizon at any t</w:t>
      </w:r>
      <w:r w:rsidR="002D14B4">
        <w:rPr>
          <w:rFonts w:cs="Arial"/>
          <w:sz w:val="22"/>
          <w:szCs w:val="22"/>
        </w:rPr>
        <w:t>ime, and</w:t>
      </w:r>
      <w:r w:rsidR="00573D2E">
        <w:rPr>
          <w:rFonts w:cs="Arial"/>
          <w:sz w:val="22"/>
          <w:szCs w:val="22"/>
        </w:rPr>
        <w:t xml:space="preserve"> 1-cos(</w:t>
      </w:r>
      <w:r w:rsidR="002D14B4">
        <w:rPr>
          <w:rFonts w:cs="Arial"/>
          <w:sz w:val="22"/>
          <w:szCs w:val="22"/>
        </w:rPr>
        <w:t>3</w:t>
      </w:r>
      <w:r w:rsidR="002D14B4" w:rsidRPr="00981046">
        <w:rPr>
          <w:rFonts w:cs="Arial"/>
          <w:sz w:val="22"/>
          <w:szCs w:val="22"/>
          <w:vertAlign w:val="superscript"/>
        </w:rPr>
        <w:t>o</w:t>
      </w:r>
      <w:r w:rsidR="00573D2E">
        <w:rPr>
          <w:rFonts w:cs="Arial"/>
          <w:sz w:val="22"/>
          <w:szCs w:val="22"/>
        </w:rPr>
        <w:t>) =</w:t>
      </w:r>
      <w:r w:rsidR="00613A8D">
        <w:rPr>
          <w:rFonts w:cs="Arial"/>
          <w:sz w:val="22"/>
          <w:szCs w:val="22"/>
        </w:rPr>
        <w:t xml:space="preserve"> 0.14%</w:t>
      </w:r>
      <w:r w:rsidR="00573D2E">
        <w:rPr>
          <w:rFonts w:cs="Arial"/>
          <w:sz w:val="22"/>
          <w:szCs w:val="22"/>
        </w:rPr>
        <w:t>.</w:t>
      </w:r>
      <w:r w:rsidR="00613A8D">
        <w:rPr>
          <w:rFonts w:cs="Arial"/>
          <w:sz w:val="22"/>
          <w:szCs w:val="22"/>
        </w:rPr>
        <w:t xml:space="preserve">  This is slightly increased to 1-cos(</w:t>
      </w:r>
      <w:r w:rsidR="007B148F">
        <w:rPr>
          <w:rFonts w:ascii="Symbol" w:hAnsi="Symbol" w:cs="Arial"/>
          <w:sz w:val="22"/>
          <w:szCs w:val="22"/>
        </w:rPr>
        <w:t></w:t>
      </w:r>
      <w:r w:rsidR="00613A8D">
        <w:rPr>
          <w:rFonts w:cs="Arial"/>
          <w:sz w:val="22"/>
          <w:szCs w:val="22"/>
        </w:rPr>
        <w:t>)/(1-cos(</w:t>
      </w:r>
      <w:r w:rsidR="007B148F">
        <w:rPr>
          <w:rFonts w:ascii="Symbol" w:hAnsi="Symbol" w:cs="Arial"/>
          <w:sz w:val="22"/>
          <w:szCs w:val="22"/>
        </w:rPr>
        <w:t></w:t>
      </w:r>
      <w:r w:rsidR="007B148F">
        <w:rPr>
          <w:rFonts w:ascii="Symbol" w:hAnsi="Symbol" w:cs="Arial"/>
          <w:sz w:val="22"/>
          <w:szCs w:val="22"/>
        </w:rPr>
        <w:t></w:t>
      </w:r>
      <w:r w:rsidR="00613A8D">
        <w:rPr>
          <w:rFonts w:cs="Arial"/>
          <w:sz w:val="22"/>
          <w:szCs w:val="22"/>
        </w:rPr>
        <w:t xml:space="preserve">)) = 0.15% of the sky accessible above the </w:t>
      </w:r>
      <w:r w:rsidR="00345D83">
        <w:rPr>
          <w:rFonts w:cs="Arial"/>
          <w:sz w:val="22"/>
          <w:szCs w:val="22"/>
        </w:rPr>
        <w:t>5</w:t>
      </w:r>
      <w:r w:rsidR="00345D83" w:rsidRPr="00981046">
        <w:rPr>
          <w:rFonts w:cs="Arial"/>
          <w:sz w:val="22"/>
          <w:szCs w:val="22"/>
          <w:vertAlign w:val="superscript"/>
        </w:rPr>
        <w:t>o</w:t>
      </w:r>
      <w:r w:rsidR="00613A8D">
        <w:rPr>
          <w:rFonts w:cs="Arial"/>
          <w:sz w:val="22"/>
          <w:szCs w:val="22"/>
        </w:rPr>
        <w:t xml:space="preserve"> </w:t>
      </w:r>
      <w:r w:rsidR="00672F1D">
        <w:rPr>
          <w:rFonts w:cs="Arial"/>
          <w:sz w:val="22"/>
          <w:szCs w:val="22"/>
        </w:rPr>
        <w:t xml:space="preserve">elevation </w:t>
      </w:r>
      <w:r w:rsidR="00613A8D">
        <w:rPr>
          <w:rFonts w:cs="Arial"/>
          <w:sz w:val="22"/>
          <w:szCs w:val="22"/>
        </w:rPr>
        <w:t xml:space="preserve">pointing limit of a typical telescope. </w:t>
      </w:r>
      <w:r w:rsidR="000F3D57">
        <w:rPr>
          <w:rFonts w:cs="Arial"/>
          <w:sz w:val="22"/>
          <w:szCs w:val="22"/>
        </w:rPr>
        <w:t xml:space="preserve">These are in good agreement with the </w:t>
      </w:r>
      <w:r w:rsidR="00F85673">
        <w:rPr>
          <w:rFonts w:cs="Arial"/>
          <w:sz w:val="22"/>
          <w:szCs w:val="22"/>
        </w:rPr>
        <w:t xml:space="preserve">protection </w:t>
      </w:r>
      <w:r w:rsidR="000F3D57">
        <w:rPr>
          <w:rFonts w:cs="Arial"/>
          <w:sz w:val="22"/>
          <w:szCs w:val="22"/>
        </w:rPr>
        <w:t>level 0.1% noted in Appendix M</w:t>
      </w:r>
      <w:r w:rsidR="00B43097">
        <w:rPr>
          <w:rFonts w:cs="Arial"/>
          <w:sz w:val="22"/>
          <w:szCs w:val="22"/>
        </w:rPr>
        <w:t>.</w:t>
      </w:r>
      <w:r w:rsidR="002D14B4">
        <w:rPr>
          <w:rFonts w:cs="Arial"/>
          <w:sz w:val="22"/>
          <w:szCs w:val="22"/>
        </w:rPr>
        <w:t xml:space="preserve"> </w:t>
      </w:r>
    </w:p>
    <w:p w14:paraId="7621AC2F" w14:textId="77777777" w:rsidR="00C50C92" w:rsidRDefault="00C50C92" w:rsidP="00EC2DFB">
      <w:pPr>
        <w:pStyle w:val="p1"/>
        <w:rPr>
          <w:rFonts w:cs="Arial"/>
          <w:sz w:val="22"/>
          <w:szCs w:val="22"/>
        </w:rPr>
      </w:pPr>
    </w:p>
    <w:p w14:paraId="1D2E82C5" w14:textId="6703B439" w:rsidR="00B43097" w:rsidRDefault="00B43097" w:rsidP="00EC2DFB">
      <w:pPr>
        <w:pStyle w:val="p1"/>
        <w:rPr>
          <w:rFonts w:cs="Arial"/>
          <w:sz w:val="22"/>
          <w:szCs w:val="22"/>
        </w:rPr>
      </w:pPr>
      <w:r>
        <w:rPr>
          <w:rFonts w:cs="Arial"/>
          <w:sz w:val="22"/>
          <w:szCs w:val="22"/>
        </w:rPr>
        <w:t xml:space="preserve">Data loss and sky blockage are equivalent. </w:t>
      </w:r>
      <w:r w:rsidR="000F3D57">
        <w:rPr>
          <w:rFonts w:cs="Arial"/>
          <w:sz w:val="22"/>
          <w:szCs w:val="22"/>
        </w:rPr>
        <w:t xml:space="preserve">If the incident </w:t>
      </w:r>
      <w:proofErr w:type="spellStart"/>
      <w:r w:rsidR="000F3D57">
        <w:rPr>
          <w:rFonts w:cs="Arial"/>
          <w:sz w:val="22"/>
          <w:szCs w:val="22"/>
        </w:rPr>
        <w:t>pfd</w:t>
      </w:r>
      <w:proofErr w:type="spellEnd"/>
      <w:r w:rsidR="000F3D57">
        <w:rPr>
          <w:rFonts w:cs="Arial"/>
          <w:sz w:val="22"/>
          <w:szCs w:val="22"/>
        </w:rPr>
        <w:t xml:space="preserve"> </w:t>
      </w:r>
      <w:r w:rsidR="00C50C92">
        <w:rPr>
          <w:rFonts w:cs="Arial"/>
          <w:sz w:val="22"/>
          <w:szCs w:val="22"/>
        </w:rPr>
        <w:t xml:space="preserve">per platform </w:t>
      </w:r>
      <w:r w:rsidR="000F3D57">
        <w:rPr>
          <w:rFonts w:cs="Arial"/>
          <w:sz w:val="22"/>
          <w:szCs w:val="22"/>
        </w:rPr>
        <w:t>is maintained at -193 dB W/m</w:t>
      </w:r>
      <w:r w:rsidR="000F3D57" w:rsidRPr="000A21F6">
        <w:rPr>
          <w:rFonts w:cs="Arial"/>
          <w:sz w:val="22"/>
          <w:szCs w:val="22"/>
          <w:vertAlign w:val="superscript"/>
        </w:rPr>
        <w:t>2</w:t>
      </w:r>
      <w:r w:rsidR="000F3D57">
        <w:rPr>
          <w:rFonts w:cs="Arial"/>
          <w:sz w:val="22"/>
          <w:szCs w:val="22"/>
        </w:rPr>
        <w:t xml:space="preserve">/MHz with n &gt; 1 platforms the data </w:t>
      </w:r>
      <w:r w:rsidR="00C50C92">
        <w:rPr>
          <w:rFonts w:cs="Arial"/>
          <w:sz w:val="22"/>
          <w:szCs w:val="22"/>
        </w:rPr>
        <w:t xml:space="preserve">loss to radio astronomy </w:t>
      </w:r>
      <w:r w:rsidR="000F3D57">
        <w:rPr>
          <w:rFonts w:cs="Arial"/>
          <w:sz w:val="22"/>
          <w:szCs w:val="22"/>
        </w:rPr>
        <w:t>increase</w:t>
      </w:r>
      <w:r w:rsidR="00C50C92">
        <w:rPr>
          <w:rFonts w:cs="Arial"/>
          <w:sz w:val="22"/>
          <w:szCs w:val="22"/>
        </w:rPr>
        <w:t>s directly as</w:t>
      </w:r>
      <w:r w:rsidR="00A3142D">
        <w:rPr>
          <w:rFonts w:cs="Arial"/>
          <w:sz w:val="22"/>
          <w:szCs w:val="22"/>
        </w:rPr>
        <w:t xml:space="preserve"> n</w:t>
      </w:r>
      <w:r w:rsidR="00C50C92">
        <w:rPr>
          <w:rFonts w:cs="Arial"/>
          <w:sz w:val="22"/>
          <w:szCs w:val="22"/>
        </w:rPr>
        <w:t xml:space="preserve"> because</w:t>
      </w:r>
      <w:r w:rsidR="00A3142D">
        <w:rPr>
          <w:rFonts w:cs="Arial"/>
          <w:sz w:val="22"/>
          <w:szCs w:val="22"/>
        </w:rPr>
        <w:t xml:space="preserve"> there would be n cones</w:t>
      </w:r>
      <w:r w:rsidR="00835968">
        <w:rPr>
          <w:rFonts w:cs="Arial"/>
          <w:sz w:val="22"/>
          <w:szCs w:val="22"/>
        </w:rPr>
        <w:t xml:space="preserve"> of avoidance</w:t>
      </w:r>
      <w:r w:rsidR="00A3142D">
        <w:rPr>
          <w:rFonts w:cs="Arial"/>
          <w:sz w:val="22"/>
          <w:szCs w:val="22"/>
        </w:rPr>
        <w:t xml:space="preserve"> of radius 3</w:t>
      </w:r>
      <w:r w:rsidR="00A3142D" w:rsidRPr="00981046">
        <w:rPr>
          <w:rFonts w:cs="Arial"/>
          <w:sz w:val="22"/>
          <w:szCs w:val="22"/>
          <w:vertAlign w:val="superscript"/>
        </w:rPr>
        <w:t>o</w:t>
      </w:r>
      <w:r w:rsidR="00A3142D">
        <w:rPr>
          <w:rFonts w:cs="Arial"/>
          <w:sz w:val="22"/>
          <w:szCs w:val="22"/>
        </w:rPr>
        <w:t>.</w:t>
      </w:r>
      <w:r w:rsidR="000F3D57">
        <w:rPr>
          <w:rFonts w:cs="Arial"/>
          <w:sz w:val="22"/>
          <w:szCs w:val="22"/>
        </w:rPr>
        <w:t xml:space="preserve">  Alternatively, to maintain the data</w:t>
      </w:r>
      <w:r w:rsidR="00A3142D">
        <w:rPr>
          <w:rFonts w:cs="Arial"/>
          <w:sz w:val="22"/>
          <w:szCs w:val="22"/>
        </w:rPr>
        <w:t xml:space="preserve"> </w:t>
      </w:r>
      <w:r w:rsidR="000F3D57">
        <w:rPr>
          <w:rFonts w:cs="Arial"/>
          <w:sz w:val="22"/>
          <w:szCs w:val="22"/>
        </w:rPr>
        <w:t>loss at the same level with</w:t>
      </w:r>
      <w:r w:rsidR="00A3142D">
        <w:rPr>
          <w:rFonts w:cs="Arial"/>
          <w:sz w:val="22"/>
          <w:szCs w:val="22"/>
        </w:rPr>
        <w:t xml:space="preserve"> 1 or with</w:t>
      </w:r>
      <w:r w:rsidR="000F3D57">
        <w:rPr>
          <w:rFonts w:cs="Arial"/>
          <w:sz w:val="22"/>
          <w:szCs w:val="22"/>
        </w:rPr>
        <w:t xml:space="preserve"> n</w:t>
      </w:r>
      <w:r w:rsidR="003C25AA">
        <w:rPr>
          <w:rFonts w:cs="Arial"/>
          <w:sz w:val="22"/>
          <w:szCs w:val="22"/>
        </w:rPr>
        <w:t xml:space="preserve"> &gt; 1</w:t>
      </w:r>
      <w:r w:rsidR="000F3D57">
        <w:rPr>
          <w:rFonts w:cs="Arial"/>
          <w:sz w:val="22"/>
          <w:szCs w:val="22"/>
        </w:rPr>
        <w:t xml:space="preserve"> platforms</w:t>
      </w:r>
      <w:r w:rsidR="00A3142D">
        <w:rPr>
          <w:rFonts w:cs="Arial"/>
          <w:sz w:val="22"/>
          <w:szCs w:val="22"/>
        </w:rPr>
        <w:t>,</w:t>
      </w:r>
      <w:r w:rsidR="000F3D57">
        <w:rPr>
          <w:rFonts w:cs="Arial"/>
          <w:sz w:val="22"/>
          <w:szCs w:val="22"/>
        </w:rPr>
        <w:t xml:space="preserve"> the area of the cone of avoidance about each platform would have to shrink as 1/n, implying a </w:t>
      </w:r>
      <w:r w:rsidR="00A3142D">
        <w:rPr>
          <w:rFonts w:cs="Arial"/>
          <w:sz w:val="22"/>
          <w:szCs w:val="22"/>
        </w:rPr>
        <w:t xml:space="preserve">smaller </w:t>
      </w:r>
      <w:r w:rsidR="002D14B4">
        <w:rPr>
          <w:rFonts w:cs="Arial"/>
          <w:sz w:val="22"/>
          <w:szCs w:val="22"/>
        </w:rPr>
        <w:t xml:space="preserve">radio astronomy </w:t>
      </w:r>
      <w:r w:rsidR="00A3142D">
        <w:rPr>
          <w:rFonts w:cs="Arial"/>
          <w:sz w:val="22"/>
          <w:szCs w:val="22"/>
        </w:rPr>
        <w:t xml:space="preserve">boresight angle and </w:t>
      </w:r>
      <w:r w:rsidR="000F3D57">
        <w:rPr>
          <w:rFonts w:cs="Arial"/>
          <w:sz w:val="22"/>
          <w:szCs w:val="22"/>
        </w:rPr>
        <w:t>higher</w:t>
      </w:r>
      <w:r w:rsidR="00A3142D">
        <w:rPr>
          <w:rFonts w:cs="Arial"/>
          <w:sz w:val="22"/>
          <w:szCs w:val="22"/>
        </w:rPr>
        <w:t xml:space="preserve"> </w:t>
      </w:r>
      <w:r w:rsidR="000F3D57">
        <w:rPr>
          <w:rFonts w:cs="Arial"/>
          <w:sz w:val="22"/>
          <w:szCs w:val="22"/>
        </w:rPr>
        <w:t>gain for the radio astronomy antenna</w:t>
      </w:r>
      <w:r w:rsidR="00A3142D">
        <w:rPr>
          <w:rFonts w:cs="Arial"/>
          <w:sz w:val="22"/>
          <w:szCs w:val="22"/>
        </w:rPr>
        <w:t>,</w:t>
      </w:r>
      <w:r w:rsidR="000F3D57">
        <w:rPr>
          <w:rFonts w:cs="Arial"/>
          <w:sz w:val="22"/>
          <w:szCs w:val="22"/>
        </w:rPr>
        <w:t xml:space="preserve"> and a lower </w:t>
      </w:r>
      <w:proofErr w:type="spellStart"/>
      <w:r w:rsidR="000F3D57">
        <w:rPr>
          <w:rFonts w:cs="Arial"/>
          <w:sz w:val="22"/>
          <w:szCs w:val="22"/>
        </w:rPr>
        <w:t>pfd</w:t>
      </w:r>
      <w:proofErr w:type="spellEnd"/>
      <w:r w:rsidR="000F3D57">
        <w:rPr>
          <w:rFonts w:cs="Arial"/>
          <w:sz w:val="22"/>
          <w:szCs w:val="22"/>
        </w:rPr>
        <w:t xml:space="preserve"> at the radio astronomy site.  </w:t>
      </w:r>
    </w:p>
    <w:p w14:paraId="7FF0E9C5" w14:textId="77777777" w:rsidR="00B43097" w:rsidRDefault="00B43097" w:rsidP="00EC2DFB">
      <w:pPr>
        <w:pStyle w:val="p1"/>
        <w:rPr>
          <w:rFonts w:cs="Arial"/>
          <w:sz w:val="22"/>
          <w:szCs w:val="22"/>
        </w:rPr>
      </w:pPr>
    </w:p>
    <w:p w14:paraId="3B438D79" w14:textId="05DD29A5" w:rsidR="00835968" w:rsidRDefault="000F3D57" w:rsidP="00EC2DFB">
      <w:pPr>
        <w:pStyle w:val="p1"/>
        <w:rPr>
          <w:rFonts w:cs="Arial"/>
          <w:sz w:val="22"/>
          <w:szCs w:val="22"/>
        </w:rPr>
      </w:pPr>
      <w:r>
        <w:rPr>
          <w:rFonts w:cs="Arial"/>
          <w:sz w:val="22"/>
          <w:szCs w:val="22"/>
        </w:rPr>
        <w:t xml:space="preserve">This accounts for the difference between the </w:t>
      </w:r>
      <w:proofErr w:type="spellStart"/>
      <w:r w:rsidR="00FB6435">
        <w:rPr>
          <w:rFonts w:cs="Arial"/>
          <w:sz w:val="22"/>
          <w:szCs w:val="22"/>
        </w:rPr>
        <w:t>pfd</w:t>
      </w:r>
      <w:proofErr w:type="spellEnd"/>
      <w:r w:rsidR="00FB6435">
        <w:rPr>
          <w:rFonts w:cs="Arial"/>
          <w:sz w:val="22"/>
          <w:szCs w:val="22"/>
        </w:rPr>
        <w:t xml:space="preserve"> </w:t>
      </w:r>
      <w:r>
        <w:rPr>
          <w:rFonts w:cs="Arial"/>
          <w:sz w:val="22"/>
          <w:szCs w:val="22"/>
        </w:rPr>
        <w:t xml:space="preserve">level suggested by </w:t>
      </w:r>
      <w:proofErr w:type="spellStart"/>
      <w:r>
        <w:rPr>
          <w:rFonts w:cs="Arial"/>
          <w:sz w:val="22"/>
          <w:szCs w:val="22"/>
        </w:rPr>
        <w:t>Elefante</w:t>
      </w:r>
      <w:proofErr w:type="spellEnd"/>
      <w:r>
        <w:rPr>
          <w:rFonts w:cs="Arial"/>
          <w:sz w:val="22"/>
          <w:szCs w:val="22"/>
        </w:rPr>
        <w:t>, -193 dB W/m</w:t>
      </w:r>
      <w:r w:rsidRPr="000A21F6">
        <w:rPr>
          <w:rFonts w:cs="Arial"/>
          <w:sz w:val="22"/>
          <w:szCs w:val="22"/>
          <w:vertAlign w:val="superscript"/>
        </w:rPr>
        <w:t>2</w:t>
      </w:r>
      <w:r>
        <w:rPr>
          <w:rFonts w:cs="Arial"/>
          <w:sz w:val="22"/>
          <w:szCs w:val="22"/>
        </w:rPr>
        <w:t>/MHz</w:t>
      </w:r>
      <w:r w:rsidR="004B6788">
        <w:rPr>
          <w:rFonts w:cs="Arial"/>
          <w:sz w:val="22"/>
          <w:szCs w:val="22"/>
        </w:rPr>
        <w:t>, and those for the various bands</w:t>
      </w:r>
      <w:r>
        <w:rPr>
          <w:rFonts w:cs="Arial"/>
          <w:sz w:val="22"/>
          <w:szCs w:val="22"/>
        </w:rPr>
        <w:t xml:space="preserve"> in the draft CPM text that is being prepared</w:t>
      </w:r>
      <w:r w:rsidR="00835968">
        <w:rPr>
          <w:rFonts w:cs="Arial"/>
          <w:sz w:val="22"/>
          <w:szCs w:val="22"/>
        </w:rPr>
        <w:t xml:space="preserve"> for consideration</w:t>
      </w:r>
      <w:r w:rsidR="00F1587C">
        <w:rPr>
          <w:rFonts w:cs="Arial"/>
          <w:sz w:val="22"/>
          <w:szCs w:val="22"/>
        </w:rPr>
        <w:t xml:space="preserve"> at WRC-19, which are </w:t>
      </w:r>
      <w:r w:rsidR="00C376BF">
        <w:rPr>
          <w:rFonts w:cs="Arial"/>
          <w:sz w:val="22"/>
          <w:szCs w:val="22"/>
        </w:rPr>
        <w:t>10 dB more restrictive</w:t>
      </w:r>
      <w:r w:rsidR="00835968">
        <w:rPr>
          <w:rFonts w:cs="Arial"/>
          <w:sz w:val="22"/>
          <w:szCs w:val="22"/>
        </w:rPr>
        <w:t xml:space="preserve"> </w:t>
      </w:r>
      <w:r w:rsidR="00F1587C">
        <w:rPr>
          <w:rFonts w:cs="Arial"/>
          <w:sz w:val="22"/>
          <w:szCs w:val="22"/>
        </w:rPr>
        <w:t xml:space="preserve">corresponding to 30 </w:t>
      </w:r>
      <w:proofErr w:type="spellStart"/>
      <w:r w:rsidR="00F1587C">
        <w:rPr>
          <w:rFonts w:cs="Arial"/>
          <w:sz w:val="22"/>
          <w:szCs w:val="22"/>
        </w:rPr>
        <w:t>dBi</w:t>
      </w:r>
      <w:proofErr w:type="spellEnd"/>
      <w:r w:rsidR="00F1587C">
        <w:rPr>
          <w:rFonts w:cs="Arial"/>
          <w:sz w:val="22"/>
          <w:szCs w:val="22"/>
        </w:rPr>
        <w:t xml:space="preserve"> RAS gain </w:t>
      </w:r>
      <w:r w:rsidR="00835968">
        <w:rPr>
          <w:rFonts w:cs="Arial"/>
          <w:sz w:val="22"/>
          <w:szCs w:val="22"/>
        </w:rPr>
        <w:lastRenderedPageBreak/>
        <w:t>(</w:t>
      </w:r>
      <w:r w:rsidR="00DF086F">
        <w:rPr>
          <w:rFonts w:cs="Arial"/>
          <w:sz w:val="22"/>
          <w:szCs w:val="22"/>
        </w:rPr>
        <w:t xml:space="preserve">see </w:t>
      </w:r>
      <w:r w:rsidR="00835968">
        <w:rPr>
          <w:rFonts w:cs="Arial"/>
          <w:sz w:val="22"/>
          <w:szCs w:val="22"/>
        </w:rPr>
        <w:t>Annex 14 to the WP 5C Chairman’s Report 5C/531 on the ITU-R</w:t>
      </w:r>
      <w:r w:rsidR="000541C5">
        <w:rPr>
          <w:rFonts w:cs="Arial"/>
          <w:sz w:val="22"/>
          <w:szCs w:val="22"/>
        </w:rPr>
        <w:t xml:space="preserve"> website; requires TIES access):</w:t>
      </w:r>
    </w:p>
    <w:p w14:paraId="10935ABD" w14:textId="77777777" w:rsidR="00FB6435" w:rsidRDefault="00FB6435" w:rsidP="00EC2DFB">
      <w:pPr>
        <w:pStyle w:val="p1"/>
        <w:rPr>
          <w:rFonts w:cs="Arial"/>
          <w:sz w:val="22"/>
          <w:szCs w:val="22"/>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0"/>
        <w:gridCol w:w="1579"/>
        <w:gridCol w:w="1223"/>
        <w:gridCol w:w="985"/>
        <w:gridCol w:w="5493"/>
      </w:tblGrid>
      <w:tr w:rsidR="00835968" w14:paraId="535EF71E" w14:textId="77777777" w:rsidTr="00835968">
        <w:trPr>
          <w:tblCellSpacing w:w="15" w:type="dxa"/>
        </w:trPr>
        <w:tc>
          <w:tcPr>
            <w:tcW w:w="0" w:type="auto"/>
            <w:noWrap/>
            <w:vAlign w:val="center"/>
            <w:hideMark/>
          </w:tcPr>
          <w:p w14:paraId="6A930270" w14:textId="77777777" w:rsidR="00835968" w:rsidRDefault="00835968">
            <w:pPr>
              <w:rPr>
                <w:sz w:val="20"/>
                <w:szCs w:val="20"/>
              </w:rPr>
            </w:pPr>
          </w:p>
        </w:tc>
        <w:tc>
          <w:tcPr>
            <w:tcW w:w="1950" w:type="dxa"/>
            <w:shd w:val="clear" w:color="auto" w:fill="FFFF80"/>
            <w:noWrap/>
            <w:vAlign w:val="center"/>
            <w:hideMark/>
          </w:tcPr>
          <w:p w14:paraId="24D181EB" w14:textId="09F5F1A2" w:rsidR="00835968" w:rsidRDefault="008137F5">
            <w:pPr>
              <w:pStyle w:val="NormalWeb"/>
            </w:pPr>
            <w:hyperlink r:id="rId10" w:tgtFrame="_blank" w:history="1">
              <w:r w:rsidR="00835968">
                <w:rPr>
                  <w:color w:val="0000FF"/>
                </w:rPr>
                <w:fldChar w:fldCharType="begin"/>
              </w:r>
              <w:r w:rsidR="00835968">
                <w:rPr>
                  <w:color w:val="0000FF"/>
                </w:rPr>
                <w:instrText xml:space="preserve"> INCLUDEPICTURE "https://www.itu.int/res/templates/dms/images/msw12.gif" \* MERGEFORMATINET </w:instrText>
              </w:r>
              <w:r w:rsidR="00835968">
                <w:rPr>
                  <w:color w:val="0000FF"/>
                </w:rPr>
                <w:fldChar w:fldCharType="separate"/>
              </w:r>
              <w:r w:rsidR="00835968">
                <w:rPr>
                  <w:noProof/>
                  <w:color w:val="0000FF"/>
                </w:rPr>
                <w:drawing>
                  <wp:inline distT="0" distB="0" distL="0" distR="0" wp14:anchorId="39862700" wp14:editId="0171E8A0">
                    <wp:extent cx="200660" cy="200660"/>
                    <wp:effectExtent l="0" t="0" r="2540" b="2540"/>
                    <wp:docPr id="4" name="Picture 4" descr="https://www.itu.int/res/templates/dms/images/msw12.gif">
                      <a:hlinkClick xmlns:a="http://schemas.openxmlformats.org/drawingml/2006/main" r:id="rId10"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www.itu.int/res/templates/dms/images/msw12.gif">
                              <a:hlinkClick r:id="rId10" tgtFrame="&quot;_blank&quot;"/>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00660" cy="200660"/>
                            </a:xfrm>
                            <a:prstGeom prst="rect">
                              <a:avLst/>
                            </a:prstGeom>
                            <a:noFill/>
                            <a:ln>
                              <a:noFill/>
                            </a:ln>
                          </pic:spPr>
                        </pic:pic>
                      </a:graphicData>
                    </a:graphic>
                  </wp:inline>
                </w:drawing>
              </w:r>
              <w:r w:rsidR="00835968">
                <w:rPr>
                  <w:color w:val="0000FF"/>
                </w:rPr>
                <w:fldChar w:fldCharType="end"/>
              </w:r>
              <w:r w:rsidR="00835968">
                <w:rPr>
                  <w:rStyle w:val="Strong"/>
                  <w:color w:val="0000FF"/>
                  <w:sz w:val="15"/>
                  <w:szCs w:val="15"/>
                  <w:u w:val="single"/>
                </w:rPr>
                <w:t xml:space="preserve">Word 2010 </w:t>
              </w:r>
            </w:hyperlink>
            <w:r w:rsidR="00835968">
              <w:t xml:space="preserve">  </w:t>
            </w:r>
          </w:p>
        </w:tc>
        <w:tc>
          <w:tcPr>
            <w:tcW w:w="1500" w:type="dxa"/>
            <w:shd w:val="clear" w:color="auto" w:fill="FFFFCC"/>
            <w:noWrap/>
            <w:vAlign w:val="center"/>
            <w:hideMark/>
          </w:tcPr>
          <w:p w14:paraId="1471D82F" w14:textId="77777777" w:rsidR="00835968" w:rsidRDefault="00835968">
            <w:pPr>
              <w:jc w:val="right"/>
            </w:pPr>
            <w:r>
              <w:rPr>
                <w:rStyle w:val="Strong"/>
                <w:color w:val="000080"/>
                <w:sz w:val="15"/>
                <w:szCs w:val="15"/>
              </w:rPr>
              <w:t xml:space="preserve">209135 bytes </w:t>
            </w:r>
          </w:p>
        </w:tc>
        <w:tc>
          <w:tcPr>
            <w:tcW w:w="1200" w:type="dxa"/>
            <w:shd w:val="clear" w:color="auto" w:fill="FFFFCC"/>
            <w:noWrap/>
            <w:vAlign w:val="center"/>
            <w:hideMark/>
          </w:tcPr>
          <w:p w14:paraId="6E7F454F" w14:textId="77777777" w:rsidR="00835968" w:rsidRDefault="00835968">
            <w:pPr>
              <w:jc w:val="center"/>
            </w:pPr>
            <w:r>
              <w:rPr>
                <w:rStyle w:val="Strong"/>
                <w:color w:val="000080"/>
                <w:sz w:val="15"/>
                <w:szCs w:val="15"/>
              </w:rPr>
              <w:t>2018-06-08</w:t>
            </w:r>
          </w:p>
        </w:tc>
        <w:tc>
          <w:tcPr>
            <w:tcW w:w="0" w:type="auto"/>
            <w:shd w:val="clear" w:color="auto" w:fill="FFFFCC"/>
            <w:noWrap/>
            <w:vAlign w:val="center"/>
            <w:hideMark/>
          </w:tcPr>
          <w:p w14:paraId="2392D76B" w14:textId="77777777" w:rsidR="00835968" w:rsidRDefault="00835968">
            <w:r>
              <w:rPr>
                <w:rStyle w:val="Strong"/>
                <w:color w:val="000080"/>
                <w:sz w:val="15"/>
                <w:szCs w:val="15"/>
              </w:rPr>
              <w:t>[531] Annex 10</w:t>
            </w:r>
            <w:r>
              <w:rPr>
                <w:color w:val="000080"/>
                <w:sz w:val="15"/>
                <w:szCs w:val="15"/>
              </w:rPr>
              <w:t xml:space="preserve"> - Revision of working document towards draft CPM text on WRC-19 agenda item 1.14, section 4</w:t>
            </w:r>
          </w:p>
        </w:tc>
      </w:tr>
    </w:tbl>
    <w:p w14:paraId="3DA22AA2" w14:textId="77777777" w:rsidR="00E0623E" w:rsidRDefault="00E0623E" w:rsidP="00C50C92">
      <w:pPr>
        <w:pStyle w:val="p1"/>
        <w:rPr>
          <w:rFonts w:cs="Arial"/>
          <w:sz w:val="22"/>
          <w:szCs w:val="22"/>
        </w:rPr>
      </w:pPr>
    </w:p>
    <w:p w14:paraId="6C1FE754" w14:textId="621F6255" w:rsidR="00B43097" w:rsidRDefault="00F1587C" w:rsidP="00C50C92">
      <w:pPr>
        <w:pStyle w:val="p1"/>
        <w:rPr>
          <w:rFonts w:cs="Arial"/>
          <w:sz w:val="22"/>
          <w:szCs w:val="22"/>
        </w:rPr>
      </w:pPr>
      <w:r>
        <w:rPr>
          <w:rFonts w:cs="Arial"/>
          <w:sz w:val="22"/>
          <w:szCs w:val="22"/>
        </w:rPr>
        <w:t xml:space="preserve">The draft ITU-R </w:t>
      </w:r>
      <w:proofErr w:type="spellStart"/>
      <w:r>
        <w:rPr>
          <w:rFonts w:cs="Arial"/>
          <w:sz w:val="22"/>
          <w:szCs w:val="22"/>
        </w:rPr>
        <w:t>pfd</w:t>
      </w:r>
      <w:proofErr w:type="spellEnd"/>
      <w:r>
        <w:rPr>
          <w:rFonts w:cs="Arial"/>
          <w:sz w:val="22"/>
          <w:szCs w:val="22"/>
        </w:rPr>
        <w:t xml:space="preserve"> limit arises from considering 2% data loss (ITU-R Recommendation RA. 15</w:t>
      </w:r>
      <w:r w:rsidR="006C2D9B">
        <w:rPr>
          <w:rFonts w:cs="Arial"/>
          <w:sz w:val="22"/>
          <w:szCs w:val="22"/>
        </w:rPr>
        <w:t>13) and a full</w:t>
      </w:r>
      <w:r>
        <w:rPr>
          <w:rFonts w:cs="Arial"/>
          <w:sz w:val="22"/>
          <w:szCs w:val="22"/>
        </w:rPr>
        <w:t xml:space="preserve"> </w:t>
      </w:r>
      <w:r w:rsidR="006C2D9B">
        <w:rPr>
          <w:rFonts w:cs="Arial"/>
          <w:sz w:val="22"/>
          <w:szCs w:val="22"/>
        </w:rPr>
        <w:t xml:space="preserve">deployment of HAPS </w:t>
      </w:r>
      <w:r w:rsidR="0063646D">
        <w:rPr>
          <w:rFonts w:cs="Arial"/>
          <w:sz w:val="22"/>
          <w:szCs w:val="22"/>
        </w:rPr>
        <w:t xml:space="preserve">(n=81) </w:t>
      </w:r>
      <w:r w:rsidR="005B17F7">
        <w:rPr>
          <w:rFonts w:cs="Arial"/>
          <w:sz w:val="22"/>
          <w:szCs w:val="22"/>
        </w:rPr>
        <w:t>as discussed in 5C/535</w:t>
      </w:r>
      <w:r w:rsidR="006C2D9B">
        <w:rPr>
          <w:rFonts w:cs="Arial"/>
          <w:sz w:val="22"/>
          <w:szCs w:val="22"/>
        </w:rPr>
        <w:t xml:space="preserve"> </w:t>
      </w:r>
      <w:r w:rsidR="00DF086F">
        <w:rPr>
          <w:rFonts w:cs="Arial"/>
          <w:sz w:val="22"/>
          <w:szCs w:val="22"/>
        </w:rPr>
        <w:t xml:space="preserve">at the ITU-R </w:t>
      </w:r>
      <w:r w:rsidR="006C2D9B">
        <w:rPr>
          <w:rFonts w:cs="Arial"/>
          <w:sz w:val="22"/>
          <w:szCs w:val="22"/>
        </w:rPr>
        <w:t>(</w:t>
      </w:r>
      <w:r w:rsidR="00DF086F">
        <w:rPr>
          <w:rFonts w:cs="Arial"/>
          <w:sz w:val="22"/>
          <w:szCs w:val="22"/>
        </w:rPr>
        <w:t xml:space="preserve">also </w:t>
      </w:r>
      <w:r w:rsidR="009931B0">
        <w:rPr>
          <w:rFonts w:cs="Arial"/>
          <w:sz w:val="22"/>
          <w:szCs w:val="22"/>
        </w:rPr>
        <w:t>requires TIES access):</w:t>
      </w:r>
    </w:p>
    <w:p w14:paraId="02092F26" w14:textId="77777777" w:rsidR="00DF086F" w:rsidRDefault="00DF086F" w:rsidP="00C50C92">
      <w:pPr>
        <w:pStyle w:val="p1"/>
        <w:rPr>
          <w:rFonts w:cs="Arial"/>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360"/>
      </w:tblGrid>
      <w:tr w:rsidR="006C2D9B" w:rsidRPr="006C2D9B" w14:paraId="41620D8C" w14:textId="77777777" w:rsidTr="006C2D9B">
        <w:trPr>
          <w:tblCellSpacing w:w="15" w:type="dxa"/>
        </w:trPr>
        <w:tc>
          <w:tcPr>
            <w:tcW w:w="0" w:type="auto"/>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559"/>
              <w:gridCol w:w="1980"/>
              <w:gridCol w:w="1530"/>
              <w:gridCol w:w="1230"/>
              <w:gridCol w:w="438"/>
            </w:tblGrid>
            <w:tr w:rsidR="006C2D9B" w:rsidRPr="006C2D9B" w14:paraId="2DB62ED3" w14:textId="77777777">
              <w:trPr>
                <w:trHeight w:val="20"/>
                <w:tblCellSpacing w:w="15" w:type="dxa"/>
              </w:trPr>
              <w:tc>
                <w:tcPr>
                  <w:tcW w:w="0" w:type="auto"/>
                  <w:vAlign w:val="center"/>
                  <w:hideMark/>
                </w:tcPr>
                <w:p w14:paraId="212D2F27" w14:textId="77777777" w:rsidR="006C2D9B" w:rsidRPr="006C2D9B" w:rsidRDefault="006C2D9B" w:rsidP="006C2D9B">
                  <w:pPr>
                    <w:rPr>
                      <w:sz w:val="20"/>
                      <w:szCs w:val="20"/>
                    </w:rPr>
                  </w:pPr>
                </w:p>
              </w:tc>
              <w:tc>
                <w:tcPr>
                  <w:tcW w:w="0" w:type="auto"/>
                  <w:gridSpan w:val="4"/>
                  <w:shd w:val="clear" w:color="auto" w:fill="000000"/>
                  <w:vAlign w:val="center"/>
                  <w:hideMark/>
                </w:tcPr>
                <w:p w14:paraId="5D76B2CC" w14:textId="77777777" w:rsidR="006C2D9B" w:rsidRPr="006C2D9B" w:rsidRDefault="006C2D9B" w:rsidP="006C2D9B">
                  <w:pPr>
                    <w:jc w:val="right"/>
                    <w:rPr>
                      <w:sz w:val="20"/>
                      <w:szCs w:val="20"/>
                    </w:rPr>
                  </w:pPr>
                </w:p>
              </w:tc>
            </w:tr>
            <w:tr w:rsidR="006C2D9B" w:rsidRPr="006C2D9B" w14:paraId="3E98D042" w14:textId="77777777">
              <w:trPr>
                <w:tblCellSpacing w:w="15" w:type="dxa"/>
              </w:trPr>
              <w:tc>
                <w:tcPr>
                  <w:tcW w:w="0" w:type="auto"/>
                  <w:noWrap/>
                  <w:vAlign w:val="center"/>
                  <w:hideMark/>
                </w:tcPr>
                <w:p w14:paraId="412F3203" w14:textId="77777777" w:rsidR="006C2D9B" w:rsidRPr="006C2D9B" w:rsidRDefault="006C2D9B" w:rsidP="006C2D9B">
                  <w:pPr>
                    <w:jc w:val="center"/>
                  </w:pPr>
                  <w:r w:rsidRPr="006C2D9B">
                    <w:rPr>
                      <w:b/>
                      <w:bCs/>
                      <w:color w:val="000000"/>
                      <w:sz w:val="15"/>
                      <w:szCs w:val="15"/>
                    </w:rPr>
                    <w:t xml:space="preserve">English </w:t>
                  </w:r>
                </w:p>
              </w:tc>
              <w:tc>
                <w:tcPr>
                  <w:tcW w:w="1950" w:type="dxa"/>
                  <w:shd w:val="clear" w:color="auto" w:fill="FFFF80"/>
                  <w:noWrap/>
                  <w:vAlign w:val="center"/>
                  <w:hideMark/>
                </w:tcPr>
                <w:p w14:paraId="4A9E835E" w14:textId="3A06C172" w:rsidR="006C2D9B" w:rsidRPr="006C2D9B" w:rsidRDefault="008137F5" w:rsidP="006C2D9B">
                  <w:pPr>
                    <w:spacing w:before="100" w:beforeAutospacing="1" w:after="100" w:afterAutospacing="1"/>
                  </w:pPr>
                  <w:hyperlink r:id="rId11" w:tgtFrame="_blank" w:history="1">
                    <w:r w:rsidR="006C2D9B" w:rsidRPr="006C2D9B">
                      <w:rPr>
                        <w:color w:val="0000FF"/>
                      </w:rPr>
                      <w:fldChar w:fldCharType="begin"/>
                    </w:r>
                    <w:r w:rsidR="006C2D9B" w:rsidRPr="006C2D9B">
                      <w:rPr>
                        <w:color w:val="0000FF"/>
                      </w:rPr>
                      <w:instrText xml:space="preserve"> INCLUDEPICTURE "https://www.itu.int/res/templates/dms/images/msw12.gif" \* MERGEFORMATINET </w:instrText>
                    </w:r>
                    <w:r w:rsidR="006C2D9B" w:rsidRPr="006C2D9B">
                      <w:rPr>
                        <w:color w:val="0000FF"/>
                      </w:rPr>
                      <w:fldChar w:fldCharType="separate"/>
                    </w:r>
                    <w:r w:rsidR="006C2D9B" w:rsidRPr="006C2D9B">
                      <w:rPr>
                        <w:noProof/>
                        <w:color w:val="0000FF"/>
                      </w:rPr>
                      <w:drawing>
                        <wp:inline distT="0" distB="0" distL="0" distR="0" wp14:anchorId="49F39879" wp14:editId="54541DC4">
                          <wp:extent cx="200660" cy="200660"/>
                          <wp:effectExtent l="0" t="0" r="2540" b="2540"/>
                          <wp:docPr id="7" name="Picture 7" descr="https://www.itu.int/res/templates/dms/images/msw12.gif">
                            <a:hlinkClick xmlns:a="http://schemas.openxmlformats.org/drawingml/2006/main" r:id="rId11"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s://www.itu.int/res/templates/dms/images/msw12.gif">
                                    <a:hlinkClick r:id="rId11" tgtFrame="&quot;_blank&quot;"/>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00660" cy="200660"/>
                                  </a:xfrm>
                                  <a:prstGeom prst="rect">
                                    <a:avLst/>
                                  </a:prstGeom>
                                  <a:noFill/>
                                  <a:ln>
                                    <a:noFill/>
                                  </a:ln>
                                </pic:spPr>
                              </pic:pic>
                            </a:graphicData>
                          </a:graphic>
                        </wp:inline>
                      </w:drawing>
                    </w:r>
                    <w:r w:rsidR="006C2D9B" w:rsidRPr="006C2D9B">
                      <w:rPr>
                        <w:color w:val="0000FF"/>
                      </w:rPr>
                      <w:fldChar w:fldCharType="end"/>
                    </w:r>
                    <w:r w:rsidR="006C2D9B" w:rsidRPr="006C2D9B">
                      <w:rPr>
                        <w:b/>
                        <w:bCs/>
                        <w:color w:val="0000FF"/>
                        <w:sz w:val="15"/>
                        <w:szCs w:val="15"/>
                        <w:u w:val="single"/>
                      </w:rPr>
                      <w:t xml:space="preserve">Word 2010 </w:t>
                    </w:r>
                  </w:hyperlink>
                  <w:r w:rsidR="006C2D9B" w:rsidRPr="006C2D9B">
                    <w:t xml:space="preserve">  </w:t>
                  </w:r>
                </w:p>
              </w:tc>
              <w:tc>
                <w:tcPr>
                  <w:tcW w:w="1500" w:type="dxa"/>
                  <w:shd w:val="clear" w:color="auto" w:fill="FFFFCC"/>
                  <w:noWrap/>
                  <w:vAlign w:val="center"/>
                  <w:hideMark/>
                </w:tcPr>
                <w:p w14:paraId="3E2284AA" w14:textId="77777777" w:rsidR="006C2D9B" w:rsidRPr="006C2D9B" w:rsidRDefault="006C2D9B" w:rsidP="006C2D9B">
                  <w:pPr>
                    <w:jc w:val="right"/>
                  </w:pPr>
                  <w:r w:rsidRPr="006C2D9B">
                    <w:rPr>
                      <w:b/>
                      <w:bCs/>
                      <w:color w:val="000080"/>
                      <w:sz w:val="15"/>
                      <w:szCs w:val="15"/>
                    </w:rPr>
                    <w:t xml:space="preserve">202018 bytes </w:t>
                  </w:r>
                </w:p>
              </w:tc>
              <w:tc>
                <w:tcPr>
                  <w:tcW w:w="1200" w:type="dxa"/>
                  <w:shd w:val="clear" w:color="auto" w:fill="FFFFCC"/>
                  <w:noWrap/>
                  <w:vAlign w:val="center"/>
                  <w:hideMark/>
                </w:tcPr>
                <w:p w14:paraId="4D484D97" w14:textId="77777777" w:rsidR="006C2D9B" w:rsidRPr="006C2D9B" w:rsidRDefault="006C2D9B" w:rsidP="006C2D9B">
                  <w:pPr>
                    <w:jc w:val="center"/>
                  </w:pPr>
                  <w:r w:rsidRPr="006C2D9B">
                    <w:rPr>
                      <w:b/>
                      <w:bCs/>
                      <w:color w:val="000080"/>
                      <w:sz w:val="15"/>
                      <w:szCs w:val="15"/>
                    </w:rPr>
                    <w:t>2018-06-12</w:t>
                  </w:r>
                </w:p>
              </w:tc>
              <w:tc>
                <w:tcPr>
                  <w:tcW w:w="0" w:type="auto"/>
                  <w:shd w:val="clear" w:color="auto" w:fill="FFFFCC"/>
                  <w:noWrap/>
                  <w:vAlign w:val="center"/>
                  <w:hideMark/>
                </w:tcPr>
                <w:p w14:paraId="69D57FE8" w14:textId="77777777" w:rsidR="006C2D9B" w:rsidRPr="006C2D9B" w:rsidRDefault="006C2D9B" w:rsidP="006C2D9B">
                  <w:r w:rsidRPr="006C2D9B">
                    <w:rPr>
                      <w:b/>
                      <w:bCs/>
                      <w:color w:val="000080"/>
                      <w:sz w:val="15"/>
                      <w:szCs w:val="15"/>
                    </w:rPr>
                    <w:t>[535] </w:t>
                  </w:r>
                  <w:r w:rsidRPr="006C2D9B">
                    <w:rPr>
                      <w:color w:val="000080"/>
                      <w:sz w:val="15"/>
                      <w:szCs w:val="15"/>
                    </w:rPr>
                    <w:t xml:space="preserve"> </w:t>
                  </w:r>
                </w:p>
              </w:tc>
            </w:tr>
            <w:tr w:rsidR="006C2D9B" w:rsidRPr="006C2D9B" w14:paraId="20CD822B" w14:textId="77777777">
              <w:trPr>
                <w:trHeight w:val="20"/>
                <w:tblCellSpacing w:w="15" w:type="dxa"/>
              </w:trPr>
              <w:tc>
                <w:tcPr>
                  <w:tcW w:w="0" w:type="auto"/>
                  <w:vAlign w:val="center"/>
                  <w:hideMark/>
                </w:tcPr>
                <w:p w14:paraId="077A39D0" w14:textId="77777777" w:rsidR="006C2D9B" w:rsidRPr="006C2D9B" w:rsidRDefault="006C2D9B" w:rsidP="006C2D9B"/>
              </w:tc>
              <w:tc>
                <w:tcPr>
                  <w:tcW w:w="0" w:type="auto"/>
                  <w:gridSpan w:val="4"/>
                  <w:shd w:val="clear" w:color="auto" w:fill="000000"/>
                  <w:vAlign w:val="center"/>
                  <w:hideMark/>
                </w:tcPr>
                <w:p w14:paraId="77089F20" w14:textId="77777777" w:rsidR="006C2D9B" w:rsidRPr="006C2D9B" w:rsidRDefault="006C2D9B" w:rsidP="006C2D9B">
                  <w:pPr>
                    <w:jc w:val="right"/>
                    <w:rPr>
                      <w:sz w:val="20"/>
                      <w:szCs w:val="20"/>
                    </w:rPr>
                  </w:pPr>
                </w:p>
              </w:tc>
            </w:tr>
          </w:tbl>
          <w:p w14:paraId="070762B2" w14:textId="77777777" w:rsidR="006C2D9B" w:rsidRPr="006C2D9B" w:rsidRDefault="006C2D9B" w:rsidP="006C2D9B"/>
        </w:tc>
      </w:tr>
    </w:tbl>
    <w:p w14:paraId="4FC5C1D6" w14:textId="776595EF" w:rsidR="006C2D9B" w:rsidRDefault="006C2D9B" w:rsidP="006C2D9B">
      <w:r w:rsidRPr="006C2D9B">
        <w:t xml:space="preserve">  </w:t>
      </w:r>
    </w:p>
    <w:p w14:paraId="7860B447" w14:textId="087CEBC5" w:rsidR="00DA0FFC" w:rsidRPr="00B31B00" w:rsidRDefault="00C22842" w:rsidP="00B31B00">
      <w:pPr>
        <w:pStyle w:val="p1"/>
        <w:rPr>
          <w:rFonts w:cs="Arial"/>
          <w:sz w:val="22"/>
          <w:szCs w:val="22"/>
        </w:rPr>
      </w:pPr>
      <w:r>
        <w:rPr>
          <w:rFonts w:cs="Arial"/>
          <w:sz w:val="22"/>
          <w:szCs w:val="22"/>
        </w:rPr>
        <w:t>In practice the zone of avoidance used by the radio</w:t>
      </w:r>
      <w:r w:rsidR="00B31B00">
        <w:rPr>
          <w:rFonts w:cs="Arial"/>
          <w:sz w:val="22"/>
          <w:szCs w:val="22"/>
        </w:rPr>
        <w:t xml:space="preserve"> astronomy op</w:t>
      </w:r>
      <w:r w:rsidR="0063646D">
        <w:rPr>
          <w:rFonts w:cs="Arial"/>
          <w:sz w:val="22"/>
          <w:szCs w:val="22"/>
        </w:rPr>
        <w:t>erator might</w:t>
      </w:r>
      <w:r w:rsidR="00B31B00">
        <w:rPr>
          <w:rFonts w:cs="Arial"/>
          <w:sz w:val="22"/>
          <w:szCs w:val="22"/>
        </w:rPr>
        <w:t xml:space="preserve"> be the convolution of</w:t>
      </w:r>
      <w:r>
        <w:rPr>
          <w:rFonts w:cs="Arial"/>
          <w:sz w:val="22"/>
          <w:szCs w:val="22"/>
        </w:rPr>
        <w:t xml:space="preserve"> </w:t>
      </w:r>
      <w:r w:rsidR="00B31B00">
        <w:rPr>
          <w:rFonts w:cs="Arial"/>
          <w:sz w:val="22"/>
          <w:szCs w:val="22"/>
        </w:rPr>
        <w:t>a</w:t>
      </w:r>
      <w:r>
        <w:rPr>
          <w:rFonts w:cs="Arial"/>
          <w:sz w:val="22"/>
          <w:szCs w:val="22"/>
        </w:rPr>
        <w:t xml:space="preserve"> platform’</w:t>
      </w:r>
      <w:r w:rsidR="00B31B00">
        <w:rPr>
          <w:rFonts w:cs="Arial"/>
          <w:sz w:val="22"/>
          <w:szCs w:val="22"/>
        </w:rPr>
        <w:t>s orbit as seen from the radio telescope and the con</w:t>
      </w:r>
      <w:r w:rsidR="00672F1D">
        <w:rPr>
          <w:rFonts w:cs="Arial"/>
          <w:sz w:val="22"/>
          <w:szCs w:val="22"/>
        </w:rPr>
        <w:t>e of avoidance calculated</w:t>
      </w:r>
      <w:r w:rsidR="0063646D">
        <w:rPr>
          <w:rFonts w:cs="Arial"/>
          <w:sz w:val="22"/>
          <w:szCs w:val="22"/>
        </w:rPr>
        <w:t xml:space="preserve"> for a stationary platform, increasing</w:t>
      </w:r>
      <w:r w:rsidR="00B31B00">
        <w:rPr>
          <w:rFonts w:cs="Arial"/>
          <w:sz w:val="22"/>
          <w:szCs w:val="22"/>
        </w:rPr>
        <w:t xml:space="preserve"> the amount of sky blockage and data loss.</w:t>
      </w:r>
    </w:p>
    <w:p w14:paraId="70D435E5" w14:textId="77777777" w:rsidR="00B43097" w:rsidRPr="00C50C92" w:rsidRDefault="00B43097" w:rsidP="00C50C92">
      <w:pPr>
        <w:pStyle w:val="p1"/>
        <w:rPr>
          <w:rFonts w:cs="Arial"/>
          <w:sz w:val="22"/>
          <w:szCs w:val="22"/>
        </w:rPr>
      </w:pPr>
    </w:p>
    <w:p w14:paraId="5091EFDF" w14:textId="5FCD9A66" w:rsidR="00345D83" w:rsidRPr="007000F4" w:rsidRDefault="004C2C9C" w:rsidP="00345D83">
      <w:pPr>
        <w:pStyle w:val="p1"/>
        <w:numPr>
          <w:ilvl w:val="0"/>
          <w:numId w:val="1"/>
        </w:numPr>
        <w:rPr>
          <w:rFonts w:cs="Arial"/>
          <w:b/>
          <w:sz w:val="22"/>
          <w:szCs w:val="22"/>
        </w:rPr>
      </w:pPr>
      <w:r>
        <w:rPr>
          <w:rFonts w:cs="Arial"/>
          <w:b/>
          <w:sz w:val="22"/>
          <w:szCs w:val="22"/>
        </w:rPr>
        <w:t>C</w:t>
      </w:r>
      <w:r w:rsidR="00345D83" w:rsidRPr="007000F4">
        <w:rPr>
          <w:rFonts w:cs="Arial"/>
          <w:b/>
          <w:sz w:val="22"/>
          <w:szCs w:val="22"/>
        </w:rPr>
        <w:t>oncerns</w:t>
      </w:r>
      <w:r>
        <w:rPr>
          <w:rFonts w:cs="Arial"/>
          <w:b/>
          <w:sz w:val="22"/>
          <w:szCs w:val="22"/>
        </w:rPr>
        <w:t xml:space="preserve"> of compatibility and survivability</w:t>
      </w:r>
    </w:p>
    <w:p w14:paraId="73ACC49D" w14:textId="77777777" w:rsidR="00345D83" w:rsidRDefault="00345D83" w:rsidP="00EC2DFB">
      <w:pPr>
        <w:pStyle w:val="p1"/>
        <w:rPr>
          <w:rFonts w:cs="Arial"/>
          <w:sz w:val="22"/>
          <w:szCs w:val="22"/>
        </w:rPr>
      </w:pPr>
    </w:p>
    <w:p w14:paraId="76126FE6" w14:textId="5C0CDD31" w:rsidR="008D3BE1" w:rsidRDefault="00345D83" w:rsidP="00EC2DFB">
      <w:pPr>
        <w:pStyle w:val="p1"/>
        <w:rPr>
          <w:rFonts w:cs="Arial"/>
          <w:sz w:val="22"/>
          <w:szCs w:val="22"/>
        </w:rPr>
      </w:pPr>
      <w:r>
        <w:rPr>
          <w:rFonts w:cs="Arial"/>
          <w:sz w:val="22"/>
          <w:szCs w:val="22"/>
        </w:rPr>
        <w:t>As th</w:t>
      </w:r>
      <w:r w:rsidR="008D3BE1">
        <w:rPr>
          <w:rFonts w:cs="Arial"/>
          <w:sz w:val="22"/>
          <w:szCs w:val="22"/>
        </w:rPr>
        <w:t>e discussion in Section II suggests</w:t>
      </w:r>
      <w:r w:rsidR="00AA0F79">
        <w:rPr>
          <w:rFonts w:cs="Arial"/>
          <w:sz w:val="22"/>
          <w:szCs w:val="22"/>
        </w:rPr>
        <w:t xml:space="preserve">, compatibility </w:t>
      </w:r>
      <w:r w:rsidR="00D16EAF">
        <w:rPr>
          <w:rFonts w:cs="Arial"/>
          <w:sz w:val="22"/>
          <w:szCs w:val="22"/>
        </w:rPr>
        <w:t xml:space="preserve">in the radio astronomy band </w:t>
      </w:r>
      <w:r w:rsidR="00AA0F79">
        <w:rPr>
          <w:rFonts w:cs="Arial"/>
          <w:sz w:val="22"/>
          <w:szCs w:val="22"/>
        </w:rPr>
        <w:t>requires</w:t>
      </w:r>
      <w:r w:rsidR="00905B81">
        <w:rPr>
          <w:rFonts w:cs="Arial"/>
          <w:sz w:val="22"/>
          <w:szCs w:val="22"/>
        </w:rPr>
        <w:t xml:space="preserve"> mutual</w:t>
      </w:r>
      <w:r>
        <w:rPr>
          <w:rFonts w:cs="Arial"/>
          <w:sz w:val="22"/>
          <w:szCs w:val="22"/>
        </w:rPr>
        <w:t xml:space="preserve"> </w:t>
      </w:r>
      <w:r w:rsidR="008D3BE1">
        <w:rPr>
          <w:rFonts w:cs="Arial"/>
          <w:sz w:val="22"/>
          <w:szCs w:val="22"/>
        </w:rPr>
        <w:t xml:space="preserve">avoidance </w:t>
      </w:r>
      <w:r w:rsidR="00905B81">
        <w:rPr>
          <w:rFonts w:cs="Arial"/>
          <w:sz w:val="22"/>
          <w:szCs w:val="22"/>
        </w:rPr>
        <w:t>by HAPS platforms and</w:t>
      </w:r>
      <w:r w:rsidR="008D3BE1">
        <w:rPr>
          <w:rFonts w:cs="Arial"/>
          <w:sz w:val="22"/>
          <w:szCs w:val="22"/>
        </w:rPr>
        <w:t xml:space="preserve"> </w:t>
      </w:r>
      <w:r w:rsidR="007000F4">
        <w:rPr>
          <w:rFonts w:cs="Arial"/>
          <w:sz w:val="22"/>
          <w:szCs w:val="22"/>
        </w:rPr>
        <w:t>radio telescopes</w:t>
      </w:r>
      <w:r w:rsidR="00AA0F79">
        <w:rPr>
          <w:rFonts w:cs="Arial"/>
          <w:sz w:val="22"/>
          <w:szCs w:val="22"/>
        </w:rPr>
        <w:t xml:space="preserve">. </w:t>
      </w:r>
      <w:r>
        <w:rPr>
          <w:rFonts w:cs="Arial"/>
          <w:sz w:val="22"/>
          <w:szCs w:val="22"/>
        </w:rPr>
        <w:t xml:space="preserve"> </w:t>
      </w:r>
      <w:r w:rsidR="00AA0F79">
        <w:rPr>
          <w:rFonts w:cs="Arial"/>
          <w:sz w:val="22"/>
          <w:szCs w:val="22"/>
        </w:rPr>
        <w:t>I</w:t>
      </w:r>
      <w:r w:rsidR="004B6788">
        <w:rPr>
          <w:rFonts w:cs="Arial"/>
          <w:sz w:val="22"/>
          <w:szCs w:val="22"/>
        </w:rPr>
        <w:t>f a</w:t>
      </w:r>
      <w:r w:rsidR="00905B81">
        <w:rPr>
          <w:rFonts w:cs="Arial"/>
          <w:sz w:val="22"/>
          <w:szCs w:val="22"/>
        </w:rPr>
        <w:t xml:space="preserve"> platform points too dir</w:t>
      </w:r>
      <w:r w:rsidR="00AA0F79">
        <w:rPr>
          <w:rFonts w:cs="Arial"/>
          <w:sz w:val="22"/>
          <w:szCs w:val="22"/>
        </w:rPr>
        <w:t xml:space="preserve">ectly at the radio telescope it could violate the </w:t>
      </w:r>
      <w:proofErr w:type="spellStart"/>
      <w:r w:rsidR="00AA0F79">
        <w:rPr>
          <w:rFonts w:cs="Arial"/>
          <w:sz w:val="22"/>
          <w:szCs w:val="22"/>
        </w:rPr>
        <w:t>pfd</w:t>
      </w:r>
      <w:proofErr w:type="spellEnd"/>
      <w:r w:rsidR="00AA0F79">
        <w:rPr>
          <w:rFonts w:cs="Arial"/>
          <w:sz w:val="22"/>
          <w:szCs w:val="22"/>
        </w:rPr>
        <w:t xml:space="preserve"> limit.  For the radio telescope, </w:t>
      </w:r>
      <w:r w:rsidR="00755ED1">
        <w:rPr>
          <w:rFonts w:cs="Arial"/>
          <w:sz w:val="22"/>
          <w:szCs w:val="22"/>
        </w:rPr>
        <w:t>i</w:t>
      </w:r>
      <w:r>
        <w:rPr>
          <w:rFonts w:cs="Arial"/>
          <w:sz w:val="22"/>
          <w:szCs w:val="22"/>
        </w:rPr>
        <w:t>f an antenna</w:t>
      </w:r>
      <w:r w:rsidR="008D3BE1">
        <w:rPr>
          <w:rFonts w:cs="Arial"/>
          <w:sz w:val="22"/>
          <w:szCs w:val="22"/>
        </w:rPr>
        <w:t xml:space="preserve"> with 80</w:t>
      </w:r>
      <w:r>
        <w:rPr>
          <w:rFonts w:cs="Arial"/>
          <w:sz w:val="22"/>
          <w:szCs w:val="22"/>
        </w:rPr>
        <w:t xml:space="preserve"> </w:t>
      </w:r>
      <w:proofErr w:type="spellStart"/>
      <w:r>
        <w:rPr>
          <w:rFonts w:cs="Arial"/>
          <w:sz w:val="22"/>
          <w:szCs w:val="22"/>
        </w:rPr>
        <w:t>dBi</w:t>
      </w:r>
      <w:proofErr w:type="spellEnd"/>
      <w:r>
        <w:rPr>
          <w:rFonts w:cs="Arial"/>
          <w:sz w:val="22"/>
          <w:szCs w:val="22"/>
        </w:rPr>
        <w:t xml:space="preserve"> peak</w:t>
      </w:r>
      <w:r w:rsidR="008D3BE1">
        <w:rPr>
          <w:rFonts w:cs="Arial"/>
          <w:sz w:val="22"/>
          <w:szCs w:val="22"/>
        </w:rPr>
        <w:t xml:space="preserve"> gain </w:t>
      </w:r>
      <w:r w:rsidR="006D6593">
        <w:rPr>
          <w:rFonts w:cs="Arial"/>
          <w:sz w:val="22"/>
          <w:szCs w:val="22"/>
        </w:rPr>
        <w:t xml:space="preserve">points within </w:t>
      </w:r>
      <w:r w:rsidR="00755ED1">
        <w:rPr>
          <w:rFonts w:cs="Arial"/>
          <w:sz w:val="22"/>
          <w:szCs w:val="22"/>
        </w:rPr>
        <w:t>3</w:t>
      </w:r>
      <w:r w:rsidR="00755ED1" w:rsidRPr="00981046">
        <w:rPr>
          <w:rFonts w:cs="Arial"/>
          <w:sz w:val="22"/>
          <w:szCs w:val="22"/>
          <w:vertAlign w:val="superscript"/>
        </w:rPr>
        <w:t>o</w:t>
      </w:r>
      <w:r w:rsidR="00755ED1">
        <w:rPr>
          <w:rFonts w:cs="Arial"/>
          <w:sz w:val="22"/>
          <w:szCs w:val="22"/>
        </w:rPr>
        <w:t xml:space="preserve"> </w:t>
      </w:r>
      <w:r w:rsidR="006D6593">
        <w:rPr>
          <w:rFonts w:cs="Arial"/>
          <w:sz w:val="22"/>
          <w:szCs w:val="22"/>
        </w:rPr>
        <w:t>of</w:t>
      </w:r>
      <w:r w:rsidR="00755ED1">
        <w:rPr>
          <w:rFonts w:cs="Arial"/>
          <w:sz w:val="22"/>
          <w:szCs w:val="22"/>
        </w:rPr>
        <w:t xml:space="preserve"> </w:t>
      </w:r>
      <w:r w:rsidR="008D3BE1">
        <w:rPr>
          <w:rFonts w:cs="Arial"/>
          <w:sz w:val="22"/>
          <w:szCs w:val="22"/>
        </w:rPr>
        <w:t>a platform</w:t>
      </w:r>
      <w:r w:rsidR="006E7151">
        <w:rPr>
          <w:rFonts w:cs="Arial"/>
          <w:sz w:val="22"/>
          <w:szCs w:val="22"/>
        </w:rPr>
        <w:t xml:space="preserve"> </w:t>
      </w:r>
      <w:r>
        <w:rPr>
          <w:rFonts w:cs="Arial"/>
          <w:sz w:val="22"/>
          <w:szCs w:val="22"/>
        </w:rPr>
        <w:t>it could rec</w:t>
      </w:r>
      <w:r w:rsidR="00755ED1">
        <w:rPr>
          <w:rFonts w:cs="Arial"/>
          <w:sz w:val="22"/>
          <w:szCs w:val="22"/>
        </w:rPr>
        <w:t>eive radiation</w:t>
      </w:r>
      <w:r w:rsidR="00E469F6">
        <w:rPr>
          <w:rFonts w:cs="Arial"/>
          <w:sz w:val="22"/>
          <w:szCs w:val="22"/>
        </w:rPr>
        <w:t xml:space="preserve"> in a protected band that is</w:t>
      </w:r>
      <w:r w:rsidR="006E7151">
        <w:rPr>
          <w:rFonts w:cs="Arial"/>
          <w:sz w:val="22"/>
          <w:szCs w:val="22"/>
        </w:rPr>
        <w:t xml:space="preserve"> </w:t>
      </w:r>
      <w:r w:rsidR="000541C5">
        <w:rPr>
          <w:rFonts w:cs="Arial"/>
          <w:sz w:val="22"/>
          <w:szCs w:val="22"/>
        </w:rPr>
        <w:t>(</w:t>
      </w:r>
      <w:r w:rsidR="006E7151">
        <w:rPr>
          <w:rFonts w:cs="Arial"/>
          <w:sz w:val="22"/>
          <w:szCs w:val="22"/>
        </w:rPr>
        <w:t>-20+80</w:t>
      </w:r>
      <w:r w:rsidR="000541C5">
        <w:rPr>
          <w:rFonts w:cs="Arial"/>
          <w:sz w:val="22"/>
          <w:szCs w:val="22"/>
        </w:rPr>
        <w:t>)</w:t>
      </w:r>
      <w:r w:rsidR="006E7151">
        <w:rPr>
          <w:rFonts w:cs="Arial"/>
          <w:sz w:val="22"/>
          <w:szCs w:val="22"/>
        </w:rPr>
        <w:t xml:space="preserve"> = </w:t>
      </w:r>
      <w:r>
        <w:rPr>
          <w:rFonts w:cs="Arial"/>
          <w:sz w:val="22"/>
          <w:szCs w:val="22"/>
        </w:rPr>
        <w:t xml:space="preserve">60 dB above the </w:t>
      </w:r>
      <w:r w:rsidR="006D6593">
        <w:rPr>
          <w:rFonts w:cs="Arial"/>
          <w:sz w:val="22"/>
          <w:szCs w:val="22"/>
        </w:rPr>
        <w:t xml:space="preserve">RA. 769 </w:t>
      </w:r>
      <w:r>
        <w:rPr>
          <w:rFonts w:cs="Arial"/>
          <w:sz w:val="22"/>
          <w:szCs w:val="22"/>
        </w:rPr>
        <w:t>protection threshold</w:t>
      </w:r>
      <w:r w:rsidR="008D3BE1">
        <w:rPr>
          <w:rFonts w:cs="Arial"/>
          <w:sz w:val="22"/>
          <w:szCs w:val="22"/>
        </w:rPr>
        <w:t>. Indiscriminately a</w:t>
      </w:r>
      <w:r w:rsidR="00755ED1">
        <w:rPr>
          <w:rFonts w:cs="Arial"/>
          <w:sz w:val="22"/>
          <w:szCs w:val="22"/>
        </w:rPr>
        <w:t xml:space="preserve">veraging </w:t>
      </w:r>
      <w:r w:rsidR="008D3BE1">
        <w:rPr>
          <w:rFonts w:cs="Arial"/>
          <w:sz w:val="22"/>
          <w:szCs w:val="22"/>
        </w:rPr>
        <w:t>1s of such data could contaminate</w:t>
      </w:r>
      <w:r w:rsidR="00755ED1">
        <w:rPr>
          <w:rFonts w:cs="Arial"/>
          <w:sz w:val="22"/>
          <w:szCs w:val="22"/>
        </w:rPr>
        <w:t xml:space="preserve"> </w:t>
      </w:r>
      <w:r w:rsidR="004B6788">
        <w:rPr>
          <w:rFonts w:cs="Arial"/>
          <w:sz w:val="22"/>
          <w:szCs w:val="22"/>
        </w:rPr>
        <w:t>data</w:t>
      </w:r>
      <w:r w:rsidR="00755ED1">
        <w:rPr>
          <w:rFonts w:cs="Arial"/>
          <w:sz w:val="22"/>
          <w:szCs w:val="22"/>
        </w:rPr>
        <w:t xml:space="preserve"> taken over</w:t>
      </w:r>
      <w:r w:rsidR="004B6788">
        <w:rPr>
          <w:rFonts w:cs="Arial"/>
          <w:sz w:val="22"/>
          <w:szCs w:val="22"/>
        </w:rPr>
        <w:t xml:space="preserve"> </w:t>
      </w:r>
      <w:r w:rsidR="008D3BE1">
        <w:rPr>
          <w:rFonts w:cs="Arial"/>
          <w:sz w:val="22"/>
          <w:szCs w:val="22"/>
        </w:rPr>
        <w:t>~ 10</w:t>
      </w:r>
      <w:r w:rsidR="008D3BE1" w:rsidRPr="008D3BE1">
        <w:rPr>
          <w:rFonts w:cs="Arial"/>
          <w:sz w:val="22"/>
          <w:szCs w:val="22"/>
          <w:vertAlign w:val="superscript"/>
        </w:rPr>
        <w:t>6</w:t>
      </w:r>
      <w:r w:rsidR="008D3BE1">
        <w:rPr>
          <w:rFonts w:cs="Arial"/>
          <w:sz w:val="22"/>
          <w:szCs w:val="22"/>
          <w:vertAlign w:val="superscript"/>
        </w:rPr>
        <w:t xml:space="preserve"> </w:t>
      </w:r>
      <w:r w:rsidR="008D3BE1">
        <w:rPr>
          <w:rFonts w:cs="Arial"/>
          <w:sz w:val="22"/>
          <w:szCs w:val="22"/>
        </w:rPr>
        <w:t>s</w:t>
      </w:r>
      <w:r w:rsidR="004B6788">
        <w:rPr>
          <w:rFonts w:cs="Arial"/>
          <w:sz w:val="22"/>
          <w:szCs w:val="22"/>
        </w:rPr>
        <w:t>.</w:t>
      </w:r>
    </w:p>
    <w:p w14:paraId="5B7B1FE7" w14:textId="77777777" w:rsidR="008D3BE1" w:rsidRDefault="008D3BE1" w:rsidP="00EC2DFB">
      <w:pPr>
        <w:pStyle w:val="p1"/>
        <w:rPr>
          <w:rFonts w:cs="Arial"/>
          <w:sz w:val="22"/>
          <w:szCs w:val="22"/>
        </w:rPr>
      </w:pPr>
    </w:p>
    <w:p w14:paraId="3D8B3343" w14:textId="70E35273" w:rsidR="003B5DE8" w:rsidRDefault="003B5DE8" w:rsidP="00EC2DFB">
      <w:pPr>
        <w:pStyle w:val="p1"/>
        <w:rPr>
          <w:rFonts w:cs="Arial"/>
          <w:sz w:val="22"/>
          <w:szCs w:val="22"/>
        </w:rPr>
      </w:pPr>
      <w:r>
        <w:rPr>
          <w:rFonts w:cs="Arial"/>
          <w:sz w:val="22"/>
          <w:szCs w:val="22"/>
        </w:rPr>
        <w:t>As things now stand, radio astronomy receivers accept radiation in the HAPS downlink bands at the same time that they observe in the radio astronomy band, and this has not been an issue.</w:t>
      </w:r>
    </w:p>
    <w:p w14:paraId="71AEE14F" w14:textId="64630FE8" w:rsidR="004C2C9C" w:rsidRDefault="003B5DE8" w:rsidP="008D3BE1">
      <w:pPr>
        <w:pStyle w:val="p1"/>
        <w:rPr>
          <w:rFonts w:cs="Arial"/>
          <w:sz w:val="22"/>
          <w:szCs w:val="22"/>
        </w:rPr>
      </w:pPr>
      <w:r>
        <w:rPr>
          <w:rFonts w:cs="Arial"/>
          <w:sz w:val="22"/>
          <w:szCs w:val="22"/>
        </w:rPr>
        <w:t>However,</w:t>
      </w:r>
      <w:r w:rsidR="004C2C9C">
        <w:rPr>
          <w:rFonts w:cs="Arial"/>
          <w:sz w:val="22"/>
          <w:szCs w:val="22"/>
        </w:rPr>
        <w:t xml:space="preserve"> consider</w:t>
      </w:r>
      <w:r w:rsidR="00345D83">
        <w:rPr>
          <w:rFonts w:cs="Arial"/>
          <w:sz w:val="22"/>
          <w:szCs w:val="22"/>
        </w:rPr>
        <w:t xml:space="preserve"> what</w:t>
      </w:r>
      <w:r>
        <w:rPr>
          <w:rFonts w:cs="Arial"/>
          <w:sz w:val="22"/>
          <w:szCs w:val="22"/>
        </w:rPr>
        <w:t xml:space="preserve"> could happen if there were to be</w:t>
      </w:r>
      <w:r w:rsidR="006D6593">
        <w:rPr>
          <w:rFonts w:cs="Arial"/>
          <w:sz w:val="22"/>
          <w:szCs w:val="22"/>
        </w:rPr>
        <w:t xml:space="preserve"> strong beam </w:t>
      </w:r>
      <w:r>
        <w:rPr>
          <w:rFonts w:cs="Arial"/>
          <w:sz w:val="22"/>
          <w:szCs w:val="22"/>
        </w:rPr>
        <w:t>coupling at the frequencies of</w:t>
      </w:r>
      <w:r w:rsidR="008D3BE1">
        <w:rPr>
          <w:rFonts w:cs="Arial"/>
          <w:sz w:val="22"/>
          <w:szCs w:val="22"/>
        </w:rPr>
        <w:t xml:space="preserve"> the</w:t>
      </w:r>
      <w:r>
        <w:rPr>
          <w:rFonts w:cs="Arial"/>
          <w:sz w:val="22"/>
          <w:szCs w:val="22"/>
        </w:rPr>
        <w:t xml:space="preserve"> </w:t>
      </w:r>
      <w:r w:rsidR="00755ED1">
        <w:rPr>
          <w:rFonts w:cs="Arial"/>
          <w:sz w:val="22"/>
          <w:szCs w:val="22"/>
        </w:rPr>
        <w:t xml:space="preserve">HAPS </w:t>
      </w:r>
      <w:r w:rsidR="007B148F">
        <w:rPr>
          <w:rFonts w:cs="Arial"/>
          <w:sz w:val="22"/>
          <w:szCs w:val="22"/>
        </w:rPr>
        <w:t xml:space="preserve">downlink </w:t>
      </w:r>
      <w:r w:rsidR="00755ED1">
        <w:rPr>
          <w:rFonts w:cs="Arial"/>
          <w:sz w:val="22"/>
          <w:szCs w:val="22"/>
        </w:rPr>
        <w:t>signal</w:t>
      </w:r>
      <w:r>
        <w:rPr>
          <w:rFonts w:cs="Arial"/>
          <w:sz w:val="22"/>
          <w:szCs w:val="22"/>
        </w:rPr>
        <w:t>:  This</w:t>
      </w:r>
      <w:r w:rsidR="00EB31D8">
        <w:rPr>
          <w:rFonts w:cs="Arial"/>
          <w:sz w:val="22"/>
          <w:szCs w:val="22"/>
        </w:rPr>
        <w:t xml:space="preserve"> signal</w:t>
      </w:r>
      <w:r>
        <w:rPr>
          <w:rFonts w:cs="Arial"/>
          <w:sz w:val="22"/>
          <w:szCs w:val="22"/>
        </w:rPr>
        <w:t xml:space="preserve"> is</w:t>
      </w:r>
      <w:r w:rsidR="00755ED1">
        <w:rPr>
          <w:rFonts w:cs="Arial"/>
          <w:sz w:val="22"/>
          <w:szCs w:val="22"/>
        </w:rPr>
        <w:t xml:space="preserve"> </w:t>
      </w:r>
      <w:r w:rsidR="00AA0F79">
        <w:rPr>
          <w:rFonts w:cs="Arial"/>
          <w:sz w:val="22"/>
          <w:szCs w:val="22"/>
        </w:rPr>
        <w:t xml:space="preserve">much </w:t>
      </w:r>
      <w:r w:rsidR="00345D83">
        <w:rPr>
          <w:rFonts w:cs="Arial"/>
          <w:sz w:val="22"/>
          <w:szCs w:val="22"/>
        </w:rPr>
        <w:t xml:space="preserve">stronger than the </w:t>
      </w:r>
      <w:r w:rsidR="008D3BE1">
        <w:rPr>
          <w:rFonts w:cs="Arial"/>
          <w:sz w:val="22"/>
          <w:szCs w:val="22"/>
        </w:rPr>
        <w:t xml:space="preserve">unwanted </w:t>
      </w:r>
      <w:r w:rsidR="007B148F">
        <w:rPr>
          <w:rFonts w:cs="Arial"/>
          <w:sz w:val="22"/>
          <w:szCs w:val="22"/>
        </w:rPr>
        <w:t>emissions</w:t>
      </w:r>
      <w:r w:rsidR="00AA0F79">
        <w:rPr>
          <w:rFonts w:cs="Arial"/>
          <w:sz w:val="22"/>
          <w:szCs w:val="22"/>
        </w:rPr>
        <w:t xml:space="preserve"> in the ra</w:t>
      </w:r>
      <w:r w:rsidR="002D14B4">
        <w:rPr>
          <w:rFonts w:cs="Arial"/>
          <w:sz w:val="22"/>
          <w:szCs w:val="22"/>
        </w:rPr>
        <w:t xml:space="preserve">dio astronomy band, and perhaps </w:t>
      </w:r>
      <w:r w:rsidR="00BA520B">
        <w:rPr>
          <w:rFonts w:cs="Arial"/>
          <w:sz w:val="22"/>
          <w:szCs w:val="22"/>
        </w:rPr>
        <w:t>14</w:t>
      </w:r>
      <w:r w:rsidR="008D3BE1">
        <w:rPr>
          <w:rFonts w:cs="Arial"/>
          <w:sz w:val="22"/>
          <w:szCs w:val="22"/>
        </w:rPr>
        <w:t>0 dB above the</w:t>
      </w:r>
      <w:r w:rsidR="0040045A">
        <w:rPr>
          <w:rFonts w:cs="Arial"/>
          <w:sz w:val="22"/>
          <w:szCs w:val="22"/>
        </w:rPr>
        <w:t xml:space="preserve"> radio astronomy</w:t>
      </w:r>
      <w:r w:rsidR="008D3BE1">
        <w:rPr>
          <w:rFonts w:cs="Arial"/>
          <w:sz w:val="22"/>
          <w:szCs w:val="22"/>
        </w:rPr>
        <w:t xml:space="preserve"> protection threshold</w:t>
      </w:r>
      <w:r>
        <w:rPr>
          <w:rFonts w:cs="Arial"/>
          <w:sz w:val="22"/>
          <w:szCs w:val="22"/>
        </w:rPr>
        <w:t xml:space="preserve"> in the radio astronomy band</w:t>
      </w:r>
      <w:r w:rsidR="008D3BE1">
        <w:rPr>
          <w:rFonts w:cs="Arial"/>
          <w:sz w:val="22"/>
          <w:szCs w:val="22"/>
        </w:rPr>
        <w:t>.</w:t>
      </w:r>
      <w:r w:rsidR="0040045A">
        <w:rPr>
          <w:rFonts w:cs="Arial"/>
          <w:sz w:val="22"/>
          <w:szCs w:val="22"/>
        </w:rPr>
        <w:t xml:space="preserve"> </w:t>
      </w:r>
      <w:r w:rsidR="00BA520B">
        <w:rPr>
          <w:rFonts w:cs="Arial"/>
          <w:sz w:val="22"/>
          <w:szCs w:val="22"/>
        </w:rPr>
        <w:t xml:space="preserve">The same -3 dB W/MHz </w:t>
      </w:r>
      <w:proofErr w:type="spellStart"/>
      <w:r w:rsidR="00BA520B">
        <w:rPr>
          <w:rFonts w:cs="Arial"/>
          <w:sz w:val="22"/>
          <w:szCs w:val="22"/>
        </w:rPr>
        <w:t>eirp</w:t>
      </w:r>
      <w:proofErr w:type="spellEnd"/>
      <w:r w:rsidR="00BA520B">
        <w:rPr>
          <w:rFonts w:cs="Arial"/>
          <w:sz w:val="22"/>
          <w:szCs w:val="22"/>
        </w:rPr>
        <w:t xml:space="preserve"> </w:t>
      </w:r>
      <w:r w:rsidR="00462FA6">
        <w:rPr>
          <w:rFonts w:cs="Arial"/>
          <w:sz w:val="22"/>
          <w:szCs w:val="22"/>
        </w:rPr>
        <w:t xml:space="preserve">spectral </w:t>
      </w:r>
      <w:r w:rsidR="00BA520B">
        <w:rPr>
          <w:rFonts w:cs="Arial"/>
          <w:sz w:val="22"/>
          <w:szCs w:val="22"/>
        </w:rPr>
        <w:t xml:space="preserve">density that produces a </w:t>
      </w:r>
      <w:proofErr w:type="spellStart"/>
      <w:r w:rsidR="00BA520B">
        <w:rPr>
          <w:rFonts w:cs="Arial"/>
          <w:sz w:val="22"/>
          <w:szCs w:val="22"/>
        </w:rPr>
        <w:t>pfd</w:t>
      </w:r>
      <w:proofErr w:type="spellEnd"/>
      <w:r w:rsidR="00BA520B">
        <w:rPr>
          <w:rFonts w:cs="Arial"/>
          <w:sz w:val="22"/>
          <w:szCs w:val="22"/>
        </w:rPr>
        <w:t xml:space="preserve"> </w:t>
      </w:r>
      <w:r w:rsidR="00E469F6">
        <w:rPr>
          <w:rFonts w:cs="Arial"/>
          <w:sz w:val="22"/>
          <w:szCs w:val="22"/>
        </w:rPr>
        <w:t xml:space="preserve">equal to </w:t>
      </w:r>
      <w:r w:rsidR="00BA520B">
        <w:rPr>
          <w:rFonts w:cs="Arial"/>
          <w:sz w:val="22"/>
          <w:szCs w:val="22"/>
        </w:rPr>
        <w:t>-111.5 dB W/m</w:t>
      </w:r>
      <w:r w:rsidR="00BA520B" w:rsidRPr="00BA520B">
        <w:rPr>
          <w:rFonts w:cs="Arial"/>
          <w:sz w:val="22"/>
          <w:szCs w:val="22"/>
          <w:vertAlign w:val="superscript"/>
        </w:rPr>
        <w:t>2</w:t>
      </w:r>
      <w:r w:rsidR="00462FA6">
        <w:rPr>
          <w:rFonts w:cs="Arial"/>
          <w:sz w:val="22"/>
          <w:szCs w:val="22"/>
        </w:rPr>
        <w:t>/MHz at the edge of a 70 km-</w:t>
      </w:r>
      <w:r w:rsidR="00BA520B">
        <w:rPr>
          <w:rFonts w:cs="Arial"/>
          <w:sz w:val="22"/>
          <w:szCs w:val="22"/>
        </w:rPr>
        <w:t xml:space="preserve">radius platform service area </w:t>
      </w:r>
      <w:r>
        <w:rPr>
          <w:rFonts w:cs="Arial"/>
          <w:sz w:val="22"/>
          <w:szCs w:val="22"/>
        </w:rPr>
        <w:t xml:space="preserve">in clear weather </w:t>
      </w:r>
      <w:r w:rsidR="005E3A48">
        <w:rPr>
          <w:rFonts w:cs="Arial"/>
          <w:sz w:val="22"/>
          <w:szCs w:val="22"/>
        </w:rPr>
        <w:t>puts 1/6</w:t>
      </w:r>
      <w:r w:rsidR="00BA520B">
        <w:rPr>
          <w:rFonts w:cs="Arial"/>
          <w:sz w:val="22"/>
          <w:szCs w:val="22"/>
        </w:rPr>
        <w:t xml:space="preserve"> </w:t>
      </w:r>
      <w:proofErr w:type="spellStart"/>
      <w:r w:rsidR="00BA520B">
        <w:rPr>
          <w:rFonts w:cs="Arial"/>
          <w:sz w:val="22"/>
          <w:szCs w:val="22"/>
        </w:rPr>
        <w:t>mW</w:t>
      </w:r>
      <w:proofErr w:type="spellEnd"/>
      <w:r w:rsidR="00BA520B">
        <w:rPr>
          <w:rFonts w:cs="Arial"/>
          <w:sz w:val="22"/>
          <w:szCs w:val="22"/>
        </w:rPr>
        <w:t xml:space="preserve"> across the </w:t>
      </w:r>
      <w:r w:rsidR="0004782F">
        <w:rPr>
          <w:rFonts w:cs="Arial"/>
          <w:sz w:val="22"/>
          <w:szCs w:val="22"/>
        </w:rPr>
        <w:t xml:space="preserve">geometric </w:t>
      </w:r>
      <w:r w:rsidR="00BA520B">
        <w:rPr>
          <w:rFonts w:cs="Arial"/>
          <w:sz w:val="22"/>
          <w:szCs w:val="22"/>
        </w:rPr>
        <w:t xml:space="preserve">surface area of a 100m telescope </w:t>
      </w:r>
      <w:r>
        <w:rPr>
          <w:rFonts w:cs="Arial"/>
          <w:sz w:val="22"/>
          <w:szCs w:val="22"/>
        </w:rPr>
        <w:t>over</w:t>
      </w:r>
      <w:r w:rsidR="00672F1D">
        <w:rPr>
          <w:rFonts w:cs="Arial"/>
          <w:sz w:val="22"/>
          <w:szCs w:val="22"/>
        </w:rPr>
        <w:t xml:space="preserve"> the 2250 MHz bandwidth of a</w:t>
      </w:r>
      <w:r w:rsidR="00BA520B">
        <w:rPr>
          <w:rFonts w:cs="Arial"/>
          <w:sz w:val="22"/>
          <w:szCs w:val="22"/>
        </w:rPr>
        <w:t xml:space="preserve"> platform</w:t>
      </w:r>
      <w:r w:rsidR="00755ED1">
        <w:rPr>
          <w:rFonts w:cs="Arial"/>
          <w:sz w:val="22"/>
          <w:szCs w:val="22"/>
        </w:rPr>
        <w:t>’</w:t>
      </w:r>
      <w:r w:rsidR="00BA520B">
        <w:rPr>
          <w:rFonts w:cs="Arial"/>
          <w:sz w:val="22"/>
          <w:szCs w:val="22"/>
        </w:rPr>
        <w:t>s downlink band</w:t>
      </w:r>
      <w:r w:rsidR="00755ED1">
        <w:rPr>
          <w:rFonts w:cs="Arial"/>
          <w:sz w:val="22"/>
          <w:szCs w:val="22"/>
        </w:rPr>
        <w:t xml:space="preserve"> at 25.25 – 27.5 GHz</w:t>
      </w:r>
      <w:r w:rsidR="00BA520B">
        <w:rPr>
          <w:rFonts w:cs="Arial"/>
          <w:sz w:val="22"/>
          <w:szCs w:val="22"/>
        </w:rPr>
        <w:t>.</w:t>
      </w:r>
    </w:p>
    <w:p w14:paraId="373B7D98" w14:textId="77777777" w:rsidR="004C2C9C" w:rsidRDefault="004C2C9C" w:rsidP="008D3BE1">
      <w:pPr>
        <w:pStyle w:val="p1"/>
        <w:rPr>
          <w:rFonts w:cs="Arial"/>
          <w:sz w:val="22"/>
          <w:szCs w:val="22"/>
        </w:rPr>
      </w:pPr>
    </w:p>
    <w:p w14:paraId="53092CF9" w14:textId="0ED5F14D" w:rsidR="00660BB6" w:rsidRDefault="00755ED1" w:rsidP="00C00A8D">
      <w:pPr>
        <w:pStyle w:val="p1"/>
        <w:rPr>
          <w:rFonts w:cs="Arial"/>
          <w:sz w:val="22"/>
          <w:szCs w:val="22"/>
        </w:rPr>
      </w:pPr>
      <w:r>
        <w:rPr>
          <w:rFonts w:cs="Arial"/>
          <w:sz w:val="22"/>
          <w:szCs w:val="22"/>
        </w:rPr>
        <w:t xml:space="preserve">Although </w:t>
      </w:r>
      <w:r w:rsidR="008B18BE">
        <w:rPr>
          <w:rFonts w:cs="Arial"/>
          <w:sz w:val="22"/>
          <w:szCs w:val="22"/>
        </w:rPr>
        <w:t>1/6</w:t>
      </w:r>
      <w:r w:rsidR="00EB31D8">
        <w:rPr>
          <w:rFonts w:cs="Arial"/>
          <w:sz w:val="22"/>
          <w:szCs w:val="22"/>
        </w:rPr>
        <w:t xml:space="preserve"> </w:t>
      </w:r>
      <w:proofErr w:type="spellStart"/>
      <w:r w:rsidR="00EB31D8">
        <w:rPr>
          <w:rFonts w:cs="Arial"/>
          <w:sz w:val="22"/>
          <w:szCs w:val="22"/>
        </w:rPr>
        <w:t>mW</w:t>
      </w:r>
      <w:proofErr w:type="spellEnd"/>
      <w:r w:rsidR="00476366">
        <w:rPr>
          <w:rFonts w:cs="Arial"/>
          <w:sz w:val="22"/>
          <w:szCs w:val="22"/>
        </w:rPr>
        <w:t xml:space="preserve"> is not enough to burn out a</w:t>
      </w:r>
      <w:r>
        <w:rPr>
          <w:rFonts w:cs="Arial"/>
          <w:sz w:val="22"/>
          <w:szCs w:val="22"/>
        </w:rPr>
        <w:t xml:space="preserve"> radio astronomy receiver, which requires ~</w:t>
      </w:r>
      <w:r w:rsidR="00D94677">
        <w:rPr>
          <w:rFonts w:cs="Arial"/>
          <w:sz w:val="22"/>
          <w:szCs w:val="22"/>
        </w:rPr>
        <w:t xml:space="preserve"> </w:t>
      </w:r>
      <w:r>
        <w:rPr>
          <w:rFonts w:cs="Arial"/>
          <w:sz w:val="22"/>
          <w:szCs w:val="22"/>
        </w:rPr>
        <w:t xml:space="preserve">25 </w:t>
      </w:r>
      <w:proofErr w:type="spellStart"/>
      <w:r>
        <w:rPr>
          <w:rFonts w:cs="Arial"/>
          <w:sz w:val="22"/>
          <w:szCs w:val="22"/>
        </w:rPr>
        <w:t>mW</w:t>
      </w:r>
      <w:proofErr w:type="spellEnd"/>
      <w:r>
        <w:rPr>
          <w:rFonts w:cs="Arial"/>
          <w:sz w:val="22"/>
          <w:szCs w:val="22"/>
        </w:rPr>
        <w:t xml:space="preserve"> according to ITU-R Report RA. 2188,</w:t>
      </w:r>
      <w:r w:rsidR="00C50C92">
        <w:rPr>
          <w:rFonts w:cs="Arial"/>
          <w:sz w:val="22"/>
          <w:szCs w:val="22"/>
        </w:rPr>
        <w:t xml:space="preserve"> it is</w:t>
      </w:r>
      <w:r w:rsidR="001175C7">
        <w:rPr>
          <w:rFonts w:cs="Arial"/>
          <w:sz w:val="22"/>
          <w:szCs w:val="22"/>
        </w:rPr>
        <w:t xml:space="preserve"> enough to</w:t>
      </w:r>
      <w:r>
        <w:rPr>
          <w:rFonts w:cs="Arial"/>
          <w:sz w:val="22"/>
          <w:szCs w:val="22"/>
        </w:rPr>
        <w:t xml:space="preserve"> </w:t>
      </w:r>
      <w:r w:rsidR="00EB31D8">
        <w:rPr>
          <w:rFonts w:cs="Arial"/>
          <w:sz w:val="22"/>
          <w:szCs w:val="22"/>
        </w:rPr>
        <w:t xml:space="preserve">overload and </w:t>
      </w:r>
      <w:r w:rsidR="00AA0F79">
        <w:rPr>
          <w:rFonts w:cs="Arial"/>
          <w:sz w:val="22"/>
          <w:szCs w:val="22"/>
        </w:rPr>
        <w:t>damage the radio astronomy receiver</w:t>
      </w:r>
      <w:r>
        <w:rPr>
          <w:rFonts w:cs="Arial"/>
          <w:sz w:val="22"/>
          <w:szCs w:val="22"/>
        </w:rPr>
        <w:t xml:space="preserve">.  </w:t>
      </w:r>
      <w:r w:rsidR="0037439F">
        <w:rPr>
          <w:rFonts w:cs="Arial"/>
          <w:sz w:val="22"/>
          <w:szCs w:val="22"/>
        </w:rPr>
        <w:t>And a</w:t>
      </w:r>
      <w:r>
        <w:rPr>
          <w:rFonts w:cs="Arial"/>
          <w:sz w:val="22"/>
          <w:szCs w:val="22"/>
        </w:rPr>
        <w:t xml:space="preserve">lthough this is an approximate </w:t>
      </w:r>
      <w:r w:rsidR="00AA0F79">
        <w:rPr>
          <w:rFonts w:cs="Arial"/>
          <w:sz w:val="22"/>
          <w:szCs w:val="22"/>
        </w:rPr>
        <w:t xml:space="preserve">envelope </w:t>
      </w:r>
      <w:r>
        <w:rPr>
          <w:rFonts w:cs="Arial"/>
          <w:sz w:val="22"/>
          <w:szCs w:val="22"/>
        </w:rPr>
        <w:t>calculation, the platform’</w:t>
      </w:r>
      <w:r w:rsidR="00AA0F79">
        <w:rPr>
          <w:rFonts w:cs="Arial"/>
          <w:sz w:val="22"/>
          <w:szCs w:val="22"/>
        </w:rPr>
        <w:t xml:space="preserve">s </w:t>
      </w:r>
      <w:proofErr w:type="spellStart"/>
      <w:r w:rsidR="00AA0F79">
        <w:rPr>
          <w:rFonts w:cs="Arial"/>
          <w:sz w:val="22"/>
          <w:szCs w:val="22"/>
        </w:rPr>
        <w:t>eirp</w:t>
      </w:r>
      <w:proofErr w:type="spellEnd"/>
      <w:r w:rsidR="00AA0F79">
        <w:rPr>
          <w:rFonts w:cs="Arial"/>
          <w:sz w:val="22"/>
          <w:szCs w:val="22"/>
        </w:rPr>
        <w:t xml:space="preserve"> could be</w:t>
      </w:r>
      <w:r>
        <w:rPr>
          <w:rFonts w:cs="Arial"/>
          <w:sz w:val="22"/>
          <w:szCs w:val="22"/>
        </w:rPr>
        <w:t xml:space="preserve"> 10</w:t>
      </w:r>
      <w:r w:rsidR="0037439F">
        <w:rPr>
          <w:rFonts w:cs="Arial"/>
          <w:sz w:val="22"/>
          <w:szCs w:val="22"/>
        </w:rPr>
        <w:t xml:space="preserve"> or more</w:t>
      </w:r>
      <w:r w:rsidR="00C50C92">
        <w:rPr>
          <w:rFonts w:cs="Arial"/>
          <w:sz w:val="22"/>
          <w:szCs w:val="22"/>
        </w:rPr>
        <w:t xml:space="preserve"> dB higher when conditions underneath it </w:t>
      </w:r>
      <w:r w:rsidR="00905B81">
        <w:rPr>
          <w:rFonts w:cs="Arial"/>
          <w:sz w:val="22"/>
          <w:szCs w:val="22"/>
        </w:rPr>
        <w:t>are</w:t>
      </w:r>
      <w:r>
        <w:rPr>
          <w:rFonts w:cs="Arial"/>
          <w:sz w:val="22"/>
          <w:szCs w:val="22"/>
        </w:rPr>
        <w:t xml:space="preserve"> inclement</w:t>
      </w:r>
      <w:r w:rsidR="00462FA6">
        <w:rPr>
          <w:rFonts w:cs="Arial"/>
          <w:sz w:val="22"/>
          <w:szCs w:val="22"/>
        </w:rPr>
        <w:t xml:space="preserve"> and ATPC is used</w:t>
      </w:r>
      <w:r w:rsidR="00EB31D8">
        <w:rPr>
          <w:rFonts w:cs="Arial"/>
          <w:sz w:val="22"/>
          <w:szCs w:val="22"/>
        </w:rPr>
        <w:t>.</w:t>
      </w:r>
      <w:r w:rsidR="00672F1D">
        <w:rPr>
          <w:rFonts w:cs="Arial"/>
          <w:sz w:val="22"/>
          <w:szCs w:val="22"/>
        </w:rPr>
        <w:t xml:space="preserve"> </w:t>
      </w:r>
      <w:r w:rsidR="00E469F6">
        <w:rPr>
          <w:rFonts w:cs="Arial"/>
          <w:sz w:val="22"/>
          <w:szCs w:val="22"/>
        </w:rPr>
        <w:t>T</w:t>
      </w:r>
      <w:r w:rsidR="00EB31D8">
        <w:rPr>
          <w:rFonts w:cs="Arial"/>
          <w:sz w:val="22"/>
          <w:szCs w:val="22"/>
        </w:rPr>
        <w:t>he</w:t>
      </w:r>
      <w:r w:rsidR="0037439F">
        <w:rPr>
          <w:rFonts w:cs="Arial"/>
          <w:sz w:val="22"/>
          <w:szCs w:val="22"/>
        </w:rPr>
        <w:t xml:space="preserve"> possibility of damage </w:t>
      </w:r>
      <w:r w:rsidR="00EB31D8">
        <w:rPr>
          <w:rFonts w:cs="Arial"/>
          <w:sz w:val="22"/>
          <w:szCs w:val="22"/>
        </w:rPr>
        <w:t>is a concern</w:t>
      </w:r>
      <w:r w:rsidR="0037439F">
        <w:rPr>
          <w:rFonts w:cs="Arial"/>
          <w:sz w:val="22"/>
          <w:szCs w:val="22"/>
        </w:rPr>
        <w:t xml:space="preserve"> for all radio telescopes with HAPS platforms in line of sight, including the VLBA stations whose observing is normally </w:t>
      </w:r>
      <w:r w:rsidR="00EB31D8">
        <w:rPr>
          <w:rFonts w:cs="Arial"/>
          <w:sz w:val="22"/>
          <w:szCs w:val="22"/>
        </w:rPr>
        <w:t xml:space="preserve">so </w:t>
      </w:r>
      <w:r w:rsidR="0037439F">
        <w:rPr>
          <w:rFonts w:cs="Arial"/>
          <w:sz w:val="22"/>
          <w:szCs w:val="22"/>
        </w:rPr>
        <w:t xml:space="preserve">much </w:t>
      </w:r>
      <w:r w:rsidR="00EB31D8">
        <w:rPr>
          <w:rFonts w:cs="Arial"/>
          <w:sz w:val="22"/>
          <w:szCs w:val="22"/>
        </w:rPr>
        <w:t>less affected by ordinary RFI</w:t>
      </w:r>
      <w:r w:rsidR="0037439F">
        <w:rPr>
          <w:rFonts w:cs="Arial"/>
          <w:sz w:val="22"/>
          <w:szCs w:val="22"/>
        </w:rPr>
        <w:t xml:space="preserve"> (Table 3 of </w:t>
      </w:r>
      <w:r w:rsidR="00EB31D8">
        <w:rPr>
          <w:rFonts w:cs="Arial"/>
          <w:sz w:val="22"/>
          <w:szCs w:val="22"/>
        </w:rPr>
        <w:t xml:space="preserve">ITU-R Recommendation </w:t>
      </w:r>
      <w:r w:rsidR="0037439F">
        <w:rPr>
          <w:rFonts w:cs="Arial"/>
          <w:sz w:val="22"/>
          <w:szCs w:val="22"/>
        </w:rPr>
        <w:t>RA. 769).</w:t>
      </w:r>
    </w:p>
    <w:p w14:paraId="6E209F9A" w14:textId="77777777" w:rsidR="00E469F6" w:rsidRDefault="00E469F6" w:rsidP="00C00A8D">
      <w:pPr>
        <w:pStyle w:val="p1"/>
        <w:rPr>
          <w:rFonts w:cs="Arial"/>
          <w:sz w:val="22"/>
          <w:szCs w:val="22"/>
        </w:rPr>
      </w:pPr>
    </w:p>
    <w:p w14:paraId="3C9251A1" w14:textId="21B93633" w:rsidR="005378F4" w:rsidRDefault="00E469F6" w:rsidP="00C50C92">
      <w:pPr>
        <w:pStyle w:val="p1"/>
        <w:rPr>
          <w:rFonts w:cs="Arial"/>
          <w:sz w:val="22"/>
          <w:szCs w:val="22"/>
        </w:rPr>
      </w:pPr>
      <w:r>
        <w:rPr>
          <w:rFonts w:cs="Arial"/>
          <w:sz w:val="22"/>
          <w:szCs w:val="22"/>
        </w:rPr>
        <w:t>To eliminate the possibility of damage, the cone of avoidance</w:t>
      </w:r>
      <w:r w:rsidR="00D16EAF">
        <w:rPr>
          <w:rFonts w:cs="Arial"/>
          <w:sz w:val="22"/>
          <w:szCs w:val="22"/>
        </w:rPr>
        <w:t xml:space="preserve"> of angular radius 3</w:t>
      </w:r>
      <w:r w:rsidR="00D16EAF" w:rsidRPr="00981046">
        <w:rPr>
          <w:rFonts w:cs="Arial"/>
          <w:sz w:val="22"/>
          <w:szCs w:val="22"/>
          <w:vertAlign w:val="superscript"/>
        </w:rPr>
        <w:t>o</w:t>
      </w:r>
      <w:r>
        <w:rPr>
          <w:rFonts w:cs="Arial"/>
          <w:sz w:val="22"/>
          <w:szCs w:val="22"/>
        </w:rPr>
        <w:t xml:space="preserve"> about the HAPS</w:t>
      </w:r>
      <w:r w:rsidR="00D16EAF">
        <w:rPr>
          <w:rFonts w:cs="Arial"/>
          <w:sz w:val="22"/>
          <w:szCs w:val="22"/>
        </w:rPr>
        <w:t xml:space="preserve"> platform could</w:t>
      </w:r>
      <w:r>
        <w:rPr>
          <w:rFonts w:cs="Arial"/>
          <w:sz w:val="22"/>
          <w:szCs w:val="22"/>
        </w:rPr>
        <w:t xml:space="preserve"> be placed below the 5</w:t>
      </w:r>
      <w:r w:rsidRPr="00981046">
        <w:rPr>
          <w:rFonts w:cs="Arial"/>
          <w:sz w:val="22"/>
          <w:szCs w:val="22"/>
          <w:vertAlign w:val="superscript"/>
        </w:rPr>
        <w:t>o</w:t>
      </w:r>
      <w:r>
        <w:rPr>
          <w:rFonts w:cs="Arial"/>
          <w:sz w:val="22"/>
          <w:szCs w:val="22"/>
        </w:rPr>
        <w:t xml:space="preserve"> observing limit of </w:t>
      </w:r>
      <w:r w:rsidR="00D16EAF">
        <w:rPr>
          <w:rFonts w:cs="Arial"/>
          <w:sz w:val="22"/>
          <w:szCs w:val="22"/>
        </w:rPr>
        <w:t>the</w:t>
      </w:r>
      <w:r>
        <w:rPr>
          <w:rFonts w:cs="Arial"/>
          <w:sz w:val="22"/>
          <w:szCs w:val="22"/>
        </w:rPr>
        <w:t xml:space="preserve"> typical </w:t>
      </w:r>
      <w:r w:rsidR="00D16EAF">
        <w:rPr>
          <w:rFonts w:cs="Arial"/>
          <w:sz w:val="22"/>
          <w:szCs w:val="22"/>
        </w:rPr>
        <w:t xml:space="preserve">radio </w:t>
      </w:r>
      <w:r w:rsidR="005C65E5">
        <w:rPr>
          <w:rFonts w:cs="Arial"/>
          <w:sz w:val="22"/>
          <w:szCs w:val="22"/>
        </w:rPr>
        <w:t>telescope.  For a telescope at sea level t</w:t>
      </w:r>
      <w:r w:rsidR="00D16EAF">
        <w:rPr>
          <w:rFonts w:cs="Arial"/>
          <w:sz w:val="22"/>
          <w:szCs w:val="22"/>
        </w:rPr>
        <w:t xml:space="preserve">he HAPS platform would </w:t>
      </w:r>
      <w:r>
        <w:rPr>
          <w:rFonts w:cs="Arial"/>
          <w:sz w:val="22"/>
          <w:szCs w:val="22"/>
        </w:rPr>
        <w:t>not appear above 2</w:t>
      </w:r>
      <w:r w:rsidRPr="00981046">
        <w:rPr>
          <w:rFonts w:cs="Arial"/>
          <w:sz w:val="22"/>
          <w:szCs w:val="22"/>
          <w:vertAlign w:val="superscript"/>
        </w:rPr>
        <w:t>o</w:t>
      </w:r>
      <w:r>
        <w:rPr>
          <w:rFonts w:cs="Arial"/>
          <w:sz w:val="22"/>
          <w:szCs w:val="22"/>
        </w:rPr>
        <w:t xml:space="preserve"> elevation</w:t>
      </w:r>
      <w:r w:rsidR="005C65E5">
        <w:rPr>
          <w:rFonts w:cs="Arial"/>
          <w:sz w:val="22"/>
          <w:szCs w:val="22"/>
        </w:rPr>
        <w:t xml:space="preserve"> </w:t>
      </w:r>
      <w:r w:rsidR="00E047B7">
        <w:rPr>
          <w:rFonts w:cs="Arial"/>
          <w:sz w:val="22"/>
          <w:szCs w:val="22"/>
        </w:rPr>
        <w:t xml:space="preserve">at a </w:t>
      </w:r>
      <w:r w:rsidR="008B18BE">
        <w:rPr>
          <w:rFonts w:cs="Arial"/>
          <w:sz w:val="22"/>
          <w:szCs w:val="22"/>
        </w:rPr>
        <w:t>nadir separation</w:t>
      </w:r>
      <w:r w:rsidR="00D16EAF">
        <w:rPr>
          <w:rFonts w:cs="Arial"/>
          <w:sz w:val="22"/>
          <w:szCs w:val="22"/>
        </w:rPr>
        <w:t xml:space="preserve"> </w:t>
      </w:r>
      <w:r w:rsidR="00FB6435">
        <w:rPr>
          <w:rFonts w:cs="Arial"/>
          <w:sz w:val="22"/>
          <w:szCs w:val="22"/>
        </w:rPr>
        <w:t xml:space="preserve">roughly calculated as </w:t>
      </w:r>
      <w:r w:rsidR="00D16EAF">
        <w:rPr>
          <w:rFonts w:cs="Arial"/>
          <w:sz w:val="22"/>
          <w:szCs w:val="22"/>
        </w:rPr>
        <w:t>(57.3</w:t>
      </w:r>
      <w:r w:rsidR="00D16EAF" w:rsidRPr="00981046">
        <w:rPr>
          <w:rFonts w:cs="Arial"/>
          <w:sz w:val="22"/>
          <w:szCs w:val="22"/>
          <w:vertAlign w:val="superscript"/>
        </w:rPr>
        <w:t>o</w:t>
      </w:r>
      <w:r w:rsidR="00D16EAF">
        <w:rPr>
          <w:rFonts w:cs="Arial"/>
          <w:sz w:val="22"/>
          <w:szCs w:val="22"/>
        </w:rPr>
        <w:t>/2</w:t>
      </w:r>
      <w:r w:rsidR="00D16EAF" w:rsidRPr="00981046">
        <w:rPr>
          <w:rFonts w:cs="Arial"/>
          <w:sz w:val="22"/>
          <w:szCs w:val="22"/>
          <w:vertAlign w:val="superscript"/>
        </w:rPr>
        <w:t>o</w:t>
      </w:r>
      <w:r w:rsidR="00D16EAF">
        <w:rPr>
          <w:rFonts w:cs="Arial"/>
          <w:sz w:val="22"/>
          <w:szCs w:val="22"/>
        </w:rPr>
        <w:t>)</w:t>
      </w:r>
      <w:r w:rsidR="0072778F">
        <w:rPr>
          <w:rFonts w:cs="Arial"/>
          <w:sz w:val="22"/>
          <w:szCs w:val="22"/>
        </w:rPr>
        <w:t>*20</w:t>
      </w:r>
      <w:r w:rsidR="00D16EAF">
        <w:rPr>
          <w:rFonts w:cs="Arial"/>
          <w:sz w:val="22"/>
          <w:szCs w:val="22"/>
        </w:rPr>
        <w:t xml:space="preserve"> km = 5</w:t>
      </w:r>
      <w:r w:rsidR="008B18BE">
        <w:rPr>
          <w:rFonts w:cs="Arial"/>
          <w:sz w:val="22"/>
          <w:szCs w:val="22"/>
        </w:rPr>
        <w:t>73 k</w:t>
      </w:r>
      <w:r w:rsidR="005C65E5">
        <w:rPr>
          <w:rFonts w:cs="Arial"/>
          <w:sz w:val="22"/>
          <w:szCs w:val="22"/>
        </w:rPr>
        <w:t>m, even beyond the limit of visibility.</w:t>
      </w:r>
      <w:r w:rsidR="00786744">
        <w:rPr>
          <w:rFonts w:cs="Arial"/>
          <w:sz w:val="22"/>
          <w:szCs w:val="22"/>
        </w:rPr>
        <w:t xml:space="preserve"> </w:t>
      </w:r>
      <w:r w:rsidR="005C65E5">
        <w:rPr>
          <w:rFonts w:cs="Arial"/>
          <w:sz w:val="22"/>
          <w:szCs w:val="22"/>
        </w:rPr>
        <w:t xml:space="preserve">If </w:t>
      </w:r>
      <w:r w:rsidR="00786744">
        <w:rPr>
          <w:rFonts w:cs="Arial"/>
          <w:sz w:val="22"/>
          <w:szCs w:val="22"/>
        </w:rPr>
        <w:lastRenderedPageBreak/>
        <w:t>HAPS platforms are to operate within line of sight of radio telescopes, viability of the radio astronomy operations will require protection from the plat</w:t>
      </w:r>
      <w:r w:rsidR="00FB6435">
        <w:rPr>
          <w:rFonts w:cs="Arial"/>
          <w:sz w:val="22"/>
          <w:szCs w:val="22"/>
        </w:rPr>
        <w:t>form’s in-band signal.</w:t>
      </w:r>
    </w:p>
    <w:p w14:paraId="24799132" w14:textId="77777777" w:rsidR="0004782F" w:rsidRPr="00C50C92" w:rsidRDefault="0004782F" w:rsidP="00C50C92">
      <w:pPr>
        <w:pStyle w:val="p1"/>
        <w:rPr>
          <w:rFonts w:cs="Arial"/>
          <w:sz w:val="22"/>
          <w:szCs w:val="22"/>
        </w:rPr>
      </w:pPr>
    </w:p>
    <w:p w14:paraId="14FFFB97" w14:textId="1DEACCA1" w:rsidR="00C50C92" w:rsidRPr="001175C7" w:rsidRDefault="001175C7" w:rsidP="00C50C92">
      <w:pPr>
        <w:pStyle w:val="p1"/>
        <w:numPr>
          <w:ilvl w:val="0"/>
          <w:numId w:val="1"/>
        </w:numPr>
        <w:rPr>
          <w:rFonts w:cs="Arial"/>
          <w:b/>
          <w:sz w:val="22"/>
          <w:szCs w:val="22"/>
        </w:rPr>
      </w:pPr>
      <w:r w:rsidRPr="001175C7">
        <w:rPr>
          <w:rFonts w:cs="Arial"/>
          <w:b/>
          <w:sz w:val="22"/>
          <w:szCs w:val="22"/>
        </w:rPr>
        <w:t>Prospective fixed-service</w:t>
      </w:r>
      <w:r w:rsidR="00C50C92" w:rsidRPr="001175C7">
        <w:rPr>
          <w:rFonts w:cs="Arial"/>
          <w:b/>
          <w:sz w:val="22"/>
          <w:szCs w:val="22"/>
        </w:rPr>
        <w:t xml:space="preserve"> use </w:t>
      </w:r>
      <w:r w:rsidRPr="001175C7">
        <w:rPr>
          <w:rFonts w:cs="Arial"/>
          <w:b/>
          <w:sz w:val="22"/>
          <w:szCs w:val="22"/>
        </w:rPr>
        <w:t xml:space="preserve">of </w:t>
      </w:r>
      <w:r w:rsidR="00274242" w:rsidRPr="001175C7">
        <w:rPr>
          <w:rFonts w:cs="Arial"/>
          <w:b/>
          <w:sz w:val="22"/>
          <w:szCs w:val="22"/>
        </w:rPr>
        <w:t>passive service spectrum at 23.6 – 24.0</w:t>
      </w:r>
      <w:r w:rsidRPr="001175C7">
        <w:rPr>
          <w:rFonts w:cs="Arial"/>
          <w:b/>
          <w:sz w:val="22"/>
          <w:szCs w:val="22"/>
        </w:rPr>
        <w:t xml:space="preserve"> GHz</w:t>
      </w:r>
    </w:p>
    <w:p w14:paraId="29393EAD" w14:textId="77777777" w:rsidR="00C50C92" w:rsidRDefault="00C50C92" w:rsidP="00C50C92">
      <w:pPr>
        <w:pStyle w:val="p1"/>
        <w:rPr>
          <w:rFonts w:cs="Arial"/>
          <w:sz w:val="22"/>
          <w:szCs w:val="22"/>
        </w:rPr>
      </w:pPr>
    </w:p>
    <w:p w14:paraId="754C06B0" w14:textId="34A543E3" w:rsidR="00554194" w:rsidRDefault="00C50C92" w:rsidP="00BC06AC">
      <w:pPr>
        <w:pStyle w:val="p1"/>
        <w:rPr>
          <w:rFonts w:cs="Arial"/>
          <w:sz w:val="22"/>
          <w:szCs w:val="22"/>
        </w:rPr>
      </w:pPr>
      <w:r>
        <w:rPr>
          <w:rFonts w:cs="Arial"/>
          <w:sz w:val="22"/>
          <w:szCs w:val="22"/>
        </w:rPr>
        <w:t>In its ex-</w:t>
      </w:r>
      <w:proofErr w:type="spellStart"/>
      <w:r>
        <w:rPr>
          <w:rFonts w:cs="Arial"/>
          <w:sz w:val="22"/>
          <w:szCs w:val="22"/>
        </w:rPr>
        <w:t>parte</w:t>
      </w:r>
      <w:proofErr w:type="spellEnd"/>
      <w:r>
        <w:rPr>
          <w:rFonts w:cs="Arial"/>
          <w:sz w:val="22"/>
          <w:szCs w:val="22"/>
        </w:rPr>
        <w:t xml:space="preserve"> presen</w:t>
      </w:r>
      <w:r w:rsidR="001175C7">
        <w:rPr>
          <w:rFonts w:cs="Arial"/>
          <w:sz w:val="22"/>
          <w:szCs w:val="22"/>
        </w:rPr>
        <w:t>tation and in f</w:t>
      </w:r>
      <w:r w:rsidR="00274242">
        <w:rPr>
          <w:rFonts w:cs="Arial"/>
          <w:sz w:val="22"/>
          <w:szCs w:val="22"/>
        </w:rPr>
        <w:t>ootnote 64 of its</w:t>
      </w:r>
      <w:r>
        <w:rPr>
          <w:rFonts w:cs="Arial"/>
          <w:sz w:val="22"/>
          <w:szCs w:val="22"/>
        </w:rPr>
        <w:t xml:space="preserve"> petition, </w:t>
      </w:r>
      <w:r w:rsidR="00274242">
        <w:rPr>
          <w:rFonts w:cs="Arial"/>
          <w:sz w:val="22"/>
          <w:szCs w:val="22"/>
        </w:rPr>
        <w:t xml:space="preserve">the </w:t>
      </w:r>
      <w:proofErr w:type="spellStart"/>
      <w:r w:rsidR="00274242">
        <w:rPr>
          <w:rFonts w:cs="Arial"/>
          <w:sz w:val="22"/>
          <w:szCs w:val="22"/>
        </w:rPr>
        <w:t>Elefante</w:t>
      </w:r>
      <w:proofErr w:type="spellEnd"/>
      <w:r w:rsidR="00274242">
        <w:rPr>
          <w:rFonts w:cs="Arial"/>
          <w:sz w:val="22"/>
          <w:szCs w:val="22"/>
        </w:rPr>
        <w:t xml:space="preserve"> Group contemplates enli</w:t>
      </w:r>
      <w:r w:rsidR="00554194">
        <w:rPr>
          <w:rFonts w:cs="Arial"/>
          <w:sz w:val="22"/>
          <w:szCs w:val="22"/>
        </w:rPr>
        <w:t>sting the assistance of the FCC</w:t>
      </w:r>
      <w:r w:rsidR="00274242">
        <w:rPr>
          <w:rFonts w:cs="Arial"/>
          <w:sz w:val="22"/>
          <w:szCs w:val="22"/>
        </w:rPr>
        <w:t xml:space="preserve"> to appropriate the passive</w:t>
      </w:r>
      <w:r w:rsidR="00B15CDD">
        <w:rPr>
          <w:rFonts w:cs="Arial"/>
          <w:sz w:val="22"/>
          <w:szCs w:val="22"/>
        </w:rPr>
        <w:t xml:space="preserve"> service</w:t>
      </w:r>
      <w:r w:rsidR="00274242">
        <w:rPr>
          <w:rFonts w:cs="Arial"/>
          <w:sz w:val="22"/>
          <w:szCs w:val="22"/>
        </w:rPr>
        <w:t xml:space="preserve"> band at 23.6 – 24 </w:t>
      </w:r>
      <w:r w:rsidR="00554194">
        <w:rPr>
          <w:rFonts w:cs="Arial"/>
          <w:sz w:val="22"/>
          <w:szCs w:val="22"/>
        </w:rPr>
        <w:t>GHz for use by</w:t>
      </w:r>
      <w:r w:rsidR="00B15CDD">
        <w:rPr>
          <w:rFonts w:cs="Arial"/>
          <w:sz w:val="22"/>
          <w:szCs w:val="22"/>
        </w:rPr>
        <w:t xml:space="preserve"> </w:t>
      </w:r>
      <w:r w:rsidR="00274242">
        <w:rPr>
          <w:rFonts w:cs="Arial"/>
          <w:sz w:val="22"/>
          <w:szCs w:val="22"/>
        </w:rPr>
        <w:t>the fixed service.  This is a colossally bad idea whose unfortunate nature</w:t>
      </w:r>
      <w:r w:rsidR="00B15CDD">
        <w:rPr>
          <w:rFonts w:cs="Arial"/>
          <w:sz w:val="22"/>
          <w:szCs w:val="22"/>
        </w:rPr>
        <w:t xml:space="preserve"> is compou</w:t>
      </w:r>
      <w:r w:rsidR="007000F4">
        <w:rPr>
          <w:rFonts w:cs="Arial"/>
          <w:sz w:val="22"/>
          <w:szCs w:val="22"/>
        </w:rPr>
        <w:t>nde</w:t>
      </w:r>
      <w:r w:rsidR="00E469F6">
        <w:rPr>
          <w:rFonts w:cs="Arial"/>
          <w:sz w:val="22"/>
          <w:szCs w:val="22"/>
        </w:rPr>
        <w:t>d by the intention to co-opt a</w:t>
      </w:r>
      <w:r w:rsidR="007000F4">
        <w:rPr>
          <w:rFonts w:cs="Arial"/>
          <w:sz w:val="22"/>
          <w:szCs w:val="22"/>
        </w:rPr>
        <w:t xml:space="preserve"> passive band for an application</w:t>
      </w:r>
      <w:r w:rsidR="00274242">
        <w:rPr>
          <w:rFonts w:cs="Arial"/>
          <w:sz w:val="22"/>
          <w:szCs w:val="22"/>
        </w:rPr>
        <w:t xml:space="preserve"> whose signals </w:t>
      </w:r>
      <w:r w:rsidR="007000F4">
        <w:rPr>
          <w:rFonts w:cs="Arial"/>
          <w:sz w:val="22"/>
          <w:szCs w:val="22"/>
        </w:rPr>
        <w:t>would</w:t>
      </w:r>
      <w:r w:rsidR="00274242">
        <w:rPr>
          <w:rFonts w:cs="Arial"/>
          <w:sz w:val="22"/>
          <w:szCs w:val="22"/>
        </w:rPr>
        <w:t xml:space="preserve"> not be con</w:t>
      </w:r>
      <w:r w:rsidR="007000F4">
        <w:rPr>
          <w:rFonts w:cs="Arial"/>
          <w:sz w:val="22"/>
          <w:szCs w:val="22"/>
        </w:rPr>
        <w:t>tained within the US borders</w:t>
      </w:r>
      <w:r w:rsidR="001175C7">
        <w:rPr>
          <w:rFonts w:cs="Arial"/>
          <w:sz w:val="22"/>
          <w:szCs w:val="22"/>
        </w:rPr>
        <w:t>,</w:t>
      </w:r>
      <w:r w:rsidR="007000F4">
        <w:rPr>
          <w:rFonts w:cs="Arial"/>
          <w:sz w:val="22"/>
          <w:szCs w:val="22"/>
        </w:rPr>
        <w:t xml:space="preserve"> while being </w:t>
      </w:r>
      <w:r w:rsidR="00274242">
        <w:rPr>
          <w:rFonts w:cs="Arial"/>
          <w:sz w:val="22"/>
          <w:szCs w:val="22"/>
        </w:rPr>
        <w:t xml:space="preserve">subject to RR. 5.340.  </w:t>
      </w:r>
      <w:r w:rsidR="00FB6435">
        <w:rPr>
          <w:rFonts w:cs="Arial"/>
          <w:sz w:val="22"/>
          <w:szCs w:val="22"/>
        </w:rPr>
        <w:t>T</w:t>
      </w:r>
      <w:r w:rsidR="00274242">
        <w:rPr>
          <w:rFonts w:cs="Arial"/>
          <w:sz w:val="22"/>
          <w:szCs w:val="22"/>
        </w:rPr>
        <w:t xml:space="preserve">he </w:t>
      </w:r>
      <w:proofErr w:type="spellStart"/>
      <w:r w:rsidR="00274242">
        <w:rPr>
          <w:rFonts w:cs="Arial"/>
          <w:sz w:val="22"/>
          <w:szCs w:val="22"/>
        </w:rPr>
        <w:t>Elefante</w:t>
      </w:r>
      <w:proofErr w:type="spellEnd"/>
      <w:r w:rsidR="00274242">
        <w:rPr>
          <w:rFonts w:cs="Arial"/>
          <w:sz w:val="22"/>
          <w:szCs w:val="22"/>
        </w:rPr>
        <w:t xml:space="preserve"> Group </w:t>
      </w:r>
      <w:r w:rsidR="00FB6435">
        <w:rPr>
          <w:rFonts w:cs="Arial"/>
          <w:sz w:val="22"/>
          <w:szCs w:val="22"/>
        </w:rPr>
        <w:t>should</w:t>
      </w:r>
      <w:r w:rsidR="001175C7">
        <w:rPr>
          <w:rFonts w:cs="Arial"/>
          <w:sz w:val="22"/>
          <w:szCs w:val="22"/>
        </w:rPr>
        <w:t xml:space="preserve"> disavow this idea</w:t>
      </w:r>
      <w:r w:rsidR="00274242">
        <w:rPr>
          <w:rFonts w:cs="Arial"/>
          <w:sz w:val="22"/>
          <w:szCs w:val="22"/>
        </w:rPr>
        <w:t>.</w:t>
      </w:r>
    </w:p>
    <w:p w14:paraId="1B91CEE7" w14:textId="77777777" w:rsidR="00BC06AC" w:rsidRPr="00C50C92" w:rsidRDefault="00BC06AC" w:rsidP="00BC06AC">
      <w:pPr>
        <w:pStyle w:val="p1"/>
        <w:rPr>
          <w:rFonts w:cs="Arial"/>
          <w:sz w:val="22"/>
          <w:szCs w:val="22"/>
        </w:rPr>
      </w:pPr>
    </w:p>
    <w:p w14:paraId="7DAF312B" w14:textId="71E904BC" w:rsidR="00BC06AC" w:rsidRPr="001175C7" w:rsidRDefault="00B47215" w:rsidP="00A56117">
      <w:pPr>
        <w:pStyle w:val="p1"/>
        <w:numPr>
          <w:ilvl w:val="0"/>
          <w:numId w:val="1"/>
        </w:numPr>
        <w:rPr>
          <w:rFonts w:cs="Arial"/>
          <w:b/>
          <w:sz w:val="22"/>
          <w:szCs w:val="22"/>
        </w:rPr>
      </w:pPr>
      <w:r>
        <w:rPr>
          <w:rFonts w:cs="Arial"/>
          <w:b/>
          <w:sz w:val="22"/>
          <w:szCs w:val="22"/>
        </w:rPr>
        <w:t>U</w:t>
      </w:r>
      <w:r w:rsidR="005C65E5">
        <w:rPr>
          <w:rFonts w:cs="Arial"/>
          <w:b/>
          <w:sz w:val="22"/>
          <w:szCs w:val="22"/>
        </w:rPr>
        <w:t>se of FS spectrum above 70 GHz</w:t>
      </w:r>
      <w:r>
        <w:rPr>
          <w:rFonts w:cs="Arial"/>
          <w:b/>
          <w:sz w:val="22"/>
          <w:szCs w:val="22"/>
        </w:rPr>
        <w:t xml:space="preserve"> for HAPS feeder links</w:t>
      </w:r>
      <w:r w:rsidR="009F52EE">
        <w:rPr>
          <w:rFonts w:cs="Arial"/>
          <w:b/>
          <w:sz w:val="22"/>
          <w:szCs w:val="22"/>
        </w:rPr>
        <w:t>,</w:t>
      </w:r>
      <w:r w:rsidR="005C65E5">
        <w:rPr>
          <w:rFonts w:cs="Arial"/>
          <w:b/>
          <w:sz w:val="22"/>
          <w:szCs w:val="22"/>
        </w:rPr>
        <w:t xml:space="preserve"> and RAS sites at higher elevation</w:t>
      </w:r>
    </w:p>
    <w:p w14:paraId="44FE2F3D" w14:textId="77777777" w:rsidR="00BC06AC" w:rsidRDefault="00BC06AC" w:rsidP="00A56117">
      <w:pPr>
        <w:rPr>
          <w:rFonts w:ascii="Helvetica" w:hAnsi="Helvetica" w:cs="Arial"/>
          <w:sz w:val="22"/>
          <w:szCs w:val="22"/>
        </w:rPr>
      </w:pPr>
    </w:p>
    <w:p w14:paraId="117D3073" w14:textId="0A9337CB" w:rsidR="00586DEB" w:rsidRDefault="00CF5059" w:rsidP="00290173">
      <w:pPr>
        <w:pStyle w:val="p1"/>
        <w:rPr>
          <w:sz w:val="23"/>
          <w:szCs w:val="23"/>
        </w:rPr>
      </w:pPr>
      <w:r>
        <w:rPr>
          <w:sz w:val="23"/>
          <w:szCs w:val="23"/>
        </w:rPr>
        <w:t>R</w:t>
      </w:r>
      <w:r w:rsidR="005C65E5">
        <w:rPr>
          <w:sz w:val="23"/>
          <w:szCs w:val="23"/>
        </w:rPr>
        <w:t>adio telescopes using mm-wave spectrum are often sited at high elevations: Examples are the LBO VLBA telescope</w:t>
      </w:r>
      <w:r w:rsidR="009F52EE">
        <w:rPr>
          <w:sz w:val="23"/>
          <w:szCs w:val="23"/>
        </w:rPr>
        <w:t>s</w:t>
      </w:r>
      <w:r w:rsidR="005C65E5">
        <w:rPr>
          <w:sz w:val="23"/>
          <w:szCs w:val="23"/>
        </w:rPr>
        <w:t xml:space="preserve"> at 13,000 ft on Mauna Kea</w:t>
      </w:r>
      <w:r w:rsidR="009F52EE">
        <w:rPr>
          <w:sz w:val="23"/>
          <w:szCs w:val="23"/>
        </w:rPr>
        <w:t xml:space="preserve"> and </w:t>
      </w:r>
      <w:r>
        <w:rPr>
          <w:sz w:val="23"/>
          <w:szCs w:val="23"/>
        </w:rPr>
        <w:t xml:space="preserve">at </w:t>
      </w:r>
      <w:r w:rsidR="009F52EE">
        <w:rPr>
          <w:sz w:val="23"/>
          <w:szCs w:val="23"/>
        </w:rPr>
        <w:t xml:space="preserve">6,700 ft on </w:t>
      </w:r>
      <w:proofErr w:type="spellStart"/>
      <w:r w:rsidR="009F52EE">
        <w:rPr>
          <w:sz w:val="23"/>
          <w:szCs w:val="23"/>
        </w:rPr>
        <w:t>Kitt</w:t>
      </w:r>
      <w:proofErr w:type="spellEnd"/>
      <w:r w:rsidR="009F52EE">
        <w:rPr>
          <w:sz w:val="23"/>
          <w:szCs w:val="23"/>
        </w:rPr>
        <w:t xml:space="preserve"> Peak</w:t>
      </w:r>
      <w:r w:rsidR="00586DEB">
        <w:rPr>
          <w:sz w:val="23"/>
          <w:szCs w:val="23"/>
        </w:rPr>
        <w:t xml:space="preserve">, </w:t>
      </w:r>
      <w:r w:rsidR="009F52EE">
        <w:rPr>
          <w:sz w:val="23"/>
          <w:szCs w:val="23"/>
        </w:rPr>
        <w:t>the</w:t>
      </w:r>
      <w:r w:rsidR="005C65E5">
        <w:rPr>
          <w:sz w:val="23"/>
          <w:szCs w:val="23"/>
        </w:rPr>
        <w:t xml:space="preserve"> Arizona Radio Observatory</w:t>
      </w:r>
      <w:r w:rsidR="00586DEB">
        <w:rPr>
          <w:sz w:val="23"/>
          <w:szCs w:val="23"/>
        </w:rPr>
        <w:t xml:space="preserve"> (ARO) </w:t>
      </w:r>
      <w:proofErr w:type="spellStart"/>
      <w:r w:rsidR="005C65E5">
        <w:rPr>
          <w:sz w:val="23"/>
          <w:szCs w:val="23"/>
        </w:rPr>
        <w:t>K</w:t>
      </w:r>
      <w:r w:rsidR="00586DEB">
        <w:rPr>
          <w:sz w:val="23"/>
          <w:szCs w:val="23"/>
        </w:rPr>
        <w:t>itt</w:t>
      </w:r>
      <w:proofErr w:type="spellEnd"/>
      <w:r w:rsidR="00586DEB">
        <w:rPr>
          <w:sz w:val="23"/>
          <w:szCs w:val="23"/>
        </w:rPr>
        <w:t xml:space="preserve"> </w:t>
      </w:r>
      <w:r w:rsidR="005C65E5">
        <w:rPr>
          <w:sz w:val="23"/>
          <w:szCs w:val="23"/>
        </w:rPr>
        <w:t>P</w:t>
      </w:r>
      <w:r w:rsidR="00586DEB">
        <w:rPr>
          <w:sz w:val="23"/>
          <w:szCs w:val="23"/>
        </w:rPr>
        <w:t>eak</w:t>
      </w:r>
      <w:r w:rsidR="005C65E5">
        <w:rPr>
          <w:sz w:val="23"/>
          <w:szCs w:val="23"/>
        </w:rPr>
        <w:t xml:space="preserve"> 12m telescope </w:t>
      </w:r>
      <w:r w:rsidR="009F52EE">
        <w:rPr>
          <w:sz w:val="23"/>
          <w:szCs w:val="23"/>
        </w:rPr>
        <w:t xml:space="preserve">at 6,700 ft and the ARO </w:t>
      </w:r>
      <w:r>
        <w:rPr>
          <w:sz w:val="23"/>
          <w:szCs w:val="23"/>
        </w:rPr>
        <w:t xml:space="preserve">10m </w:t>
      </w:r>
      <w:r w:rsidR="00586DEB">
        <w:rPr>
          <w:sz w:val="23"/>
          <w:szCs w:val="23"/>
        </w:rPr>
        <w:t>Sub Millimeter Telescope near 10,000 ft. on Mt. Graham</w:t>
      </w:r>
      <w:r w:rsidR="009F52EE">
        <w:rPr>
          <w:sz w:val="23"/>
          <w:szCs w:val="23"/>
        </w:rPr>
        <w:t xml:space="preserve"> (</w:t>
      </w:r>
      <w:hyperlink r:id="rId12" w:history="1">
        <w:r w:rsidR="009F52EE" w:rsidRPr="00D35B2B">
          <w:rPr>
            <w:rStyle w:val="Hyperlink"/>
            <w:sz w:val="23"/>
            <w:szCs w:val="23"/>
          </w:rPr>
          <w:t>http://aro.as.arizona.edu/</w:t>
        </w:r>
      </w:hyperlink>
      <w:r w:rsidR="009F52EE">
        <w:rPr>
          <w:sz w:val="23"/>
          <w:szCs w:val="23"/>
        </w:rPr>
        <w:t>)</w:t>
      </w:r>
      <w:r w:rsidR="00586DEB">
        <w:rPr>
          <w:sz w:val="23"/>
          <w:szCs w:val="23"/>
        </w:rPr>
        <w:t>.</w:t>
      </w:r>
      <w:r w:rsidR="005C65E5">
        <w:rPr>
          <w:sz w:val="23"/>
          <w:szCs w:val="23"/>
        </w:rPr>
        <w:t xml:space="preserve"> </w:t>
      </w:r>
      <w:r w:rsidR="00586DEB">
        <w:rPr>
          <w:sz w:val="23"/>
          <w:szCs w:val="23"/>
        </w:rPr>
        <w:t>These teles</w:t>
      </w:r>
      <w:r>
        <w:rPr>
          <w:sz w:val="23"/>
          <w:szCs w:val="23"/>
        </w:rPr>
        <w:t>copes have very distant horizons.</w:t>
      </w:r>
    </w:p>
    <w:p w14:paraId="6110B0EB" w14:textId="77777777" w:rsidR="00586DEB" w:rsidRDefault="00586DEB" w:rsidP="00290173">
      <w:pPr>
        <w:pStyle w:val="p1"/>
        <w:rPr>
          <w:sz w:val="23"/>
          <w:szCs w:val="23"/>
        </w:rPr>
      </w:pPr>
    </w:p>
    <w:p w14:paraId="5F72BB33" w14:textId="432A226C" w:rsidR="00290173" w:rsidRDefault="009F52EE" w:rsidP="00290173">
      <w:pPr>
        <w:pStyle w:val="p1"/>
        <w:rPr>
          <w:sz w:val="23"/>
          <w:szCs w:val="23"/>
        </w:rPr>
      </w:pPr>
      <w:proofErr w:type="spellStart"/>
      <w:r>
        <w:rPr>
          <w:sz w:val="23"/>
          <w:szCs w:val="23"/>
        </w:rPr>
        <w:t>Elefante</w:t>
      </w:r>
      <w:proofErr w:type="spellEnd"/>
      <w:r w:rsidR="00CF5059">
        <w:rPr>
          <w:sz w:val="23"/>
          <w:szCs w:val="23"/>
        </w:rPr>
        <w:t xml:space="preserve"> Group’s</w:t>
      </w:r>
      <w:r>
        <w:rPr>
          <w:sz w:val="23"/>
          <w:szCs w:val="23"/>
        </w:rPr>
        <w:t xml:space="preserve"> petition seems not t</w:t>
      </w:r>
      <w:r w:rsidR="00CF5059">
        <w:rPr>
          <w:sz w:val="23"/>
          <w:szCs w:val="23"/>
        </w:rPr>
        <w:t>o recognize this.</w:t>
      </w:r>
      <w:r>
        <w:rPr>
          <w:sz w:val="23"/>
          <w:szCs w:val="23"/>
        </w:rPr>
        <w:t xml:space="preserve"> For instance in Sect</w:t>
      </w:r>
      <w:r w:rsidR="00CF5059">
        <w:rPr>
          <w:sz w:val="23"/>
          <w:szCs w:val="23"/>
        </w:rPr>
        <w:t>ion VIII B it reads</w:t>
      </w:r>
      <w:r>
        <w:rPr>
          <w:sz w:val="23"/>
          <w:szCs w:val="23"/>
        </w:rPr>
        <w:t xml:space="preserve"> “</w:t>
      </w:r>
      <w:r w:rsidR="005C65E5">
        <w:rPr>
          <w:sz w:val="23"/>
          <w:szCs w:val="23"/>
        </w:rPr>
        <w:t>In the case of RAS the same argument holds to ensure compatibility. High elevation angle transmitters will present dramatically lower EIRP t</w:t>
      </w:r>
      <w:r w:rsidR="00586DEB">
        <w:rPr>
          <w:sz w:val="23"/>
          <w:szCs w:val="23"/>
        </w:rPr>
        <w:t>o</w:t>
      </w:r>
      <w:r w:rsidR="005C65E5">
        <w:rPr>
          <w:sz w:val="23"/>
          <w:szCs w:val="23"/>
        </w:rPr>
        <w:t>ward RAS sites than low elevation transmitters, and coordination with RAS sites will require less separation distance.</w:t>
      </w:r>
      <w:r>
        <w:rPr>
          <w:sz w:val="23"/>
          <w:szCs w:val="23"/>
        </w:rPr>
        <w:t>”</w:t>
      </w:r>
      <w:r w:rsidR="00CF5059">
        <w:rPr>
          <w:sz w:val="23"/>
          <w:szCs w:val="23"/>
        </w:rPr>
        <w:t xml:space="preserve"> The NRAO is not sure what kind of drama the </w:t>
      </w:r>
      <w:proofErr w:type="spellStart"/>
      <w:r w:rsidR="00CF5059">
        <w:rPr>
          <w:sz w:val="23"/>
          <w:szCs w:val="23"/>
        </w:rPr>
        <w:t>Elefante</w:t>
      </w:r>
      <w:proofErr w:type="spellEnd"/>
      <w:r w:rsidR="00CF5059">
        <w:rPr>
          <w:sz w:val="23"/>
          <w:szCs w:val="23"/>
        </w:rPr>
        <w:t xml:space="preserve"> Group is imagining but their assertion is quite wrong regarding the high elevation sites</w:t>
      </w:r>
      <w:r w:rsidR="006A0490">
        <w:rPr>
          <w:sz w:val="23"/>
          <w:szCs w:val="23"/>
        </w:rPr>
        <w:t xml:space="preserve"> </w:t>
      </w:r>
      <w:r w:rsidR="00C11F26">
        <w:rPr>
          <w:sz w:val="23"/>
          <w:szCs w:val="23"/>
        </w:rPr>
        <w:t xml:space="preserve">in this </w:t>
      </w:r>
      <w:r w:rsidR="00FB6435">
        <w:rPr>
          <w:sz w:val="23"/>
          <w:szCs w:val="23"/>
        </w:rPr>
        <w:t xml:space="preserve">very </w:t>
      </w:r>
      <w:r w:rsidR="006A0490">
        <w:rPr>
          <w:sz w:val="23"/>
          <w:szCs w:val="23"/>
        </w:rPr>
        <w:t>early draft of the script</w:t>
      </w:r>
      <w:r w:rsidR="00CF5059">
        <w:rPr>
          <w:sz w:val="23"/>
          <w:szCs w:val="23"/>
        </w:rPr>
        <w:t>.</w:t>
      </w:r>
    </w:p>
    <w:p w14:paraId="4F3EDB82" w14:textId="77777777" w:rsidR="005C65E5" w:rsidRPr="00C50C92" w:rsidRDefault="005C65E5" w:rsidP="00290173">
      <w:pPr>
        <w:pStyle w:val="p1"/>
        <w:rPr>
          <w:rFonts w:cs="Arial"/>
          <w:sz w:val="22"/>
          <w:szCs w:val="22"/>
        </w:rPr>
      </w:pPr>
    </w:p>
    <w:p w14:paraId="4F846B91" w14:textId="3AAF7DBA" w:rsidR="00290173" w:rsidRPr="001175C7" w:rsidRDefault="00CF5059" w:rsidP="00290173">
      <w:pPr>
        <w:pStyle w:val="p1"/>
        <w:numPr>
          <w:ilvl w:val="0"/>
          <w:numId w:val="1"/>
        </w:numPr>
        <w:rPr>
          <w:rFonts w:cs="Arial"/>
          <w:b/>
          <w:sz w:val="22"/>
          <w:szCs w:val="22"/>
        </w:rPr>
      </w:pPr>
      <w:r>
        <w:rPr>
          <w:rFonts w:cs="Arial"/>
          <w:b/>
          <w:sz w:val="22"/>
          <w:szCs w:val="22"/>
        </w:rPr>
        <w:t>NRAO’s r</w:t>
      </w:r>
      <w:r w:rsidR="00290173">
        <w:rPr>
          <w:rFonts w:cs="Arial"/>
          <w:b/>
          <w:sz w:val="22"/>
          <w:szCs w:val="22"/>
        </w:rPr>
        <w:t>eque</w:t>
      </w:r>
      <w:r>
        <w:rPr>
          <w:rFonts w:cs="Arial"/>
          <w:b/>
          <w:sz w:val="22"/>
          <w:szCs w:val="22"/>
        </w:rPr>
        <w:t>sts for consideration by the Commission</w:t>
      </w:r>
    </w:p>
    <w:p w14:paraId="261F83ED" w14:textId="77777777" w:rsidR="00290173" w:rsidRDefault="00290173" w:rsidP="00290173">
      <w:pPr>
        <w:rPr>
          <w:rFonts w:ascii="Helvetica" w:hAnsi="Helvetica" w:cs="Arial"/>
          <w:sz w:val="22"/>
          <w:szCs w:val="22"/>
        </w:rPr>
      </w:pPr>
    </w:p>
    <w:p w14:paraId="2214E44E" w14:textId="3FFBD339" w:rsidR="00290173" w:rsidRDefault="00290173" w:rsidP="00290173">
      <w:pPr>
        <w:pStyle w:val="p1"/>
        <w:rPr>
          <w:rFonts w:cs="Arial"/>
          <w:sz w:val="22"/>
          <w:szCs w:val="22"/>
        </w:rPr>
      </w:pPr>
      <w:r>
        <w:rPr>
          <w:rFonts w:cs="Arial"/>
          <w:sz w:val="22"/>
          <w:szCs w:val="22"/>
        </w:rPr>
        <w:t>The FCC should not act in haste or redefine domestic HAPS systems to be other than HAPS.  The FCC should not authorize domestic HAPS operations</w:t>
      </w:r>
      <w:r w:rsidR="002C722C">
        <w:rPr>
          <w:rFonts w:cs="Arial"/>
          <w:sz w:val="22"/>
          <w:szCs w:val="22"/>
        </w:rPr>
        <w:t xml:space="preserve"> in all but name</w:t>
      </w:r>
      <w:r>
        <w:rPr>
          <w:rFonts w:cs="Arial"/>
          <w:sz w:val="22"/>
          <w:szCs w:val="22"/>
        </w:rPr>
        <w:t xml:space="preserve"> under a regulatory regime that differs from that for HAPS, or at lower </w:t>
      </w:r>
      <w:proofErr w:type="spellStart"/>
      <w:r>
        <w:rPr>
          <w:rFonts w:cs="Arial"/>
          <w:sz w:val="22"/>
          <w:szCs w:val="22"/>
        </w:rPr>
        <w:t>pfd</w:t>
      </w:r>
      <w:proofErr w:type="spellEnd"/>
      <w:r>
        <w:rPr>
          <w:rFonts w:cs="Arial"/>
          <w:sz w:val="22"/>
          <w:szCs w:val="22"/>
        </w:rPr>
        <w:t xml:space="preserve"> levels for the protection of passive services than will be placed in the Radio Regulations at WRC-19</w:t>
      </w:r>
      <w:r w:rsidR="0004782F">
        <w:rPr>
          <w:rFonts w:cs="Arial"/>
          <w:sz w:val="22"/>
          <w:szCs w:val="22"/>
        </w:rPr>
        <w:t xml:space="preserve"> under Agenda Item 1.14</w:t>
      </w:r>
      <w:r>
        <w:rPr>
          <w:rFonts w:cs="Arial"/>
          <w:sz w:val="22"/>
          <w:szCs w:val="22"/>
        </w:rPr>
        <w:t>.  The FCC should recognize the profound implications for radio astronomy operations of allowing HAPS operations within line of sight of radio telescopes</w:t>
      </w:r>
      <w:r w:rsidR="0004782F">
        <w:rPr>
          <w:rFonts w:cs="Arial"/>
          <w:sz w:val="22"/>
          <w:szCs w:val="22"/>
        </w:rPr>
        <w:t>.  The safest course would be to disallow HAPS operation within line of sight of radio telescopes but otherwise to</w:t>
      </w:r>
      <w:r>
        <w:rPr>
          <w:rFonts w:cs="Arial"/>
          <w:sz w:val="22"/>
          <w:szCs w:val="22"/>
        </w:rPr>
        <w:t xml:space="preserve"> require HAPS operators to </w:t>
      </w:r>
      <w:r w:rsidR="00C10D53">
        <w:rPr>
          <w:rFonts w:cs="Arial"/>
          <w:sz w:val="22"/>
          <w:szCs w:val="22"/>
        </w:rPr>
        <w:t>pre-</w:t>
      </w:r>
      <w:r>
        <w:rPr>
          <w:rFonts w:cs="Arial"/>
          <w:sz w:val="22"/>
          <w:szCs w:val="22"/>
        </w:rPr>
        <w:t xml:space="preserve">coordinate with radio astronomy operators </w:t>
      </w:r>
      <w:r w:rsidR="0004782F">
        <w:rPr>
          <w:rFonts w:cs="Arial"/>
          <w:sz w:val="22"/>
          <w:szCs w:val="22"/>
        </w:rPr>
        <w:t xml:space="preserve">before beginning operations </w:t>
      </w:r>
      <w:r>
        <w:rPr>
          <w:rFonts w:cs="Arial"/>
          <w:sz w:val="22"/>
          <w:szCs w:val="22"/>
        </w:rPr>
        <w:t>to ensure compatibility and the survivability of the affected radio astro</w:t>
      </w:r>
      <w:bookmarkStart w:id="0" w:name="_GoBack"/>
      <w:bookmarkEnd w:id="0"/>
      <w:r>
        <w:rPr>
          <w:rFonts w:cs="Arial"/>
          <w:sz w:val="22"/>
          <w:szCs w:val="22"/>
        </w:rPr>
        <w:t>nomy operations.</w:t>
      </w:r>
    </w:p>
    <w:p w14:paraId="531A196A" w14:textId="77777777" w:rsidR="0004782F" w:rsidRDefault="0004782F" w:rsidP="00A56117">
      <w:pPr>
        <w:rPr>
          <w:rFonts w:ascii="Helvetica" w:hAnsi="Helvetica" w:cs="Arial"/>
          <w:sz w:val="22"/>
          <w:szCs w:val="22"/>
        </w:rPr>
      </w:pPr>
    </w:p>
    <w:p w14:paraId="5233BAC2" w14:textId="41CCB4F1" w:rsidR="001D444D" w:rsidRPr="001E4ABF" w:rsidRDefault="0004782F" w:rsidP="00A56117">
      <w:pPr>
        <w:rPr>
          <w:rFonts w:ascii="Helvetica" w:hAnsi="Helvetica" w:cs="Arial"/>
          <w:sz w:val="22"/>
          <w:szCs w:val="22"/>
        </w:rPr>
      </w:pPr>
      <w:r>
        <w:rPr>
          <w:rFonts w:ascii="Helvetica" w:hAnsi="Helvetica" w:cs="Arial"/>
          <w:sz w:val="22"/>
          <w:szCs w:val="22"/>
        </w:rPr>
        <w:t>Respectfully submitted,</w:t>
      </w:r>
    </w:p>
    <w:p w14:paraId="4B10D090" w14:textId="7B9C47EB" w:rsidR="00EC2DFB" w:rsidRPr="001E4ABF" w:rsidRDefault="00F3683A" w:rsidP="00A56117">
      <w:pPr>
        <w:rPr>
          <w:rFonts w:ascii="Helvetica" w:hAnsi="Helvetica" w:cs="Arial"/>
          <w:sz w:val="22"/>
          <w:szCs w:val="22"/>
        </w:rPr>
      </w:pPr>
      <w:r w:rsidRPr="001E4ABF">
        <w:rPr>
          <w:rFonts w:ascii="Helvetica" w:hAnsi="Helvetica" w:cs="Arial"/>
          <w:noProof/>
          <w:sz w:val="22"/>
          <w:szCs w:val="22"/>
        </w:rPr>
        <w:drawing>
          <wp:inline distT="0" distB="0" distL="0" distR="0" wp14:anchorId="09BE85A2" wp14:editId="1883C425">
            <wp:extent cx="1467129" cy="612367"/>
            <wp:effectExtent l="0" t="0" r="635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Screen Shot 2018-01-27 at 12.04.51 PM.png"/>
                    <pic:cNvPicPr/>
                  </pic:nvPicPr>
                  <pic:blipFill>
                    <a:blip r:embed="rId13">
                      <a:extLst>
                        <a:ext uri="{28A0092B-C50C-407E-A947-70E740481C1C}">
                          <a14:useLocalDpi xmlns:a14="http://schemas.microsoft.com/office/drawing/2010/main" val="0"/>
                        </a:ext>
                      </a:extLst>
                    </a:blip>
                    <a:stretch>
                      <a:fillRect/>
                    </a:stretch>
                  </pic:blipFill>
                  <pic:spPr>
                    <a:xfrm>
                      <a:off x="0" y="0"/>
                      <a:ext cx="1552443" cy="647976"/>
                    </a:xfrm>
                    <a:prstGeom prst="rect">
                      <a:avLst/>
                    </a:prstGeom>
                  </pic:spPr>
                </pic:pic>
              </a:graphicData>
            </a:graphic>
          </wp:inline>
        </w:drawing>
      </w:r>
    </w:p>
    <w:p w14:paraId="37E36449" w14:textId="266911CB" w:rsidR="007E667D" w:rsidRPr="001E4ABF" w:rsidRDefault="005C752E" w:rsidP="00A56117">
      <w:pPr>
        <w:rPr>
          <w:rFonts w:ascii="Helvetica" w:hAnsi="Helvetica" w:cs="Arial"/>
          <w:sz w:val="22"/>
          <w:szCs w:val="22"/>
        </w:rPr>
      </w:pPr>
      <w:r w:rsidRPr="001E4ABF">
        <w:rPr>
          <w:rFonts w:ascii="Helvetica" w:hAnsi="Helvetica" w:cs="Arial"/>
          <w:sz w:val="22"/>
          <w:szCs w:val="22"/>
        </w:rPr>
        <w:t>Harvey S. Liszt</w:t>
      </w:r>
      <w:r w:rsidR="007E667D" w:rsidRPr="001E4ABF">
        <w:rPr>
          <w:rFonts w:ascii="Helvetica" w:hAnsi="Helvetica" w:cs="Arial"/>
          <w:sz w:val="22"/>
          <w:szCs w:val="22"/>
        </w:rPr>
        <w:t xml:space="preserve"> </w:t>
      </w:r>
      <w:r w:rsidR="00F85433">
        <w:rPr>
          <w:rFonts w:ascii="Helvetica" w:hAnsi="Helvetica" w:cs="Arial"/>
          <w:sz w:val="22"/>
          <w:szCs w:val="22"/>
        </w:rPr>
        <w:t>(</w:t>
      </w:r>
      <w:r w:rsidR="0004782F">
        <w:rPr>
          <w:rFonts w:ascii="Helvetica" w:hAnsi="Helvetica" w:cs="Arial"/>
          <w:sz w:val="22"/>
          <w:szCs w:val="22"/>
        </w:rPr>
        <w:t>hliszt@nrao.edu</w:t>
      </w:r>
      <w:r w:rsidR="00F85433">
        <w:rPr>
          <w:rFonts w:ascii="Helvetica" w:hAnsi="Helvetica" w:cs="Arial"/>
          <w:sz w:val="22"/>
          <w:szCs w:val="22"/>
        </w:rPr>
        <w:t>)</w:t>
      </w:r>
    </w:p>
    <w:p w14:paraId="199DB1FE" w14:textId="77777777" w:rsidR="0004782F" w:rsidRDefault="00F3683A" w:rsidP="0005019B">
      <w:pPr>
        <w:rPr>
          <w:rFonts w:ascii="Helvetica" w:hAnsi="Helvetica" w:cs="Arial"/>
          <w:sz w:val="22"/>
          <w:szCs w:val="22"/>
        </w:rPr>
      </w:pPr>
      <w:r w:rsidRPr="001E4ABF">
        <w:rPr>
          <w:rFonts w:ascii="Helvetica" w:hAnsi="Helvetica" w:cs="Arial"/>
          <w:sz w:val="22"/>
          <w:szCs w:val="22"/>
        </w:rPr>
        <w:t>Astronomer</w:t>
      </w:r>
      <w:r w:rsidR="00D0535B" w:rsidRPr="001E4ABF">
        <w:rPr>
          <w:rFonts w:ascii="Helvetica" w:hAnsi="Helvetica" w:cs="Arial"/>
          <w:sz w:val="22"/>
          <w:szCs w:val="22"/>
        </w:rPr>
        <w:t xml:space="preserve"> and Spectrum Manager</w:t>
      </w:r>
    </w:p>
    <w:p w14:paraId="7E36DE6B" w14:textId="1E3739D8" w:rsidR="00E45787" w:rsidRPr="001E4ABF" w:rsidRDefault="0004782F" w:rsidP="0005019B">
      <w:pPr>
        <w:rPr>
          <w:rFonts w:ascii="Helvetica" w:hAnsi="Helvetica" w:cs="Arial"/>
          <w:sz w:val="22"/>
          <w:szCs w:val="22"/>
        </w:rPr>
      </w:pPr>
      <w:r>
        <w:rPr>
          <w:rFonts w:ascii="Helvetica" w:hAnsi="Helvetica" w:cs="Arial"/>
          <w:sz w:val="22"/>
          <w:szCs w:val="22"/>
        </w:rPr>
        <w:t>T</w:t>
      </w:r>
      <w:r w:rsidRPr="001E4ABF">
        <w:rPr>
          <w:rFonts w:ascii="Helvetica" w:hAnsi="Helvetica" w:cs="Arial"/>
          <w:sz w:val="22"/>
          <w:szCs w:val="22"/>
        </w:rPr>
        <w:t>o whom correspondence may be addressed</w:t>
      </w:r>
    </w:p>
    <w:sectPr w:rsidR="00E45787" w:rsidRPr="001E4ABF" w:rsidSect="00771492">
      <w:footerReference w:type="default" r:id="rId14"/>
      <w:headerReference w:type="first" r:id="rId15"/>
      <w:footerReference w:type="first" r:id="rId16"/>
      <w:pgSz w:w="12240" w:h="15840"/>
      <w:pgMar w:top="1440" w:right="1440" w:bottom="1440" w:left="1440" w:header="108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D46FFBA" w14:textId="77777777" w:rsidR="008137F5" w:rsidRDefault="008137F5" w:rsidP="00FA0158">
      <w:r>
        <w:separator/>
      </w:r>
    </w:p>
  </w:endnote>
  <w:endnote w:type="continuationSeparator" w:id="0">
    <w:p w14:paraId="7DEE87FD" w14:textId="77777777" w:rsidR="008137F5" w:rsidRDefault="008137F5" w:rsidP="00FA01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altName w:val="Titlingmes New Roman PSMT"/>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onsolas">
    <w:panose1 w:val="020B0609020204030204"/>
    <w:charset w:val="00"/>
    <w:family w:val="modern"/>
    <w:pitch w:val="fixed"/>
    <w:sig w:usb0="E10002FF" w:usb1="4000F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Helvetica">
    <w:panose1 w:val="00000000000000000000"/>
    <w:charset w:val="00"/>
    <w:family w:val="auto"/>
    <w:pitch w:val="variable"/>
    <w:sig w:usb0="E00002FF" w:usb1="5000785B" w:usb2="00000000" w:usb3="00000000" w:csb0="0000019F" w:csb1="00000000"/>
  </w:font>
  <w:font w:name="Times New Roman Bold">
    <w:altName w:val="Times New Roman"/>
    <w:panose1 w:val="020B0604020202020204"/>
    <w:charset w:val="00"/>
    <w:family w:val="roman"/>
    <w:pitch w:val="variable"/>
    <w:sig w:usb0="00003A87" w:usb1="00000000" w:usb2="00000000" w:usb3="00000000" w:csb0="000000FF"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Gill Sans MT">
    <w:panose1 w:val="020B0502020104020203"/>
    <w:charset w:val="4D"/>
    <w:family w:val="swiss"/>
    <w:pitch w:val="variable"/>
    <w:sig w:usb0="00000003"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A00002EF" w:usb1="4000004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8846F2" w14:textId="77777777" w:rsidR="00B57092" w:rsidRPr="006A210C" w:rsidRDefault="00B57092">
    <w:pPr>
      <w:pStyle w:val="Footer"/>
      <w:rPr>
        <w:rFonts w:ascii="Gill Sans MT" w:hAnsi="Gill Sans MT"/>
        <w:sz w:val="14"/>
        <w:szCs w:val="14"/>
      </w:rPr>
    </w:pPr>
    <w:r w:rsidRPr="006A210C">
      <w:rPr>
        <w:rFonts w:ascii="Gill Sans MT" w:hAnsi="Gill Sans MT"/>
        <w:sz w:val="14"/>
        <w:szCs w:val="14"/>
      </w:rPr>
      <w:t>The National Radio Astronomy Observatory is a facility of the National Science Foundation operated under cooperative agreement by Associated Universities, Inc.</w:t>
    </w:r>
  </w:p>
  <w:p w14:paraId="2E169CEA" w14:textId="77777777" w:rsidR="00B57092" w:rsidRDefault="00B5709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84EC41" w14:textId="77777777" w:rsidR="00B57092" w:rsidRPr="006A210C" w:rsidRDefault="00B57092" w:rsidP="00771492">
    <w:pPr>
      <w:pStyle w:val="Footer"/>
      <w:rPr>
        <w:rFonts w:ascii="Gill Sans MT" w:hAnsi="Gill Sans MT"/>
        <w:sz w:val="14"/>
        <w:szCs w:val="14"/>
      </w:rPr>
    </w:pPr>
    <w:r w:rsidRPr="006A210C">
      <w:rPr>
        <w:rFonts w:ascii="Gill Sans MT" w:hAnsi="Gill Sans MT"/>
        <w:sz w:val="14"/>
        <w:szCs w:val="14"/>
      </w:rPr>
      <w:t>The National Radio Astronomy Observatory is a facility of the National Science Foundation operated under cooperative agreement by Associated Universities, Inc.</w:t>
    </w:r>
  </w:p>
  <w:p w14:paraId="7E686176" w14:textId="77777777" w:rsidR="00B57092" w:rsidRPr="00771492" w:rsidRDefault="00B57092" w:rsidP="0077149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553F0F2" w14:textId="77777777" w:rsidR="008137F5" w:rsidRDefault="008137F5" w:rsidP="00FA0158">
      <w:r>
        <w:separator/>
      </w:r>
    </w:p>
  </w:footnote>
  <w:footnote w:type="continuationSeparator" w:id="0">
    <w:p w14:paraId="731DD4F5" w14:textId="77777777" w:rsidR="008137F5" w:rsidRDefault="008137F5" w:rsidP="00FA015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B17D5F" w14:textId="77777777" w:rsidR="00B57092" w:rsidRDefault="00B57092" w:rsidP="00771492">
    <w:pPr>
      <w:pStyle w:val="Header"/>
    </w:pPr>
    <w:r>
      <w:rPr>
        <w:rFonts w:ascii="Gill Sans MT" w:hAnsi="Gill Sans MT"/>
        <w:noProof/>
      </w:rPr>
      <w:drawing>
        <wp:inline distT="0" distB="0" distL="0" distR="0" wp14:anchorId="70C6F2A7" wp14:editId="1B57D84C">
          <wp:extent cx="3571875" cy="866775"/>
          <wp:effectExtent l="0" t="0" r="9525" b="9525"/>
          <wp:docPr id="1" name="Picture 1" descr="Direct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irecto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571875" cy="866775"/>
                  </a:xfrm>
                  <a:prstGeom prst="rect">
                    <a:avLst/>
                  </a:prstGeom>
                  <a:noFill/>
                  <a:ln>
                    <a:noFill/>
                  </a:ln>
                </pic:spPr>
              </pic:pic>
            </a:graphicData>
          </a:graphic>
        </wp:inline>
      </w:drawing>
    </w:r>
  </w:p>
  <w:p w14:paraId="09237CCF" w14:textId="77777777" w:rsidR="00B57092" w:rsidRPr="00771492" w:rsidRDefault="00B57092" w:rsidP="0077149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3333A92"/>
    <w:multiLevelType w:val="hybridMultilevel"/>
    <w:tmpl w:val="2E3636C0"/>
    <w:lvl w:ilvl="0" w:tplc="DAC2DE6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8465B29"/>
    <w:multiLevelType w:val="hybridMultilevel"/>
    <w:tmpl w:val="A52C29E2"/>
    <w:lvl w:ilvl="0" w:tplc="4A44636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8515EAF"/>
    <w:multiLevelType w:val="hybridMultilevel"/>
    <w:tmpl w:val="7C0072EC"/>
    <w:lvl w:ilvl="0" w:tplc="DAC2DE6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F1D2593"/>
    <w:multiLevelType w:val="hybridMultilevel"/>
    <w:tmpl w:val="458EDC48"/>
    <w:lvl w:ilvl="0" w:tplc="DAC2DE6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BB417E3"/>
    <w:multiLevelType w:val="hybridMultilevel"/>
    <w:tmpl w:val="E9121E70"/>
    <w:lvl w:ilvl="0" w:tplc="DAC2DE6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797F4638"/>
    <w:multiLevelType w:val="hybridMultilevel"/>
    <w:tmpl w:val="7102E228"/>
    <w:lvl w:ilvl="0" w:tplc="DAC2DE6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7E474244"/>
    <w:multiLevelType w:val="hybridMultilevel"/>
    <w:tmpl w:val="B6FC7E4E"/>
    <w:lvl w:ilvl="0" w:tplc="1568817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6"/>
  </w:num>
  <w:num w:numId="3">
    <w:abstractNumId w:val="4"/>
  </w:num>
  <w:num w:numId="4">
    <w:abstractNumId w:val="0"/>
  </w:num>
  <w:num w:numId="5">
    <w:abstractNumId w:val="2"/>
  </w:num>
  <w:num w:numId="6">
    <w:abstractNumId w:val="1"/>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1"/>
  <w:proofState w:spelling="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3DC"/>
    <w:rsid w:val="00005776"/>
    <w:rsid w:val="000127D1"/>
    <w:rsid w:val="0001794C"/>
    <w:rsid w:val="000342D3"/>
    <w:rsid w:val="00042B6A"/>
    <w:rsid w:val="0004782F"/>
    <w:rsid w:val="0005019B"/>
    <w:rsid w:val="0005162E"/>
    <w:rsid w:val="000541C5"/>
    <w:rsid w:val="00054963"/>
    <w:rsid w:val="00067B8D"/>
    <w:rsid w:val="00072C95"/>
    <w:rsid w:val="00073059"/>
    <w:rsid w:val="00076779"/>
    <w:rsid w:val="00082111"/>
    <w:rsid w:val="000A21F6"/>
    <w:rsid w:val="000B0E21"/>
    <w:rsid w:val="000B5C2B"/>
    <w:rsid w:val="000B669E"/>
    <w:rsid w:val="000C1ED5"/>
    <w:rsid w:val="000C7853"/>
    <w:rsid w:val="000D1159"/>
    <w:rsid w:val="000E0AC9"/>
    <w:rsid w:val="000F3D57"/>
    <w:rsid w:val="00110F06"/>
    <w:rsid w:val="001175C7"/>
    <w:rsid w:val="00117B7A"/>
    <w:rsid w:val="00121FA8"/>
    <w:rsid w:val="00126BC4"/>
    <w:rsid w:val="0013151F"/>
    <w:rsid w:val="001315F3"/>
    <w:rsid w:val="001374A7"/>
    <w:rsid w:val="00137BBD"/>
    <w:rsid w:val="00150191"/>
    <w:rsid w:val="001510C8"/>
    <w:rsid w:val="00166C59"/>
    <w:rsid w:val="00171DEE"/>
    <w:rsid w:val="001B3912"/>
    <w:rsid w:val="001C069D"/>
    <w:rsid w:val="001D32B5"/>
    <w:rsid w:val="001D444D"/>
    <w:rsid w:val="001D45C4"/>
    <w:rsid w:val="001D5D36"/>
    <w:rsid w:val="001E0BE5"/>
    <w:rsid w:val="001E0D6C"/>
    <w:rsid w:val="001E269B"/>
    <w:rsid w:val="001E3D9B"/>
    <w:rsid w:val="001E4ABF"/>
    <w:rsid w:val="001E4D5D"/>
    <w:rsid w:val="001E6DE8"/>
    <w:rsid w:val="001E79FD"/>
    <w:rsid w:val="001F3FDA"/>
    <w:rsid w:val="001F46B9"/>
    <w:rsid w:val="001F71EE"/>
    <w:rsid w:val="001F7F41"/>
    <w:rsid w:val="00210419"/>
    <w:rsid w:val="0021362F"/>
    <w:rsid w:val="00215E4B"/>
    <w:rsid w:val="0023291D"/>
    <w:rsid w:val="0023436C"/>
    <w:rsid w:val="002409C5"/>
    <w:rsid w:val="00252755"/>
    <w:rsid w:val="002653E8"/>
    <w:rsid w:val="00267AE8"/>
    <w:rsid w:val="00267C32"/>
    <w:rsid w:val="00271B28"/>
    <w:rsid w:val="00274242"/>
    <w:rsid w:val="00280076"/>
    <w:rsid w:val="00290173"/>
    <w:rsid w:val="002928B1"/>
    <w:rsid w:val="00297D70"/>
    <w:rsid w:val="002A2B79"/>
    <w:rsid w:val="002A3B5B"/>
    <w:rsid w:val="002A73F3"/>
    <w:rsid w:val="002B6C8A"/>
    <w:rsid w:val="002C02FE"/>
    <w:rsid w:val="002C722C"/>
    <w:rsid w:val="002D14B4"/>
    <w:rsid w:val="002D1592"/>
    <w:rsid w:val="002D2960"/>
    <w:rsid w:val="002D39E3"/>
    <w:rsid w:val="002D3E0E"/>
    <w:rsid w:val="002D3EF6"/>
    <w:rsid w:val="002D5295"/>
    <w:rsid w:val="002E4374"/>
    <w:rsid w:val="003018C9"/>
    <w:rsid w:val="00314A21"/>
    <w:rsid w:val="0031509D"/>
    <w:rsid w:val="00337BA1"/>
    <w:rsid w:val="00345D83"/>
    <w:rsid w:val="003543DC"/>
    <w:rsid w:val="00354E33"/>
    <w:rsid w:val="00355FBE"/>
    <w:rsid w:val="00360492"/>
    <w:rsid w:val="00360878"/>
    <w:rsid w:val="0036238C"/>
    <w:rsid w:val="0037439F"/>
    <w:rsid w:val="00376DA9"/>
    <w:rsid w:val="0038193A"/>
    <w:rsid w:val="00384EE5"/>
    <w:rsid w:val="00385003"/>
    <w:rsid w:val="00393C2A"/>
    <w:rsid w:val="003B5DE8"/>
    <w:rsid w:val="003C25AA"/>
    <w:rsid w:val="003C543D"/>
    <w:rsid w:val="003D0942"/>
    <w:rsid w:val="003D4507"/>
    <w:rsid w:val="003D4CE7"/>
    <w:rsid w:val="003F3B67"/>
    <w:rsid w:val="003F61E9"/>
    <w:rsid w:val="003F7CEB"/>
    <w:rsid w:val="0040045A"/>
    <w:rsid w:val="0040625F"/>
    <w:rsid w:val="00411D29"/>
    <w:rsid w:val="00431042"/>
    <w:rsid w:val="004368B0"/>
    <w:rsid w:val="00443AEE"/>
    <w:rsid w:val="0044572A"/>
    <w:rsid w:val="00451CB3"/>
    <w:rsid w:val="00462FA6"/>
    <w:rsid w:val="004630F5"/>
    <w:rsid w:val="00465C16"/>
    <w:rsid w:val="00466FA5"/>
    <w:rsid w:val="004674C2"/>
    <w:rsid w:val="00473EA9"/>
    <w:rsid w:val="00476366"/>
    <w:rsid w:val="004804F3"/>
    <w:rsid w:val="00484283"/>
    <w:rsid w:val="004951F0"/>
    <w:rsid w:val="00497AE6"/>
    <w:rsid w:val="004A7409"/>
    <w:rsid w:val="004B6788"/>
    <w:rsid w:val="004B688C"/>
    <w:rsid w:val="004C2C9C"/>
    <w:rsid w:val="004C6CB7"/>
    <w:rsid w:val="004D09EB"/>
    <w:rsid w:val="004D4BB7"/>
    <w:rsid w:val="004E2C81"/>
    <w:rsid w:val="004F4D1A"/>
    <w:rsid w:val="005032F5"/>
    <w:rsid w:val="005071C2"/>
    <w:rsid w:val="0051147F"/>
    <w:rsid w:val="0051628F"/>
    <w:rsid w:val="00534A44"/>
    <w:rsid w:val="005378F4"/>
    <w:rsid w:val="00545601"/>
    <w:rsid w:val="00547A3D"/>
    <w:rsid w:val="00554194"/>
    <w:rsid w:val="00554BE1"/>
    <w:rsid w:val="00561897"/>
    <w:rsid w:val="00566083"/>
    <w:rsid w:val="0057098C"/>
    <w:rsid w:val="00573D2E"/>
    <w:rsid w:val="00583D57"/>
    <w:rsid w:val="00584B5A"/>
    <w:rsid w:val="00586DEB"/>
    <w:rsid w:val="00594E17"/>
    <w:rsid w:val="005A5760"/>
    <w:rsid w:val="005A7694"/>
    <w:rsid w:val="005B17F7"/>
    <w:rsid w:val="005B39BE"/>
    <w:rsid w:val="005B607D"/>
    <w:rsid w:val="005B7368"/>
    <w:rsid w:val="005C45B1"/>
    <w:rsid w:val="005C65E5"/>
    <w:rsid w:val="005C752E"/>
    <w:rsid w:val="005D0F7C"/>
    <w:rsid w:val="005E12A4"/>
    <w:rsid w:val="005E3A48"/>
    <w:rsid w:val="006009C9"/>
    <w:rsid w:val="006040C0"/>
    <w:rsid w:val="00612D15"/>
    <w:rsid w:val="00613A8D"/>
    <w:rsid w:val="0061578D"/>
    <w:rsid w:val="00617D42"/>
    <w:rsid w:val="006336F9"/>
    <w:rsid w:val="00635AB9"/>
    <w:rsid w:val="0063646D"/>
    <w:rsid w:val="00640267"/>
    <w:rsid w:val="00645B3E"/>
    <w:rsid w:val="00660815"/>
    <w:rsid w:val="00660BB6"/>
    <w:rsid w:val="006636F5"/>
    <w:rsid w:val="00671755"/>
    <w:rsid w:val="00672CCD"/>
    <w:rsid w:val="00672F1D"/>
    <w:rsid w:val="006A0490"/>
    <w:rsid w:val="006A210C"/>
    <w:rsid w:val="006A2E89"/>
    <w:rsid w:val="006A58DF"/>
    <w:rsid w:val="006A5C6E"/>
    <w:rsid w:val="006B5280"/>
    <w:rsid w:val="006C2D9B"/>
    <w:rsid w:val="006D50FF"/>
    <w:rsid w:val="006D5966"/>
    <w:rsid w:val="006D6593"/>
    <w:rsid w:val="006E3A29"/>
    <w:rsid w:val="006E7151"/>
    <w:rsid w:val="006F365D"/>
    <w:rsid w:val="006F6774"/>
    <w:rsid w:val="006F6E82"/>
    <w:rsid w:val="006F75D3"/>
    <w:rsid w:val="007000F4"/>
    <w:rsid w:val="0071483A"/>
    <w:rsid w:val="0071772F"/>
    <w:rsid w:val="00726A3D"/>
    <w:rsid w:val="0072778F"/>
    <w:rsid w:val="00732868"/>
    <w:rsid w:val="00734FB1"/>
    <w:rsid w:val="007526B8"/>
    <w:rsid w:val="00755ED1"/>
    <w:rsid w:val="007644EF"/>
    <w:rsid w:val="0076649B"/>
    <w:rsid w:val="00771492"/>
    <w:rsid w:val="00773B14"/>
    <w:rsid w:val="00786744"/>
    <w:rsid w:val="007B148F"/>
    <w:rsid w:val="007D1172"/>
    <w:rsid w:val="007D38F5"/>
    <w:rsid w:val="007E667D"/>
    <w:rsid w:val="007E7056"/>
    <w:rsid w:val="007F1593"/>
    <w:rsid w:val="007F520E"/>
    <w:rsid w:val="007F72E4"/>
    <w:rsid w:val="008137F5"/>
    <w:rsid w:val="00817D9C"/>
    <w:rsid w:val="008242C0"/>
    <w:rsid w:val="00830AB2"/>
    <w:rsid w:val="00835968"/>
    <w:rsid w:val="008359D0"/>
    <w:rsid w:val="00836143"/>
    <w:rsid w:val="0084742D"/>
    <w:rsid w:val="0085033B"/>
    <w:rsid w:val="00857262"/>
    <w:rsid w:val="008652D8"/>
    <w:rsid w:val="0087047B"/>
    <w:rsid w:val="00871D46"/>
    <w:rsid w:val="00873137"/>
    <w:rsid w:val="00880438"/>
    <w:rsid w:val="00885420"/>
    <w:rsid w:val="008A1EAC"/>
    <w:rsid w:val="008A5739"/>
    <w:rsid w:val="008B133C"/>
    <w:rsid w:val="008B18BE"/>
    <w:rsid w:val="008C20A0"/>
    <w:rsid w:val="008C2AD6"/>
    <w:rsid w:val="008C78FD"/>
    <w:rsid w:val="008D1E35"/>
    <w:rsid w:val="008D3BE1"/>
    <w:rsid w:val="008E7C77"/>
    <w:rsid w:val="00901F4B"/>
    <w:rsid w:val="00902874"/>
    <w:rsid w:val="00903CE1"/>
    <w:rsid w:val="00905B81"/>
    <w:rsid w:val="00913355"/>
    <w:rsid w:val="00916692"/>
    <w:rsid w:val="00927F39"/>
    <w:rsid w:val="00933782"/>
    <w:rsid w:val="009354BA"/>
    <w:rsid w:val="00935F18"/>
    <w:rsid w:val="00936FA9"/>
    <w:rsid w:val="0095587D"/>
    <w:rsid w:val="00955C4D"/>
    <w:rsid w:val="00964BF1"/>
    <w:rsid w:val="00981046"/>
    <w:rsid w:val="009903D7"/>
    <w:rsid w:val="00991BBB"/>
    <w:rsid w:val="009931B0"/>
    <w:rsid w:val="009B7C85"/>
    <w:rsid w:val="009C4CB2"/>
    <w:rsid w:val="009C6474"/>
    <w:rsid w:val="009D3341"/>
    <w:rsid w:val="009E661F"/>
    <w:rsid w:val="009F52EE"/>
    <w:rsid w:val="009F5F20"/>
    <w:rsid w:val="00A03D4B"/>
    <w:rsid w:val="00A04184"/>
    <w:rsid w:val="00A04EB9"/>
    <w:rsid w:val="00A066C0"/>
    <w:rsid w:val="00A14236"/>
    <w:rsid w:val="00A26949"/>
    <w:rsid w:val="00A30B0D"/>
    <w:rsid w:val="00A3142D"/>
    <w:rsid w:val="00A467F8"/>
    <w:rsid w:val="00A51C6C"/>
    <w:rsid w:val="00A56117"/>
    <w:rsid w:val="00A61041"/>
    <w:rsid w:val="00A6572F"/>
    <w:rsid w:val="00A73662"/>
    <w:rsid w:val="00A757A1"/>
    <w:rsid w:val="00A764B4"/>
    <w:rsid w:val="00A819A6"/>
    <w:rsid w:val="00A82F83"/>
    <w:rsid w:val="00A86F7C"/>
    <w:rsid w:val="00A91760"/>
    <w:rsid w:val="00A92A2C"/>
    <w:rsid w:val="00A94540"/>
    <w:rsid w:val="00A94C64"/>
    <w:rsid w:val="00A970D1"/>
    <w:rsid w:val="00AA0C7F"/>
    <w:rsid w:val="00AA0F79"/>
    <w:rsid w:val="00AA20B7"/>
    <w:rsid w:val="00AB23E8"/>
    <w:rsid w:val="00AB2BD7"/>
    <w:rsid w:val="00AC1A44"/>
    <w:rsid w:val="00AD12D1"/>
    <w:rsid w:val="00AD1951"/>
    <w:rsid w:val="00AF53A8"/>
    <w:rsid w:val="00AF66CD"/>
    <w:rsid w:val="00B0394F"/>
    <w:rsid w:val="00B06A58"/>
    <w:rsid w:val="00B15CDD"/>
    <w:rsid w:val="00B21D7F"/>
    <w:rsid w:val="00B31B00"/>
    <w:rsid w:val="00B32556"/>
    <w:rsid w:val="00B362DE"/>
    <w:rsid w:val="00B43097"/>
    <w:rsid w:val="00B47215"/>
    <w:rsid w:val="00B57092"/>
    <w:rsid w:val="00B57C70"/>
    <w:rsid w:val="00B70DD2"/>
    <w:rsid w:val="00B80AAF"/>
    <w:rsid w:val="00B82E6C"/>
    <w:rsid w:val="00B871DC"/>
    <w:rsid w:val="00B952F7"/>
    <w:rsid w:val="00BA3058"/>
    <w:rsid w:val="00BA520B"/>
    <w:rsid w:val="00BA66CD"/>
    <w:rsid w:val="00BA6C6F"/>
    <w:rsid w:val="00BB7472"/>
    <w:rsid w:val="00BC06AC"/>
    <w:rsid w:val="00BC19C5"/>
    <w:rsid w:val="00BD11C2"/>
    <w:rsid w:val="00BE5674"/>
    <w:rsid w:val="00BF0789"/>
    <w:rsid w:val="00C00A29"/>
    <w:rsid w:val="00C00A8D"/>
    <w:rsid w:val="00C00E22"/>
    <w:rsid w:val="00C03A1C"/>
    <w:rsid w:val="00C06F69"/>
    <w:rsid w:val="00C10D53"/>
    <w:rsid w:val="00C11F26"/>
    <w:rsid w:val="00C12165"/>
    <w:rsid w:val="00C22842"/>
    <w:rsid w:val="00C3303E"/>
    <w:rsid w:val="00C376BF"/>
    <w:rsid w:val="00C41747"/>
    <w:rsid w:val="00C42C32"/>
    <w:rsid w:val="00C50C92"/>
    <w:rsid w:val="00C62884"/>
    <w:rsid w:val="00C93022"/>
    <w:rsid w:val="00C962AD"/>
    <w:rsid w:val="00CA1C30"/>
    <w:rsid w:val="00CA41A4"/>
    <w:rsid w:val="00CA7FD1"/>
    <w:rsid w:val="00CB05E4"/>
    <w:rsid w:val="00CB4A7B"/>
    <w:rsid w:val="00CB51DD"/>
    <w:rsid w:val="00CB5A4D"/>
    <w:rsid w:val="00CC6A4F"/>
    <w:rsid w:val="00CC7D48"/>
    <w:rsid w:val="00CD043C"/>
    <w:rsid w:val="00CD14C1"/>
    <w:rsid w:val="00CD2D3C"/>
    <w:rsid w:val="00CF5059"/>
    <w:rsid w:val="00D0535B"/>
    <w:rsid w:val="00D068F0"/>
    <w:rsid w:val="00D16EAF"/>
    <w:rsid w:val="00D16FA3"/>
    <w:rsid w:val="00D2688B"/>
    <w:rsid w:val="00D36F7C"/>
    <w:rsid w:val="00D52D8D"/>
    <w:rsid w:val="00D60E0A"/>
    <w:rsid w:val="00D66CAB"/>
    <w:rsid w:val="00D72205"/>
    <w:rsid w:val="00D86D48"/>
    <w:rsid w:val="00D87B9A"/>
    <w:rsid w:val="00D9160A"/>
    <w:rsid w:val="00D94677"/>
    <w:rsid w:val="00D956DA"/>
    <w:rsid w:val="00DA0FFC"/>
    <w:rsid w:val="00DA69A7"/>
    <w:rsid w:val="00DD18EB"/>
    <w:rsid w:val="00DD190B"/>
    <w:rsid w:val="00DD1D0C"/>
    <w:rsid w:val="00DD1EC7"/>
    <w:rsid w:val="00DD6EEE"/>
    <w:rsid w:val="00DF086F"/>
    <w:rsid w:val="00E00935"/>
    <w:rsid w:val="00E03C99"/>
    <w:rsid w:val="00E047B7"/>
    <w:rsid w:val="00E04D25"/>
    <w:rsid w:val="00E0623E"/>
    <w:rsid w:val="00E206FE"/>
    <w:rsid w:val="00E22A31"/>
    <w:rsid w:val="00E36380"/>
    <w:rsid w:val="00E45787"/>
    <w:rsid w:val="00E469F6"/>
    <w:rsid w:val="00E46C4B"/>
    <w:rsid w:val="00E6348E"/>
    <w:rsid w:val="00E63DD6"/>
    <w:rsid w:val="00E64730"/>
    <w:rsid w:val="00E667AE"/>
    <w:rsid w:val="00E7741D"/>
    <w:rsid w:val="00E9015F"/>
    <w:rsid w:val="00EB31D8"/>
    <w:rsid w:val="00EC2DFB"/>
    <w:rsid w:val="00ED14CE"/>
    <w:rsid w:val="00ED6BE0"/>
    <w:rsid w:val="00EF191B"/>
    <w:rsid w:val="00F018C6"/>
    <w:rsid w:val="00F048AF"/>
    <w:rsid w:val="00F06EB6"/>
    <w:rsid w:val="00F1587C"/>
    <w:rsid w:val="00F20957"/>
    <w:rsid w:val="00F25C7B"/>
    <w:rsid w:val="00F33610"/>
    <w:rsid w:val="00F3683A"/>
    <w:rsid w:val="00F42BFE"/>
    <w:rsid w:val="00F44069"/>
    <w:rsid w:val="00F51D2C"/>
    <w:rsid w:val="00F56534"/>
    <w:rsid w:val="00F5695B"/>
    <w:rsid w:val="00F70364"/>
    <w:rsid w:val="00F8133D"/>
    <w:rsid w:val="00F85433"/>
    <w:rsid w:val="00F85673"/>
    <w:rsid w:val="00FA0158"/>
    <w:rsid w:val="00FA1D4B"/>
    <w:rsid w:val="00FA577F"/>
    <w:rsid w:val="00FA59E6"/>
    <w:rsid w:val="00FA7D0E"/>
    <w:rsid w:val="00FB6435"/>
    <w:rsid w:val="00FD57E6"/>
    <w:rsid w:val="00FD7911"/>
    <w:rsid w:val="00FE114B"/>
    <w:rsid w:val="00FF705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1E182B3"/>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835968"/>
    <w:rPr>
      <w:rFonts w:ascii="Times New Roman" w:eastAsia="Times New Roman" w:hAnsi="Times New Roman"/>
      <w:sz w:val="24"/>
      <w:szCs w:val="24"/>
    </w:rPr>
  </w:style>
  <w:style w:type="paragraph" w:styleId="Heading1">
    <w:name w:val="heading 1"/>
    <w:basedOn w:val="Normal"/>
    <w:link w:val="Heading1Char"/>
    <w:uiPriority w:val="1"/>
    <w:qFormat/>
    <w:rsid w:val="002C02FE"/>
    <w:pPr>
      <w:widowControl w:val="0"/>
      <w:autoSpaceDE w:val="0"/>
      <w:autoSpaceDN w:val="0"/>
      <w:spacing w:before="5"/>
      <w:ind w:left="1640" w:hanging="720"/>
      <w:outlineLvl w:val="0"/>
    </w:pPr>
    <w:rPr>
      <w:b/>
      <w:bCs/>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A0158"/>
    <w:pPr>
      <w:tabs>
        <w:tab w:val="center" w:pos="4680"/>
        <w:tab w:val="right" w:pos="9360"/>
      </w:tabs>
    </w:pPr>
  </w:style>
  <w:style w:type="character" w:customStyle="1" w:styleId="HeaderChar">
    <w:name w:val="Header Char"/>
    <w:basedOn w:val="DefaultParagraphFont"/>
    <w:link w:val="Header"/>
    <w:uiPriority w:val="99"/>
    <w:rsid w:val="00FA0158"/>
  </w:style>
  <w:style w:type="paragraph" w:styleId="Footer">
    <w:name w:val="footer"/>
    <w:basedOn w:val="Normal"/>
    <w:link w:val="FooterChar"/>
    <w:uiPriority w:val="99"/>
    <w:unhideWhenUsed/>
    <w:rsid w:val="00FA0158"/>
    <w:pPr>
      <w:tabs>
        <w:tab w:val="center" w:pos="4680"/>
        <w:tab w:val="right" w:pos="9360"/>
      </w:tabs>
    </w:pPr>
  </w:style>
  <w:style w:type="character" w:customStyle="1" w:styleId="FooterChar">
    <w:name w:val="Footer Char"/>
    <w:basedOn w:val="DefaultParagraphFont"/>
    <w:link w:val="Footer"/>
    <w:uiPriority w:val="99"/>
    <w:rsid w:val="00FA0158"/>
  </w:style>
  <w:style w:type="paragraph" w:styleId="BalloonText">
    <w:name w:val="Balloon Text"/>
    <w:basedOn w:val="Normal"/>
    <w:link w:val="BalloonTextChar"/>
    <w:uiPriority w:val="99"/>
    <w:semiHidden/>
    <w:unhideWhenUsed/>
    <w:rsid w:val="00FA0158"/>
    <w:rPr>
      <w:rFonts w:ascii="Tahoma" w:hAnsi="Tahoma" w:cs="Tahoma"/>
      <w:sz w:val="16"/>
      <w:szCs w:val="16"/>
    </w:rPr>
  </w:style>
  <w:style w:type="character" w:customStyle="1" w:styleId="BalloonTextChar">
    <w:name w:val="Balloon Text Char"/>
    <w:basedOn w:val="DefaultParagraphFont"/>
    <w:link w:val="BalloonText"/>
    <w:uiPriority w:val="99"/>
    <w:semiHidden/>
    <w:rsid w:val="00FA0158"/>
    <w:rPr>
      <w:rFonts w:ascii="Tahoma" w:hAnsi="Tahoma" w:cs="Tahoma"/>
      <w:sz w:val="16"/>
      <w:szCs w:val="16"/>
    </w:rPr>
  </w:style>
  <w:style w:type="paragraph" w:styleId="PlainText">
    <w:name w:val="Plain Text"/>
    <w:basedOn w:val="Normal"/>
    <w:link w:val="PlainTextChar"/>
    <w:uiPriority w:val="99"/>
    <w:semiHidden/>
    <w:unhideWhenUsed/>
    <w:rsid w:val="00C42C32"/>
    <w:rPr>
      <w:rFonts w:cs="Consolas"/>
      <w:szCs w:val="21"/>
    </w:rPr>
  </w:style>
  <w:style w:type="character" w:customStyle="1" w:styleId="PlainTextChar">
    <w:name w:val="Plain Text Char"/>
    <w:basedOn w:val="DefaultParagraphFont"/>
    <w:link w:val="PlainText"/>
    <w:uiPriority w:val="99"/>
    <w:semiHidden/>
    <w:rsid w:val="00C42C32"/>
    <w:rPr>
      <w:rFonts w:cs="Consolas"/>
      <w:sz w:val="22"/>
      <w:szCs w:val="21"/>
    </w:rPr>
  </w:style>
  <w:style w:type="paragraph" w:styleId="HTMLPreformatted">
    <w:name w:val="HTML Preformatted"/>
    <w:basedOn w:val="Normal"/>
    <w:link w:val="HTMLPreformattedChar"/>
    <w:uiPriority w:val="99"/>
    <w:semiHidden/>
    <w:unhideWhenUsed/>
    <w:rsid w:val="006D59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6D5966"/>
    <w:rPr>
      <w:rFonts w:ascii="Courier New" w:eastAsia="Times New Roman" w:hAnsi="Courier New" w:cs="Courier New"/>
    </w:rPr>
  </w:style>
  <w:style w:type="character" w:customStyle="1" w:styleId="ng-binding">
    <w:name w:val="ng-binding"/>
    <w:basedOn w:val="DefaultParagraphFont"/>
    <w:rsid w:val="00660815"/>
  </w:style>
  <w:style w:type="character" w:styleId="Hyperlink">
    <w:name w:val="Hyperlink"/>
    <w:basedOn w:val="DefaultParagraphFont"/>
    <w:uiPriority w:val="99"/>
    <w:unhideWhenUsed/>
    <w:rsid w:val="00D0535B"/>
    <w:rPr>
      <w:color w:val="0000FF" w:themeColor="hyperlink"/>
      <w:u w:val="single"/>
    </w:rPr>
  </w:style>
  <w:style w:type="paragraph" w:customStyle="1" w:styleId="p1">
    <w:name w:val="p1"/>
    <w:basedOn w:val="Normal"/>
    <w:rsid w:val="00EC2DFB"/>
    <w:rPr>
      <w:rFonts w:ascii="Helvetica" w:hAnsi="Helvetica"/>
      <w:sz w:val="18"/>
      <w:szCs w:val="18"/>
    </w:rPr>
  </w:style>
  <w:style w:type="character" w:customStyle="1" w:styleId="s1">
    <w:name w:val="s1"/>
    <w:basedOn w:val="DefaultParagraphFont"/>
    <w:rsid w:val="00584B5A"/>
    <w:rPr>
      <w:rFonts w:ascii="Times New Roman" w:hAnsi="Times New Roman" w:cs="Times New Roman" w:hint="default"/>
      <w:sz w:val="11"/>
      <w:szCs w:val="11"/>
    </w:rPr>
  </w:style>
  <w:style w:type="character" w:customStyle="1" w:styleId="apple-converted-space">
    <w:name w:val="apple-converted-space"/>
    <w:basedOn w:val="DefaultParagraphFont"/>
    <w:rsid w:val="00584B5A"/>
  </w:style>
  <w:style w:type="character" w:styleId="FollowedHyperlink">
    <w:name w:val="FollowedHyperlink"/>
    <w:basedOn w:val="DefaultParagraphFont"/>
    <w:uiPriority w:val="99"/>
    <w:semiHidden/>
    <w:unhideWhenUsed/>
    <w:rsid w:val="00CD043C"/>
    <w:rPr>
      <w:color w:val="800080" w:themeColor="followedHyperlink"/>
      <w:u w:val="single"/>
    </w:rPr>
  </w:style>
  <w:style w:type="paragraph" w:customStyle="1" w:styleId="Tabletext">
    <w:name w:val="Table_text"/>
    <w:basedOn w:val="Normal"/>
    <w:rsid w:val="00F44069"/>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sz w:val="20"/>
      <w:szCs w:val="20"/>
      <w:lang w:val="en-GB"/>
    </w:rPr>
  </w:style>
  <w:style w:type="paragraph" w:customStyle="1" w:styleId="Tablehead">
    <w:name w:val="Table_head"/>
    <w:basedOn w:val="Normal"/>
    <w:rsid w:val="00F44069"/>
    <w:pPr>
      <w:keepNext/>
      <w:tabs>
        <w:tab w:val="left" w:pos="1134"/>
        <w:tab w:val="left" w:pos="1871"/>
        <w:tab w:val="left" w:pos="2268"/>
      </w:tabs>
      <w:overflowPunct w:val="0"/>
      <w:autoSpaceDE w:val="0"/>
      <w:autoSpaceDN w:val="0"/>
      <w:adjustRightInd w:val="0"/>
      <w:spacing w:before="80" w:after="80"/>
      <w:jc w:val="center"/>
      <w:textAlignment w:val="baseline"/>
    </w:pPr>
    <w:rPr>
      <w:rFonts w:ascii="Times New Roman Bold" w:hAnsi="Times New Roman Bold" w:cs="Times New Roman Bold"/>
      <w:b/>
      <w:sz w:val="20"/>
      <w:szCs w:val="20"/>
      <w:lang w:val="en-GB"/>
    </w:rPr>
  </w:style>
  <w:style w:type="paragraph" w:customStyle="1" w:styleId="TableNo">
    <w:name w:val="Table_No"/>
    <w:basedOn w:val="Normal"/>
    <w:next w:val="Normal"/>
    <w:rsid w:val="00F44069"/>
    <w:pPr>
      <w:keepNext/>
      <w:tabs>
        <w:tab w:val="left" w:pos="1134"/>
        <w:tab w:val="left" w:pos="1871"/>
        <w:tab w:val="left" w:pos="2268"/>
      </w:tabs>
      <w:overflowPunct w:val="0"/>
      <w:autoSpaceDE w:val="0"/>
      <w:autoSpaceDN w:val="0"/>
      <w:adjustRightInd w:val="0"/>
      <w:spacing w:before="560" w:after="120"/>
      <w:jc w:val="center"/>
      <w:textAlignment w:val="baseline"/>
    </w:pPr>
    <w:rPr>
      <w:caps/>
      <w:sz w:val="20"/>
      <w:szCs w:val="20"/>
      <w:lang w:val="en-GB"/>
    </w:rPr>
  </w:style>
  <w:style w:type="paragraph" w:customStyle="1" w:styleId="Tabletitle">
    <w:name w:val="Table_title"/>
    <w:basedOn w:val="Normal"/>
    <w:next w:val="Tabletext"/>
    <w:rsid w:val="00F44069"/>
    <w:pPr>
      <w:keepNext/>
      <w:keepLines/>
      <w:tabs>
        <w:tab w:val="left" w:pos="1134"/>
        <w:tab w:val="left" w:pos="1871"/>
        <w:tab w:val="left" w:pos="2268"/>
      </w:tabs>
      <w:overflowPunct w:val="0"/>
      <w:autoSpaceDE w:val="0"/>
      <w:autoSpaceDN w:val="0"/>
      <w:adjustRightInd w:val="0"/>
      <w:spacing w:after="120"/>
      <w:jc w:val="center"/>
      <w:textAlignment w:val="baseline"/>
    </w:pPr>
    <w:rPr>
      <w:rFonts w:ascii="Times New Roman Bold" w:hAnsi="Times New Roman Bold"/>
      <w:b/>
      <w:sz w:val="20"/>
      <w:szCs w:val="20"/>
      <w:lang w:val="en-GB"/>
    </w:rPr>
  </w:style>
  <w:style w:type="paragraph" w:customStyle="1" w:styleId="Tablefin">
    <w:name w:val="Table_fin"/>
    <w:basedOn w:val="Normal"/>
    <w:next w:val="Normal"/>
    <w:rsid w:val="00F44069"/>
    <w:pPr>
      <w:suppressAutoHyphens/>
      <w:autoSpaceDN w:val="0"/>
      <w:jc w:val="both"/>
    </w:pPr>
    <w:rPr>
      <w:rFonts w:eastAsia="Batang"/>
      <w:sz w:val="20"/>
      <w:szCs w:val="20"/>
    </w:rPr>
  </w:style>
  <w:style w:type="paragraph" w:customStyle="1" w:styleId="Default">
    <w:name w:val="Default"/>
    <w:rsid w:val="004951F0"/>
    <w:pPr>
      <w:autoSpaceDE w:val="0"/>
      <w:autoSpaceDN w:val="0"/>
      <w:adjustRightInd w:val="0"/>
    </w:pPr>
    <w:rPr>
      <w:rFonts w:ascii="Times New Roman" w:hAnsi="Times New Roman"/>
      <w:color w:val="000000"/>
      <w:sz w:val="24"/>
      <w:szCs w:val="24"/>
    </w:rPr>
  </w:style>
  <w:style w:type="paragraph" w:styleId="NormalWeb">
    <w:name w:val="Normal (Web)"/>
    <w:basedOn w:val="Normal"/>
    <w:uiPriority w:val="99"/>
    <w:semiHidden/>
    <w:unhideWhenUsed/>
    <w:rsid w:val="005B39BE"/>
    <w:pPr>
      <w:spacing w:before="100" w:beforeAutospacing="1" w:after="100" w:afterAutospacing="1"/>
    </w:pPr>
  </w:style>
  <w:style w:type="character" w:styleId="Strong">
    <w:name w:val="Strong"/>
    <w:basedOn w:val="DefaultParagraphFont"/>
    <w:uiPriority w:val="22"/>
    <w:qFormat/>
    <w:rsid w:val="005B39BE"/>
    <w:rPr>
      <w:b/>
      <w:bCs/>
    </w:rPr>
  </w:style>
  <w:style w:type="character" w:styleId="UnresolvedMention">
    <w:name w:val="Unresolved Mention"/>
    <w:basedOn w:val="DefaultParagraphFont"/>
    <w:uiPriority w:val="99"/>
    <w:rsid w:val="00F1587C"/>
    <w:rPr>
      <w:color w:val="808080"/>
      <w:shd w:val="clear" w:color="auto" w:fill="E6E6E6"/>
    </w:rPr>
  </w:style>
  <w:style w:type="character" w:customStyle="1" w:styleId="Heading1Char">
    <w:name w:val="Heading 1 Char"/>
    <w:basedOn w:val="DefaultParagraphFont"/>
    <w:link w:val="Heading1"/>
    <w:uiPriority w:val="1"/>
    <w:rsid w:val="002C02FE"/>
    <w:rPr>
      <w:rFonts w:ascii="Times New Roman" w:eastAsia="Times New Roman" w:hAnsi="Times New Roman"/>
      <w:b/>
      <w:bCs/>
      <w:sz w:val="24"/>
      <w:szCs w:val="24"/>
      <w:lang w:bidi="en-US"/>
    </w:rPr>
  </w:style>
  <w:style w:type="paragraph" w:styleId="BodyText">
    <w:name w:val="Body Text"/>
    <w:basedOn w:val="Normal"/>
    <w:link w:val="BodyTextChar"/>
    <w:uiPriority w:val="1"/>
    <w:qFormat/>
    <w:rsid w:val="002C02FE"/>
    <w:pPr>
      <w:widowControl w:val="0"/>
      <w:autoSpaceDE w:val="0"/>
      <w:autoSpaceDN w:val="0"/>
      <w:ind w:left="200"/>
    </w:pPr>
    <w:rPr>
      <w:lang w:bidi="en-US"/>
    </w:rPr>
  </w:style>
  <w:style w:type="character" w:customStyle="1" w:styleId="BodyTextChar">
    <w:name w:val="Body Text Char"/>
    <w:basedOn w:val="DefaultParagraphFont"/>
    <w:link w:val="BodyText"/>
    <w:uiPriority w:val="1"/>
    <w:rsid w:val="002C02FE"/>
    <w:rPr>
      <w:rFonts w:ascii="Times New Roman" w:eastAsia="Times New Roman" w:hAnsi="Times New Roman"/>
      <w:sz w:val="24"/>
      <w:szCs w:val="24"/>
      <w:lang w:bidi="en-US"/>
    </w:rPr>
  </w:style>
  <w:style w:type="paragraph" w:customStyle="1" w:styleId="TableParagraph">
    <w:name w:val="Table Paragraph"/>
    <w:basedOn w:val="Normal"/>
    <w:uiPriority w:val="1"/>
    <w:qFormat/>
    <w:rsid w:val="002C02FE"/>
    <w:pPr>
      <w:widowControl w:val="0"/>
      <w:autoSpaceDE w:val="0"/>
      <w:autoSpaceDN w:val="0"/>
    </w:pPr>
    <w:rPr>
      <w:sz w:val="22"/>
      <w:szCs w:val="22"/>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8622845">
      <w:bodyDiv w:val="1"/>
      <w:marLeft w:val="0"/>
      <w:marRight w:val="0"/>
      <w:marTop w:val="0"/>
      <w:marBottom w:val="0"/>
      <w:divBdr>
        <w:top w:val="none" w:sz="0" w:space="0" w:color="auto"/>
        <w:left w:val="none" w:sz="0" w:space="0" w:color="auto"/>
        <w:bottom w:val="none" w:sz="0" w:space="0" w:color="auto"/>
        <w:right w:val="none" w:sz="0" w:space="0" w:color="auto"/>
      </w:divBdr>
    </w:div>
    <w:div w:id="177962167">
      <w:bodyDiv w:val="1"/>
      <w:marLeft w:val="0"/>
      <w:marRight w:val="0"/>
      <w:marTop w:val="0"/>
      <w:marBottom w:val="0"/>
      <w:divBdr>
        <w:top w:val="none" w:sz="0" w:space="0" w:color="auto"/>
        <w:left w:val="none" w:sz="0" w:space="0" w:color="auto"/>
        <w:bottom w:val="none" w:sz="0" w:space="0" w:color="auto"/>
        <w:right w:val="none" w:sz="0" w:space="0" w:color="auto"/>
      </w:divBdr>
    </w:div>
    <w:div w:id="250550839">
      <w:bodyDiv w:val="1"/>
      <w:marLeft w:val="0"/>
      <w:marRight w:val="0"/>
      <w:marTop w:val="0"/>
      <w:marBottom w:val="0"/>
      <w:divBdr>
        <w:top w:val="none" w:sz="0" w:space="0" w:color="auto"/>
        <w:left w:val="none" w:sz="0" w:space="0" w:color="auto"/>
        <w:bottom w:val="none" w:sz="0" w:space="0" w:color="auto"/>
        <w:right w:val="none" w:sz="0" w:space="0" w:color="auto"/>
      </w:divBdr>
    </w:div>
    <w:div w:id="315883884">
      <w:bodyDiv w:val="1"/>
      <w:marLeft w:val="0"/>
      <w:marRight w:val="0"/>
      <w:marTop w:val="0"/>
      <w:marBottom w:val="0"/>
      <w:divBdr>
        <w:top w:val="none" w:sz="0" w:space="0" w:color="auto"/>
        <w:left w:val="none" w:sz="0" w:space="0" w:color="auto"/>
        <w:bottom w:val="none" w:sz="0" w:space="0" w:color="auto"/>
        <w:right w:val="none" w:sz="0" w:space="0" w:color="auto"/>
      </w:divBdr>
    </w:div>
    <w:div w:id="320163264">
      <w:bodyDiv w:val="1"/>
      <w:marLeft w:val="0"/>
      <w:marRight w:val="0"/>
      <w:marTop w:val="0"/>
      <w:marBottom w:val="0"/>
      <w:divBdr>
        <w:top w:val="none" w:sz="0" w:space="0" w:color="auto"/>
        <w:left w:val="none" w:sz="0" w:space="0" w:color="auto"/>
        <w:bottom w:val="none" w:sz="0" w:space="0" w:color="auto"/>
        <w:right w:val="none" w:sz="0" w:space="0" w:color="auto"/>
      </w:divBdr>
    </w:div>
    <w:div w:id="635600423">
      <w:bodyDiv w:val="1"/>
      <w:marLeft w:val="0"/>
      <w:marRight w:val="0"/>
      <w:marTop w:val="0"/>
      <w:marBottom w:val="0"/>
      <w:divBdr>
        <w:top w:val="none" w:sz="0" w:space="0" w:color="auto"/>
        <w:left w:val="none" w:sz="0" w:space="0" w:color="auto"/>
        <w:bottom w:val="none" w:sz="0" w:space="0" w:color="auto"/>
        <w:right w:val="none" w:sz="0" w:space="0" w:color="auto"/>
      </w:divBdr>
    </w:div>
    <w:div w:id="682322648">
      <w:bodyDiv w:val="1"/>
      <w:marLeft w:val="0"/>
      <w:marRight w:val="0"/>
      <w:marTop w:val="0"/>
      <w:marBottom w:val="0"/>
      <w:divBdr>
        <w:top w:val="none" w:sz="0" w:space="0" w:color="auto"/>
        <w:left w:val="none" w:sz="0" w:space="0" w:color="auto"/>
        <w:bottom w:val="none" w:sz="0" w:space="0" w:color="auto"/>
        <w:right w:val="none" w:sz="0" w:space="0" w:color="auto"/>
      </w:divBdr>
    </w:div>
    <w:div w:id="685641084">
      <w:bodyDiv w:val="1"/>
      <w:marLeft w:val="0"/>
      <w:marRight w:val="0"/>
      <w:marTop w:val="0"/>
      <w:marBottom w:val="0"/>
      <w:divBdr>
        <w:top w:val="none" w:sz="0" w:space="0" w:color="auto"/>
        <w:left w:val="none" w:sz="0" w:space="0" w:color="auto"/>
        <w:bottom w:val="none" w:sz="0" w:space="0" w:color="auto"/>
        <w:right w:val="none" w:sz="0" w:space="0" w:color="auto"/>
      </w:divBdr>
    </w:div>
    <w:div w:id="727070677">
      <w:bodyDiv w:val="1"/>
      <w:marLeft w:val="0"/>
      <w:marRight w:val="0"/>
      <w:marTop w:val="0"/>
      <w:marBottom w:val="0"/>
      <w:divBdr>
        <w:top w:val="none" w:sz="0" w:space="0" w:color="auto"/>
        <w:left w:val="none" w:sz="0" w:space="0" w:color="auto"/>
        <w:bottom w:val="none" w:sz="0" w:space="0" w:color="auto"/>
        <w:right w:val="none" w:sz="0" w:space="0" w:color="auto"/>
      </w:divBdr>
    </w:div>
    <w:div w:id="818694731">
      <w:bodyDiv w:val="1"/>
      <w:marLeft w:val="0"/>
      <w:marRight w:val="0"/>
      <w:marTop w:val="0"/>
      <w:marBottom w:val="0"/>
      <w:divBdr>
        <w:top w:val="none" w:sz="0" w:space="0" w:color="auto"/>
        <w:left w:val="none" w:sz="0" w:space="0" w:color="auto"/>
        <w:bottom w:val="none" w:sz="0" w:space="0" w:color="auto"/>
        <w:right w:val="none" w:sz="0" w:space="0" w:color="auto"/>
      </w:divBdr>
    </w:div>
    <w:div w:id="824468485">
      <w:bodyDiv w:val="1"/>
      <w:marLeft w:val="0"/>
      <w:marRight w:val="0"/>
      <w:marTop w:val="0"/>
      <w:marBottom w:val="0"/>
      <w:divBdr>
        <w:top w:val="none" w:sz="0" w:space="0" w:color="auto"/>
        <w:left w:val="none" w:sz="0" w:space="0" w:color="auto"/>
        <w:bottom w:val="none" w:sz="0" w:space="0" w:color="auto"/>
        <w:right w:val="none" w:sz="0" w:space="0" w:color="auto"/>
      </w:divBdr>
    </w:div>
    <w:div w:id="974673863">
      <w:bodyDiv w:val="1"/>
      <w:marLeft w:val="0"/>
      <w:marRight w:val="0"/>
      <w:marTop w:val="0"/>
      <w:marBottom w:val="0"/>
      <w:divBdr>
        <w:top w:val="none" w:sz="0" w:space="0" w:color="auto"/>
        <w:left w:val="none" w:sz="0" w:space="0" w:color="auto"/>
        <w:bottom w:val="none" w:sz="0" w:space="0" w:color="auto"/>
        <w:right w:val="none" w:sz="0" w:space="0" w:color="auto"/>
      </w:divBdr>
    </w:div>
    <w:div w:id="996953522">
      <w:bodyDiv w:val="1"/>
      <w:marLeft w:val="0"/>
      <w:marRight w:val="0"/>
      <w:marTop w:val="0"/>
      <w:marBottom w:val="0"/>
      <w:divBdr>
        <w:top w:val="none" w:sz="0" w:space="0" w:color="auto"/>
        <w:left w:val="none" w:sz="0" w:space="0" w:color="auto"/>
        <w:bottom w:val="none" w:sz="0" w:space="0" w:color="auto"/>
        <w:right w:val="none" w:sz="0" w:space="0" w:color="auto"/>
      </w:divBdr>
    </w:div>
    <w:div w:id="1116557056">
      <w:bodyDiv w:val="1"/>
      <w:marLeft w:val="0"/>
      <w:marRight w:val="0"/>
      <w:marTop w:val="0"/>
      <w:marBottom w:val="0"/>
      <w:divBdr>
        <w:top w:val="none" w:sz="0" w:space="0" w:color="auto"/>
        <w:left w:val="none" w:sz="0" w:space="0" w:color="auto"/>
        <w:bottom w:val="none" w:sz="0" w:space="0" w:color="auto"/>
        <w:right w:val="none" w:sz="0" w:space="0" w:color="auto"/>
      </w:divBdr>
    </w:div>
    <w:div w:id="1139150595">
      <w:bodyDiv w:val="1"/>
      <w:marLeft w:val="0"/>
      <w:marRight w:val="0"/>
      <w:marTop w:val="0"/>
      <w:marBottom w:val="0"/>
      <w:divBdr>
        <w:top w:val="none" w:sz="0" w:space="0" w:color="auto"/>
        <w:left w:val="none" w:sz="0" w:space="0" w:color="auto"/>
        <w:bottom w:val="none" w:sz="0" w:space="0" w:color="auto"/>
        <w:right w:val="none" w:sz="0" w:space="0" w:color="auto"/>
      </w:divBdr>
    </w:div>
    <w:div w:id="1145854309">
      <w:bodyDiv w:val="1"/>
      <w:marLeft w:val="0"/>
      <w:marRight w:val="0"/>
      <w:marTop w:val="0"/>
      <w:marBottom w:val="0"/>
      <w:divBdr>
        <w:top w:val="none" w:sz="0" w:space="0" w:color="auto"/>
        <w:left w:val="none" w:sz="0" w:space="0" w:color="auto"/>
        <w:bottom w:val="none" w:sz="0" w:space="0" w:color="auto"/>
        <w:right w:val="none" w:sz="0" w:space="0" w:color="auto"/>
      </w:divBdr>
    </w:div>
    <w:div w:id="1279531594">
      <w:bodyDiv w:val="1"/>
      <w:marLeft w:val="0"/>
      <w:marRight w:val="0"/>
      <w:marTop w:val="0"/>
      <w:marBottom w:val="0"/>
      <w:divBdr>
        <w:top w:val="none" w:sz="0" w:space="0" w:color="auto"/>
        <w:left w:val="none" w:sz="0" w:space="0" w:color="auto"/>
        <w:bottom w:val="none" w:sz="0" w:space="0" w:color="auto"/>
        <w:right w:val="none" w:sz="0" w:space="0" w:color="auto"/>
      </w:divBdr>
    </w:div>
    <w:div w:id="1305306247">
      <w:bodyDiv w:val="1"/>
      <w:marLeft w:val="0"/>
      <w:marRight w:val="0"/>
      <w:marTop w:val="0"/>
      <w:marBottom w:val="0"/>
      <w:divBdr>
        <w:top w:val="none" w:sz="0" w:space="0" w:color="auto"/>
        <w:left w:val="none" w:sz="0" w:space="0" w:color="auto"/>
        <w:bottom w:val="none" w:sz="0" w:space="0" w:color="auto"/>
        <w:right w:val="none" w:sz="0" w:space="0" w:color="auto"/>
      </w:divBdr>
    </w:div>
    <w:div w:id="1917783122">
      <w:bodyDiv w:val="1"/>
      <w:marLeft w:val="0"/>
      <w:marRight w:val="0"/>
      <w:marTop w:val="0"/>
      <w:marBottom w:val="0"/>
      <w:divBdr>
        <w:top w:val="none" w:sz="0" w:space="0" w:color="auto"/>
        <w:left w:val="none" w:sz="0" w:space="0" w:color="auto"/>
        <w:bottom w:val="none" w:sz="0" w:space="0" w:color="auto"/>
        <w:right w:val="none" w:sz="0" w:space="0" w:color="auto"/>
      </w:divBdr>
    </w:div>
    <w:div w:id="1925333821">
      <w:bodyDiv w:val="1"/>
      <w:marLeft w:val="0"/>
      <w:marRight w:val="0"/>
      <w:marTop w:val="0"/>
      <w:marBottom w:val="0"/>
      <w:divBdr>
        <w:top w:val="none" w:sz="0" w:space="0" w:color="auto"/>
        <w:left w:val="none" w:sz="0" w:space="0" w:color="auto"/>
        <w:bottom w:val="none" w:sz="0" w:space="0" w:color="auto"/>
        <w:right w:val="none" w:sz="0" w:space="0" w:color="auto"/>
      </w:divBdr>
    </w:div>
    <w:div w:id="1996909844">
      <w:bodyDiv w:val="1"/>
      <w:marLeft w:val="0"/>
      <w:marRight w:val="0"/>
      <w:marTop w:val="0"/>
      <w:marBottom w:val="0"/>
      <w:divBdr>
        <w:top w:val="none" w:sz="0" w:space="0" w:color="auto"/>
        <w:left w:val="none" w:sz="0" w:space="0" w:color="auto"/>
        <w:bottom w:val="none" w:sz="0" w:space="0" w:color="auto"/>
        <w:right w:val="none" w:sz="0" w:space="0" w:color="auto"/>
      </w:divBdr>
    </w:div>
    <w:div w:id="2059546799">
      <w:bodyDiv w:val="1"/>
      <w:marLeft w:val="0"/>
      <w:marRight w:val="0"/>
      <w:marTop w:val="0"/>
      <w:marBottom w:val="0"/>
      <w:divBdr>
        <w:top w:val="none" w:sz="0" w:space="0" w:color="auto"/>
        <w:left w:val="none" w:sz="0" w:space="0" w:color="auto"/>
        <w:bottom w:val="none" w:sz="0" w:space="0" w:color="auto"/>
        <w:right w:val="none" w:sz="0" w:space="0" w:color="auto"/>
      </w:divBdr>
    </w:div>
    <w:div w:id="2062973253">
      <w:bodyDiv w:val="1"/>
      <w:marLeft w:val="0"/>
      <w:marRight w:val="0"/>
      <w:marTop w:val="0"/>
      <w:marBottom w:val="0"/>
      <w:divBdr>
        <w:top w:val="none" w:sz="0" w:space="0" w:color="auto"/>
        <w:left w:val="none" w:sz="0" w:space="0" w:color="auto"/>
        <w:bottom w:val="none" w:sz="0" w:space="0" w:color="auto"/>
        <w:right w:val="none" w:sz="0" w:space="0" w:color="auto"/>
      </w:divBdr>
    </w:div>
    <w:div w:id="21325476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tu.int/dms_ties/itu-r/md/15/wp5c/c/R15-WP5C-C-0531!N14!MSW-E.docx" TargetMode="External"/><Relationship Id="rId13" Type="http://schemas.openxmlformats.org/officeDocument/2006/relationships/image" Target="media/image2.pn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greenbankobservatory.org/" TargetMode="External"/><Relationship Id="rId12" Type="http://schemas.openxmlformats.org/officeDocument/2006/relationships/hyperlink" Target="http://aro.as.arizona.edu/"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itu.int/dms_ties/itu-r/md/15/wp5c/c/R15-WP5C-C-0535!!MSW-E.docx"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s://www.itu.int/dms_ties/itu-r/md/15/wp5c/c/R15-WP5C-C-0531!N10!MSW-E.docx" TargetMode="External"/><Relationship Id="rId4" Type="http://schemas.openxmlformats.org/officeDocument/2006/relationships/webSettings" Target="webSettings.xml"/><Relationship Id="rId9" Type="http://schemas.openxmlformats.org/officeDocument/2006/relationships/image" Target="media/image1.gif"/><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49</TotalTime>
  <Pages>4</Pages>
  <Words>1806</Words>
  <Characters>10300</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
    </vt:vector>
  </TitlesOfParts>
  <Company>NRAO</Company>
  <LinksUpToDate>false</LinksUpToDate>
  <CharactersWithSpaces>12082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Taylor Johnson</dc:creator>
  <cp:lastModifiedBy>Harvey Steven Liszt</cp:lastModifiedBy>
  <cp:revision>9</cp:revision>
  <cp:lastPrinted>2018-02-07T21:25:00Z</cp:lastPrinted>
  <dcterms:created xsi:type="dcterms:W3CDTF">2018-06-25T17:07:00Z</dcterms:created>
  <dcterms:modified xsi:type="dcterms:W3CDTF">2018-06-25T19:11:00Z</dcterms:modified>
</cp:coreProperties>
</file>