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5C2" w:rsidRPr="008C0E06" w:rsidRDefault="003D35C2" w:rsidP="003D35C2">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8C0E06">
        <w:rPr>
          <w:rFonts w:ascii="Times New Roman" w:hAnsi="Times New Roman" w:cs="Times New Roman"/>
          <w:b/>
          <w:bCs/>
          <w:sz w:val="24"/>
          <w:szCs w:val="24"/>
        </w:rPr>
        <w:t xml:space="preserve">Before the </w:t>
      </w:r>
      <w:r w:rsidRPr="008C0E06">
        <w:rPr>
          <w:rFonts w:ascii="Times New Roman" w:hAnsi="Times New Roman" w:cs="Times New Roman"/>
          <w:b/>
          <w:bCs/>
          <w:sz w:val="24"/>
          <w:szCs w:val="24"/>
        </w:rPr>
        <w:br/>
        <w:t>Federal Communications Commission</w:t>
      </w:r>
      <w:r w:rsidRPr="008C0E06">
        <w:rPr>
          <w:rFonts w:ascii="Times New Roman" w:hAnsi="Times New Roman" w:cs="Times New Roman"/>
          <w:b/>
          <w:bCs/>
          <w:sz w:val="24"/>
          <w:szCs w:val="24"/>
        </w:rPr>
        <w:br/>
        <w:t>Washington, DC 20554</w:t>
      </w:r>
      <w:r w:rsidRPr="008C0E06">
        <w:rPr>
          <w:rFonts w:ascii="Times New Roman" w:hAnsi="Times New Roman" w:cs="Times New Roman"/>
          <w:b/>
          <w:bCs/>
          <w:sz w:val="24"/>
          <w:szCs w:val="24"/>
        </w:rPr>
        <w:br/>
      </w:r>
      <w:r>
        <w:rPr>
          <w:rFonts w:ascii="Times New Roman" w:hAnsi="Times New Roman" w:cs="Times New Roman"/>
          <w:b/>
          <w:bCs/>
          <w:sz w:val="24"/>
          <w:szCs w:val="24"/>
        </w:rPr>
        <w:br/>
      </w:r>
    </w:p>
    <w:p w:rsidR="003D35C2" w:rsidRPr="008C0E06" w:rsidRDefault="003D35C2" w:rsidP="003D35C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In the Matter of</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t>
      </w:r>
      <w:r>
        <w:rPr>
          <w:rFonts w:ascii="Times New Roman" w:hAnsi="Times New Roman" w:cs="Times New Roman"/>
          <w:b/>
          <w:bCs/>
          <w:sz w:val="24"/>
          <w:szCs w:val="24"/>
        </w:rPr>
        <w:br/>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t>
      </w:r>
      <w:r>
        <w:rPr>
          <w:rFonts w:ascii="Times New Roman" w:hAnsi="Times New Roman" w:cs="Times New Roman"/>
          <w:b/>
          <w:bCs/>
          <w:sz w:val="24"/>
          <w:szCs w:val="24"/>
        </w:rPr>
        <w:tab/>
      </w:r>
      <w:r>
        <w:rPr>
          <w:rFonts w:ascii="Times New Roman" w:hAnsi="Times New Roman" w:cs="Times New Roman"/>
          <w:b/>
          <w:bCs/>
          <w:sz w:val="24"/>
          <w:szCs w:val="24"/>
        </w:rPr>
        <w:br/>
      </w:r>
      <w:r w:rsidRPr="008C0E06">
        <w:rPr>
          <w:rFonts w:ascii="Times New Roman" w:hAnsi="Times New Roman" w:cs="Times New Roman"/>
          <w:b/>
          <w:bCs/>
          <w:sz w:val="24"/>
          <w:szCs w:val="24"/>
        </w:rPr>
        <w:t>Microsoft Petition for Rulemaking Seeking</w:t>
      </w:r>
      <w:r w:rsidRPr="008C0E06">
        <w:rPr>
          <w:rFonts w:ascii="Times New Roman" w:hAnsi="Times New Roman" w:cs="Times New Roman"/>
          <w:b/>
          <w:bCs/>
          <w:sz w:val="24"/>
          <w:szCs w:val="24"/>
        </w:rPr>
        <w:tab/>
      </w:r>
      <w:r>
        <w:rPr>
          <w:rFonts w:ascii="Times New Roman" w:hAnsi="Times New Roman" w:cs="Times New Roman"/>
          <w:b/>
          <w:bCs/>
          <w:sz w:val="24"/>
          <w:szCs w:val="24"/>
        </w:rPr>
        <w:tab/>
      </w:r>
      <w:r w:rsidRPr="008C0E06">
        <w:rPr>
          <w:rFonts w:ascii="Times New Roman" w:hAnsi="Times New Roman" w:cs="Times New Roman"/>
          <w:b/>
          <w:bCs/>
          <w:sz w:val="24"/>
          <w:szCs w:val="24"/>
        </w:rPr>
        <w:t xml:space="preserve">) </w:t>
      </w:r>
      <w:r w:rsidRPr="008C0E06">
        <w:rPr>
          <w:rFonts w:ascii="Times New Roman" w:hAnsi="Times New Roman" w:cs="Times New Roman"/>
          <w:b/>
          <w:bCs/>
          <w:sz w:val="24"/>
          <w:szCs w:val="24"/>
        </w:rPr>
        <w:tab/>
        <w:t>ET Docket No. 14-165</w:t>
      </w:r>
    </w:p>
    <w:p w:rsidR="003D35C2" w:rsidRPr="008C0E06" w:rsidRDefault="003D35C2" w:rsidP="003D35C2">
      <w:pPr>
        <w:autoSpaceDE w:val="0"/>
        <w:autoSpaceDN w:val="0"/>
        <w:adjustRightInd w:val="0"/>
        <w:spacing w:after="0" w:line="240" w:lineRule="auto"/>
        <w:rPr>
          <w:rFonts w:ascii="Times New Roman" w:hAnsi="Times New Roman" w:cs="Times New Roman"/>
          <w:b/>
          <w:bCs/>
          <w:sz w:val="24"/>
          <w:szCs w:val="24"/>
        </w:rPr>
      </w:pPr>
      <w:r w:rsidRPr="008C0E06">
        <w:rPr>
          <w:rFonts w:ascii="Times New Roman" w:hAnsi="Times New Roman" w:cs="Times New Roman"/>
          <w:b/>
          <w:bCs/>
          <w:sz w:val="24"/>
          <w:szCs w:val="24"/>
        </w:rPr>
        <w:t>Amendment of Part 15 of the Commission’s Rules</w:t>
      </w:r>
      <w:r>
        <w:rPr>
          <w:rFonts w:ascii="Times New Roman" w:hAnsi="Times New Roman" w:cs="Times New Roman"/>
          <w:b/>
          <w:bCs/>
          <w:sz w:val="24"/>
          <w:szCs w:val="24"/>
        </w:rPr>
        <w:tab/>
      </w:r>
      <w:r w:rsidRPr="008C0E06">
        <w:rPr>
          <w:rFonts w:ascii="Times New Roman" w:hAnsi="Times New Roman" w:cs="Times New Roman"/>
          <w:b/>
          <w:bCs/>
          <w:sz w:val="24"/>
          <w:szCs w:val="24"/>
        </w:rPr>
        <w:t>)</w:t>
      </w:r>
    </w:p>
    <w:p w:rsidR="003D35C2" w:rsidRPr="008C0E06" w:rsidRDefault="003D35C2" w:rsidP="003D35C2">
      <w:pPr>
        <w:autoSpaceDE w:val="0"/>
        <w:autoSpaceDN w:val="0"/>
        <w:adjustRightInd w:val="0"/>
        <w:spacing w:after="0" w:line="240" w:lineRule="auto"/>
        <w:rPr>
          <w:rFonts w:ascii="Times New Roman" w:hAnsi="Times New Roman" w:cs="Times New Roman"/>
          <w:b/>
          <w:bCs/>
          <w:sz w:val="24"/>
          <w:szCs w:val="24"/>
        </w:rPr>
      </w:pPr>
      <w:proofErr w:type="gramStart"/>
      <w:r w:rsidRPr="008C0E06">
        <w:rPr>
          <w:rFonts w:ascii="Times New Roman" w:hAnsi="Times New Roman" w:cs="Times New Roman"/>
          <w:b/>
          <w:bCs/>
          <w:sz w:val="24"/>
          <w:szCs w:val="24"/>
        </w:rPr>
        <w:t>for</w:t>
      </w:r>
      <w:proofErr w:type="gramEnd"/>
      <w:r w:rsidRPr="008C0E06">
        <w:rPr>
          <w:rFonts w:ascii="Times New Roman" w:hAnsi="Times New Roman" w:cs="Times New Roman"/>
          <w:b/>
          <w:bCs/>
          <w:sz w:val="24"/>
          <w:szCs w:val="24"/>
        </w:rPr>
        <w:t xml:space="preserve"> Unlicensed Operations in the Television Bands,</w:t>
      </w:r>
      <w:r>
        <w:rPr>
          <w:rFonts w:ascii="Times New Roman" w:hAnsi="Times New Roman" w:cs="Times New Roman"/>
          <w:b/>
          <w:bCs/>
          <w:sz w:val="24"/>
          <w:szCs w:val="24"/>
        </w:rPr>
        <w:tab/>
      </w:r>
      <w:r w:rsidRPr="008C0E06">
        <w:rPr>
          <w:rFonts w:ascii="Times New Roman" w:hAnsi="Times New Roman" w:cs="Times New Roman"/>
          <w:b/>
          <w:bCs/>
          <w:sz w:val="24"/>
          <w:szCs w:val="24"/>
        </w:rPr>
        <w:t>)</w:t>
      </w:r>
    </w:p>
    <w:p w:rsidR="003D35C2" w:rsidRPr="008C0E06" w:rsidRDefault="003D35C2" w:rsidP="003D35C2">
      <w:pPr>
        <w:autoSpaceDE w:val="0"/>
        <w:autoSpaceDN w:val="0"/>
        <w:adjustRightInd w:val="0"/>
        <w:spacing w:after="0" w:line="240" w:lineRule="auto"/>
        <w:rPr>
          <w:rFonts w:ascii="Times New Roman" w:hAnsi="Times New Roman" w:cs="Times New Roman"/>
          <w:b/>
          <w:bCs/>
          <w:sz w:val="24"/>
          <w:szCs w:val="24"/>
        </w:rPr>
      </w:pPr>
      <w:r w:rsidRPr="008C0E06">
        <w:rPr>
          <w:rFonts w:ascii="Times New Roman" w:hAnsi="Times New Roman" w:cs="Times New Roman"/>
          <w:b/>
          <w:bCs/>
          <w:sz w:val="24"/>
          <w:szCs w:val="24"/>
        </w:rPr>
        <w:t>Repurposed 600 MHz Guard Bands and Duplex</w:t>
      </w:r>
      <w:r w:rsidRPr="008C0E06">
        <w:rPr>
          <w:rFonts w:ascii="Times New Roman" w:hAnsi="Times New Roman" w:cs="Times New Roman"/>
          <w:b/>
          <w:bCs/>
          <w:sz w:val="24"/>
          <w:szCs w:val="24"/>
        </w:rPr>
        <w:tab/>
      </w:r>
      <w:r>
        <w:rPr>
          <w:rFonts w:ascii="Times New Roman" w:hAnsi="Times New Roman" w:cs="Times New Roman"/>
          <w:b/>
          <w:bCs/>
          <w:sz w:val="24"/>
          <w:szCs w:val="24"/>
        </w:rPr>
        <w:tab/>
      </w:r>
      <w:r w:rsidRPr="008C0E06">
        <w:rPr>
          <w:rFonts w:ascii="Times New Roman" w:hAnsi="Times New Roman" w:cs="Times New Roman"/>
          <w:b/>
          <w:bCs/>
          <w:sz w:val="24"/>
          <w:szCs w:val="24"/>
        </w:rPr>
        <w:t>)</w:t>
      </w:r>
    </w:p>
    <w:p w:rsidR="003D35C2" w:rsidRPr="008C0E06" w:rsidRDefault="003D35C2" w:rsidP="003D35C2">
      <w:pPr>
        <w:autoSpaceDE w:val="0"/>
        <w:autoSpaceDN w:val="0"/>
        <w:adjustRightInd w:val="0"/>
        <w:spacing w:after="0" w:line="240" w:lineRule="auto"/>
        <w:rPr>
          <w:rFonts w:ascii="Times New Roman" w:hAnsi="Times New Roman" w:cs="Times New Roman"/>
          <w:b/>
          <w:bCs/>
          <w:sz w:val="24"/>
          <w:szCs w:val="24"/>
        </w:rPr>
      </w:pPr>
      <w:proofErr w:type="gramStart"/>
      <w:r w:rsidRPr="008C0E06">
        <w:rPr>
          <w:rFonts w:ascii="Times New Roman" w:hAnsi="Times New Roman" w:cs="Times New Roman"/>
          <w:b/>
          <w:bCs/>
          <w:sz w:val="24"/>
          <w:szCs w:val="24"/>
        </w:rPr>
        <w:t>Gap, and Channel 37</w:t>
      </w:r>
      <w:r w:rsidRPr="008C0E06">
        <w:rPr>
          <w:rFonts w:ascii="Times New Roman" w:hAnsi="Times New Roman" w:cs="Times New Roman"/>
          <w:b/>
          <w:bCs/>
          <w:sz w:val="24"/>
          <w:szCs w:val="24"/>
        </w:rPr>
        <w:tab/>
      </w:r>
      <w:r w:rsidRPr="008C0E06">
        <w:rPr>
          <w:rFonts w:ascii="Times New Roman" w:hAnsi="Times New Roman" w:cs="Times New Roman"/>
          <w:b/>
          <w:bCs/>
          <w:sz w:val="24"/>
          <w:szCs w:val="24"/>
        </w:rPr>
        <w:tab/>
      </w:r>
      <w:r w:rsidRPr="008C0E06">
        <w:rPr>
          <w:rFonts w:ascii="Times New Roman" w:hAnsi="Times New Roman" w:cs="Times New Roman"/>
          <w:b/>
          <w:bCs/>
          <w:sz w:val="24"/>
          <w:szCs w:val="24"/>
        </w:rPr>
        <w:tab/>
      </w:r>
      <w:r w:rsidRPr="008C0E06">
        <w:rPr>
          <w:rFonts w:ascii="Times New Roman" w:hAnsi="Times New Roman" w:cs="Times New Roman"/>
          <w:b/>
          <w:bCs/>
          <w:sz w:val="24"/>
          <w:szCs w:val="24"/>
        </w:rPr>
        <w:tab/>
      </w:r>
      <w:r>
        <w:rPr>
          <w:rFonts w:ascii="Times New Roman" w:hAnsi="Times New Roman" w:cs="Times New Roman"/>
          <w:b/>
          <w:bCs/>
          <w:sz w:val="24"/>
          <w:szCs w:val="24"/>
        </w:rPr>
        <w:tab/>
      </w:r>
      <w:r w:rsidRPr="008C0E06">
        <w:rPr>
          <w:rFonts w:ascii="Times New Roman" w:hAnsi="Times New Roman" w:cs="Times New Roman"/>
          <w:b/>
          <w:bCs/>
          <w:sz w:val="24"/>
          <w:szCs w:val="24"/>
        </w:rPr>
        <w:t>)</w:t>
      </w:r>
      <w:proofErr w:type="gramEnd"/>
    </w:p>
    <w:p w:rsidR="003D35C2" w:rsidRPr="008C0E06" w:rsidRDefault="003D35C2" w:rsidP="003D35C2">
      <w:pPr>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8C0E06">
        <w:rPr>
          <w:rFonts w:ascii="Times New Roman" w:hAnsi="Times New Roman" w:cs="Times New Roman"/>
          <w:b/>
          <w:bCs/>
          <w:sz w:val="24"/>
          <w:szCs w:val="24"/>
        </w:rPr>
        <w:t>)</w:t>
      </w:r>
      <w:r>
        <w:rPr>
          <w:rFonts w:ascii="Times New Roman" w:hAnsi="Times New Roman" w:cs="Times New Roman"/>
          <w:b/>
          <w:bCs/>
          <w:sz w:val="24"/>
          <w:szCs w:val="24"/>
        </w:rPr>
        <w:br/>
      </w:r>
    </w:p>
    <w:p w:rsidR="003D35C2" w:rsidRPr="008C0E06" w:rsidRDefault="003D35C2" w:rsidP="003D35C2">
      <w:pPr>
        <w:jc w:val="center"/>
        <w:rPr>
          <w:rFonts w:ascii="Times New Roman" w:hAnsi="Times New Roman" w:cs="Times New Roman"/>
          <w:b/>
          <w:bCs/>
          <w:sz w:val="24"/>
          <w:szCs w:val="24"/>
        </w:rPr>
      </w:pPr>
      <w:r w:rsidRPr="008C0E06">
        <w:rPr>
          <w:rFonts w:ascii="Times New Roman" w:hAnsi="Times New Roman" w:cs="Times New Roman"/>
          <w:b/>
          <w:bCs/>
          <w:sz w:val="24"/>
          <w:szCs w:val="24"/>
        </w:rPr>
        <w:t>Reply Comments of</w:t>
      </w:r>
      <w:r w:rsidRPr="008C0E06">
        <w:rPr>
          <w:rFonts w:ascii="Times New Roman" w:hAnsi="Times New Roman" w:cs="Times New Roman"/>
          <w:b/>
          <w:bCs/>
          <w:sz w:val="24"/>
          <w:szCs w:val="24"/>
        </w:rPr>
        <w:br/>
      </w:r>
      <w:r w:rsidRPr="008C0E06">
        <w:rPr>
          <w:rFonts w:ascii="Times New Roman" w:hAnsi="Times New Roman" w:cs="Times New Roman"/>
          <w:b/>
          <w:bCs/>
          <w:sz w:val="24"/>
          <w:szCs w:val="24"/>
          <w:u w:val="single"/>
        </w:rPr>
        <w:t>Theatre Communications Group</w:t>
      </w:r>
    </w:p>
    <w:p w:rsidR="003D35C2" w:rsidRPr="00ED531D" w:rsidRDefault="003D35C2" w:rsidP="003D35C2">
      <w:pPr>
        <w:spacing w:line="480" w:lineRule="auto"/>
        <w:ind w:firstLine="720"/>
        <w:rPr>
          <w:rFonts w:ascii="Times New Roman" w:eastAsia="Times New Roman" w:hAnsi="Times New Roman" w:cs="Times New Roman"/>
          <w:color w:val="000000"/>
          <w:sz w:val="24"/>
          <w:szCs w:val="24"/>
        </w:rPr>
      </w:pPr>
      <w:r w:rsidRPr="00ED531D">
        <w:rPr>
          <w:rFonts w:ascii="Times New Roman" w:eastAsia="Times New Roman" w:hAnsi="Times New Roman" w:cs="Times New Roman"/>
          <w:color w:val="000000"/>
          <w:sz w:val="24"/>
          <w:szCs w:val="24"/>
        </w:rPr>
        <w:t xml:space="preserve">On behalf of </w:t>
      </w:r>
      <w:r>
        <w:rPr>
          <w:rFonts w:ascii="Times New Roman" w:eastAsia="Times New Roman" w:hAnsi="Times New Roman" w:cs="Times New Roman"/>
          <w:color w:val="000000"/>
          <w:sz w:val="24"/>
          <w:szCs w:val="24"/>
        </w:rPr>
        <w:t xml:space="preserve">Bloomsburg Theatre Ensemble </w:t>
      </w:r>
      <w:r w:rsidRPr="00ED531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BTE), </w:t>
      </w:r>
      <w:proofErr w:type="gramStart"/>
      <w:r>
        <w:rPr>
          <w:rFonts w:ascii="Times New Roman" w:eastAsia="Times New Roman" w:hAnsi="Times New Roman" w:cs="Times New Roman"/>
          <w:color w:val="000000"/>
          <w:sz w:val="24"/>
          <w:szCs w:val="24"/>
        </w:rPr>
        <w:t>a  professional</w:t>
      </w:r>
      <w:proofErr w:type="gramEnd"/>
      <w:r>
        <w:rPr>
          <w:rFonts w:ascii="Times New Roman" w:eastAsia="Times New Roman" w:hAnsi="Times New Roman" w:cs="Times New Roman"/>
          <w:color w:val="000000"/>
          <w:sz w:val="24"/>
          <w:szCs w:val="24"/>
        </w:rPr>
        <w:t xml:space="preserve">, </w:t>
      </w:r>
      <w:r w:rsidRPr="00ED531D">
        <w:rPr>
          <w:rFonts w:ascii="Times New Roman" w:eastAsia="Times New Roman" w:hAnsi="Times New Roman" w:cs="Times New Roman"/>
          <w:color w:val="000000"/>
          <w:sz w:val="24"/>
          <w:szCs w:val="24"/>
        </w:rPr>
        <w:t>not-for-</w:t>
      </w:r>
      <w:proofErr w:type="spellStart"/>
      <w:r w:rsidRPr="00ED531D">
        <w:rPr>
          <w:rFonts w:ascii="Times New Roman" w:eastAsia="Times New Roman" w:hAnsi="Times New Roman" w:cs="Times New Roman"/>
          <w:color w:val="000000"/>
          <w:sz w:val="24"/>
          <w:szCs w:val="24"/>
        </w:rPr>
        <w:t>profit</w:t>
      </w:r>
      <w:r>
        <w:rPr>
          <w:rFonts w:ascii="Times New Roman" w:eastAsia="Times New Roman" w:hAnsi="Times New Roman" w:cs="Times New Roman"/>
          <w:color w:val="000000"/>
          <w:sz w:val="24"/>
          <w:szCs w:val="24"/>
        </w:rPr>
        <w:t>t</w:t>
      </w:r>
      <w:proofErr w:type="spellEnd"/>
      <w:r>
        <w:rPr>
          <w:rFonts w:ascii="Times New Roman" w:eastAsia="Times New Roman" w:hAnsi="Times New Roman" w:cs="Times New Roman"/>
          <w:color w:val="000000"/>
          <w:sz w:val="24"/>
          <w:szCs w:val="24"/>
        </w:rPr>
        <w:t xml:space="preserve"> theatre in </w:t>
      </w:r>
      <w:proofErr w:type="spellStart"/>
      <w:r>
        <w:rPr>
          <w:rFonts w:ascii="Times New Roman" w:eastAsia="Times New Roman" w:hAnsi="Times New Roman" w:cs="Times New Roman"/>
          <w:color w:val="000000"/>
          <w:sz w:val="24"/>
          <w:szCs w:val="24"/>
        </w:rPr>
        <w:t>Bloosmburg</w:t>
      </w:r>
      <w:proofErr w:type="spellEnd"/>
      <w:r w:rsidRPr="00ED531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Pennsylvania now in its 41</w:t>
      </w:r>
      <w:r w:rsidRPr="003D35C2">
        <w:rPr>
          <w:rFonts w:ascii="Times New Roman" w:eastAsia="Times New Roman" w:hAnsi="Times New Roman" w:cs="Times New Roman"/>
          <w:color w:val="000000"/>
          <w:sz w:val="24"/>
          <w:szCs w:val="24"/>
          <w:vertAlign w:val="superscript"/>
        </w:rPr>
        <w:t>st</w:t>
      </w:r>
      <w:r>
        <w:rPr>
          <w:rFonts w:ascii="Times New Roman" w:eastAsia="Times New Roman" w:hAnsi="Times New Roman" w:cs="Times New Roman"/>
          <w:color w:val="000000"/>
          <w:sz w:val="24"/>
          <w:szCs w:val="24"/>
        </w:rPr>
        <w:t xml:space="preserve"> season, </w:t>
      </w:r>
      <w:r w:rsidRPr="00ED531D">
        <w:rPr>
          <w:rFonts w:ascii="Times New Roman" w:eastAsia="Times New Roman" w:hAnsi="Times New Roman" w:cs="Times New Roman"/>
          <w:color w:val="000000"/>
          <w:sz w:val="24"/>
          <w:szCs w:val="24"/>
        </w:rPr>
        <w:t>we write to share our concerns about Microsoft Corporation’s Petition for Rulemaking.</w:t>
      </w:r>
      <w:r w:rsidRPr="00ED531D">
        <w:rPr>
          <w:rStyle w:val="FootnoteReference"/>
          <w:rFonts w:ascii="Times New Roman" w:eastAsia="Times New Roman" w:hAnsi="Times New Roman" w:cs="Times New Roman"/>
          <w:color w:val="000000"/>
          <w:sz w:val="24"/>
          <w:szCs w:val="24"/>
        </w:rPr>
        <w:footnoteReference w:id="1"/>
      </w:r>
      <w:r w:rsidRPr="00ED531D">
        <w:rPr>
          <w:rFonts w:ascii="Times New Roman" w:eastAsia="Times New Roman" w:hAnsi="Times New Roman" w:cs="Times New Roman"/>
          <w:color w:val="000000"/>
          <w:sz w:val="24"/>
          <w:szCs w:val="24"/>
        </w:rPr>
        <w:t xml:space="preserve"> </w:t>
      </w:r>
    </w:p>
    <w:p w:rsidR="003D35C2" w:rsidRPr="00ED531D" w:rsidRDefault="003D35C2" w:rsidP="003D35C2">
      <w:pPr>
        <w:spacing w:line="480" w:lineRule="auto"/>
        <w:ind w:firstLine="720"/>
        <w:rPr>
          <w:rFonts w:ascii="Times New Roman" w:eastAsia="Times New Roman" w:hAnsi="Times New Roman" w:cs="Times New Roman"/>
          <w:color w:val="000000"/>
          <w:sz w:val="24"/>
          <w:szCs w:val="24"/>
        </w:rPr>
      </w:pPr>
      <w:r w:rsidRPr="00ED531D">
        <w:rPr>
          <w:rFonts w:ascii="Times New Roman" w:eastAsia="Times New Roman" w:hAnsi="Times New Roman" w:cs="Times New Roman"/>
          <w:color w:val="000000"/>
          <w:sz w:val="24"/>
          <w:szCs w:val="24"/>
        </w:rPr>
        <w:t>We want to acknowledge from the outset that TCG is supportive of greater broadband connectivity in rural areas of the country. However, Microsoft’s proposals would result in significantly elevated possibilities of interference to wireless microphones, cue and control devices, IFB, and assistive listening systems in use in theatres across the country.</w:t>
      </w:r>
      <w:r w:rsidRPr="00ED531D">
        <w:rPr>
          <w:rStyle w:val="FootnoteReference"/>
          <w:rFonts w:ascii="Times New Roman" w:eastAsia="Times New Roman" w:hAnsi="Times New Roman" w:cs="Times New Roman"/>
          <w:color w:val="000000"/>
          <w:sz w:val="24"/>
          <w:szCs w:val="24"/>
        </w:rPr>
        <w:footnoteReference w:id="2"/>
      </w:r>
      <w:r w:rsidRPr="00ED531D">
        <w:rPr>
          <w:rFonts w:ascii="Times New Roman" w:eastAsia="Times New Roman" w:hAnsi="Times New Roman" w:cs="Times New Roman"/>
          <w:color w:val="000000"/>
          <w:sz w:val="24"/>
          <w:szCs w:val="24"/>
        </w:rPr>
        <w:t xml:space="preserve"> The protections that Microsoft outlines in its Petition would only be of benefit to </w:t>
      </w:r>
      <w:r w:rsidRPr="00ED531D">
        <w:rPr>
          <w:rFonts w:ascii="Times New Roman" w:eastAsia="Times New Roman" w:hAnsi="Times New Roman" w:cs="Times New Roman"/>
          <w:i/>
          <w:iCs/>
          <w:color w:val="000000"/>
          <w:sz w:val="24"/>
          <w:szCs w:val="24"/>
        </w:rPr>
        <w:t>licensed</w:t>
      </w:r>
      <w:r w:rsidRPr="00ED531D">
        <w:rPr>
          <w:rFonts w:ascii="Times New Roman" w:eastAsia="Times New Roman" w:hAnsi="Times New Roman" w:cs="Times New Roman"/>
          <w:color w:val="000000"/>
          <w:sz w:val="24"/>
          <w:szCs w:val="24"/>
        </w:rPr>
        <w:t xml:space="preserve"> wireless microphone users. There are important users of wireless microphones in rural </w:t>
      </w:r>
      <w:r w:rsidRPr="00ED531D">
        <w:rPr>
          <w:rFonts w:ascii="Times New Roman" w:eastAsia="Times New Roman" w:hAnsi="Times New Roman" w:cs="Times New Roman"/>
          <w:color w:val="000000"/>
          <w:sz w:val="24"/>
          <w:szCs w:val="24"/>
        </w:rPr>
        <w:lastRenderedPageBreak/>
        <w:t xml:space="preserve">areas </w:t>
      </w:r>
      <w:r>
        <w:rPr>
          <w:rFonts w:ascii="Times New Roman" w:eastAsia="Times New Roman" w:hAnsi="Times New Roman" w:cs="Times New Roman"/>
          <w:color w:val="000000"/>
          <w:sz w:val="24"/>
          <w:szCs w:val="24"/>
        </w:rPr>
        <w:t xml:space="preserve">such as ours </w:t>
      </w:r>
      <w:r w:rsidRPr="00ED531D">
        <w:rPr>
          <w:rFonts w:ascii="Times New Roman" w:eastAsia="Times New Roman" w:hAnsi="Times New Roman" w:cs="Times New Roman"/>
          <w:color w:val="000000"/>
          <w:sz w:val="24"/>
          <w:szCs w:val="24"/>
        </w:rPr>
        <w:t>that would be at risk by this proposal, and they are not licensed</w:t>
      </w:r>
      <w:proofErr w:type="gramStart"/>
      <w:r w:rsidRPr="00ED531D">
        <w:rPr>
          <w:rFonts w:ascii="Times New Roman" w:eastAsia="Times New Roman" w:hAnsi="Times New Roman" w:cs="Times New Roman"/>
          <w:color w:val="000000"/>
          <w:sz w:val="24"/>
          <w:szCs w:val="24"/>
        </w:rPr>
        <w:t>..</w:t>
      </w:r>
      <w:proofErr w:type="gramEnd"/>
      <w:r w:rsidRPr="00ED531D">
        <w:rPr>
          <w:rFonts w:ascii="Times New Roman" w:eastAsia="Times New Roman" w:hAnsi="Times New Roman" w:cs="Times New Roman"/>
          <w:color w:val="000000"/>
          <w:sz w:val="24"/>
          <w:szCs w:val="24"/>
        </w:rPr>
        <w:t xml:space="preserve"> They are not currently eligible for Part 74 licenses, even though the Commission has recognized that they provide similar services to the public as licensees and are eligible in every way other than the regular use of 50 or more microphones.</w:t>
      </w:r>
      <w:r w:rsidRPr="00ED531D">
        <w:rPr>
          <w:rStyle w:val="FootnoteReference"/>
          <w:rFonts w:ascii="Times New Roman" w:eastAsia="Times New Roman" w:hAnsi="Times New Roman" w:cs="Times New Roman"/>
          <w:color w:val="000000"/>
          <w:sz w:val="24"/>
          <w:szCs w:val="24"/>
        </w:rPr>
        <w:footnoteReference w:id="3"/>
      </w:r>
    </w:p>
    <w:p w:rsidR="003D35C2" w:rsidRPr="00ED531D" w:rsidRDefault="003D35C2" w:rsidP="003D35C2">
      <w:pPr>
        <w:spacing w:line="480" w:lineRule="auto"/>
        <w:ind w:firstLine="720"/>
        <w:rPr>
          <w:rFonts w:ascii="Times New Roman" w:eastAsia="Times New Roman" w:hAnsi="Times New Roman" w:cs="Times New Roman"/>
          <w:color w:val="000000"/>
          <w:sz w:val="24"/>
          <w:szCs w:val="24"/>
        </w:rPr>
      </w:pPr>
      <w:r w:rsidRPr="00ED531D">
        <w:rPr>
          <w:rFonts w:ascii="Times New Roman" w:eastAsia="Times New Roman" w:hAnsi="Times New Roman" w:cs="Times New Roman"/>
          <w:color w:val="000000"/>
          <w:sz w:val="24"/>
          <w:szCs w:val="24"/>
        </w:rPr>
        <w:t>Microsoft suggests increased power and mobility for White Space Devices that would not necessarily be limited to rural areas and provides that licensed wireless microphone users will be protected by the geo-location database. Our concerns are two-fold: we understand that the databases are not currently operational, and almost all of the professional, not-for-profit theatres across the country – including those in rural areas – are not currently eligible for a Part 74 license. We urge the Commission not to move forward on Microsoft’s proposals until (1) the White Space geolocation database is operational and effective and (2) the Commission has adopted its proposed rules to expand Part 74 licenses to worthy users.</w:t>
      </w:r>
    </w:p>
    <w:p w:rsidR="00D31DB1" w:rsidRPr="00FB0F05" w:rsidRDefault="003D35C2" w:rsidP="003D35C2">
      <w:r>
        <w:rPr>
          <w:rFonts w:ascii="Times New Roman" w:hAnsi="Times New Roman" w:cs="Times New Roman"/>
          <w:sz w:val="24"/>
          <w:szCs w:val="24"/>
        </w:rPr>
        <w:br/>
        <w:t>Respectfully submitted</w:t>
      </w:r>
    </w:p>
    <w:sectPr w:rsidR="00D31DB1" w:rsidRPr="00FB0F05" w:rsidSect="000A200B">
      <w:pgSz w:w="12240" w:h="15840"/>
      <w:pgMar w:top="3168" w:right="720" w:bottom="1008" w:left="374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5C2" w:rsidRDefault="003D35C2" w:rsidP="003D35C2">
      <w:pPr>
        <w:spacing w:after="0" w:line="240" w:lineRule="auto"/>
      </w:pPr>
      <w:r>
        <w:separator/>
      </w:r>
    </w:p>
  </w:endnote>
  <w:endnote w:type="continuationSeparator" w:id="0">
    <w:p w:rsidR="003D35C2" w:rsidRDefault="003D35C2" w:rsidP="003D3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imes New Roman (Body C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5C2" w:rsidRDefault="003D35C2" w:rsidP="003D35C2">
      <w:pPr>
        <w:spacing w:after="0" w:line="240" w:lineRule="auto"/>
      </w:pPr>
      <w:r>
        <w:separator/>
      </w:r>
    </w:p>
  </w:footnote>
  <w:footnote w:type="continuationSeparator" w:id="0">
    <w:p w:rsidR="003D35C2" w:rsidRDefault="003D35C2" w:rsidP="003D35C2">
      <w:pPr>
        <w:spacing w:after="0" w:line="240" w:lineRule="auto"/>
      </w:pPr>
      <w:r>
        <w:continuationSeparator/>
      </w:r>
    </w:p>
  </w:footnote>
  <w:footnote w:id="1">
    <w:p w:rsidR="003D35C2" w:rsidRDefault="003D35C2" w:rsidP="003D35C2">
      <w:pPr>
        <w:pStyle w:val="FootnoteText"/>
      </w:pPr>
      <w:r>
        <w:rPr>
          <w:rStyle w:val="FootnoteReference"/>
        </w:rPr>
        <w:footnoteRef/>
      </w:r>
      <w:r>
        <w:t xml:space="preserve"> </w:t>
      </w:r>
      <w:proofErr w:type="gramStart"/>
      <w:r>
        <w:t>Petition for Rulemaking of Microsoft Corporation, filed in ET Docket No. 14-165 on May 3, 2019.</w:t>
      </w:r>
      <w:proofErr w:type="gramEnd"/>
    </w:p>
  </w:footnote>
  <w:footnote w:id="2">
    <w:p w:rsidR="003D35C2" w:rsidRDefault="003D35C2" w:rsidP="003D35C2">
      <w:pPr>
        <w:pStyle w:val="FootnoteText"/>
      </w:pPr>
      <w:r>
        <w:rPr>
          <w:rStyle w:val="FootnoteReference"/>
        </w:rPr>
        <w:footnoteRef/>
      </w:r>
      <w:r>
        <w:t xml:space="preserve"> See Comments of Shure Incorporated in ET Docket No. 14-165 dated June 10, 2019.</w:t>
      </w:r>
    </w:p>
  </w:footnote>
  <w:footnote w:id="3">
    <w:p w:rsidR="003D35C2" w:rsidRDefault="003D35C2" w:rsidP="003D35C2">
      <w:pPr>
        <w:pStyle w:val="FootnoteText"/>
      </w:pPr>
      <w:r>
        <w:rPr>
          <w:rStyle w:val="FootnoteReference"/>
        </w:rPr>
        <w:footnoteRef/>
      </w:r>
      <w:r>
        <w:t xml:space="preserve"> See Order on Reconsideration and Further Notice of Proposed Rulemaking in ET Docket No. 14-165, July 14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5C2"/>
    <w:rsid w:val="000A200B"/>
    <w:rsid w:val="000A26A0"/>
    <w:rsid w:val="0036065F"/>
    <w:rsid w:val="003D35C2"/>
    <w:rsid w:val="00F76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5C2"/>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D35C2"/>
    <w:pPr>
      <w:spacing w:after="0" w:line="240" w:lineRule="auto"/>
    </w:pPr>
    <w:rPr>
      <w:rFonts w:ascii="Minion Pro" w:hAnsi="Minion Pro" w:cs="Times New Roman (Body CS)"/>
      <w:sz w:val="20"/>
      <w:szCs w:val="20"/>
    </w:rPr>
  </w:style>
  <w:style w:type="character" w:customStyle="1" w:styleId="FootnoteTextChar">
    <w:name w:val="Footnote Text Char"/>
    <w:basedOn w:val="DefaultParagraphFont"/>
    <w:link w:val="FootnoteText"/>
    <w:uiPriority w:val="99"/>
    <w:semiHidden/>
    <w:rsid w:val="003D35C2"/>
    <w:rPr>
      <w:rFonts w:ascii="Minion Pro" w:eastAsiaTheme="minorHAnsi" w:hAnsi="Minion Pro" w:cs="Times New Roman (Body CS)"/>
      <w:lang w:eastAsia="en-US"/>
    </w:rPr>
  </w:style>
  <w:style w:type="character" w:styleId="FootnoteReference">
    <w:name w:val="footnote reference"/>
    <w:basedOn w:val="DefaultParagraphFont"/>
    <w:uiPriority w:val="99"/>
    <w:semiHidden/>
    <w:unhideWhenUsed/>
    <w:rsid w:val="003D35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5C2"/>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D35C2"/>
    <w:pPr>
      <w:spacing w:after="0" w:line="240" w:lineRule="auto"/>
    </w:pPr>
    <w:rPr>
      <w:rFonts w:ascii="Minion Pro" w:hAnsi="Minion Pro" w:cs="Times New Roman (Body CS)"/>
      <w:sz w:val="20"/>
      <w:szCs w:val="20"/>
    </w:rPr>
  </w:style>
  <w:style w:type="character" w:customStyle="1" w:styleId="FootnoteTextChar">
    <w:name w:val="Footnote Text Char"/>
    <w:basedOn w:val="DefaultParagraphFont"/>
    <w:link w:val="FootnoteText"/>
    <w:uiPriority w:val="99"/>
    <w:semiHidden/>
    <w:rsid w:val="003D35C2"/>
    <w:rPr>
      <w:rFonts w:ascii="Minion Pro" w:eastAsiaTheme="minorHAnsi" w:hAnsi="Minion Pro" w:cs="Times New Roman (Body CS)"/>
      <w:lang w:eastAsia="en-US"/>
    </w:rPr>
  </w:style>
  <w:style w:type="character" w:styleId="FootnoteReference">
    <w:name w:val="footnote reference"/>
    <w:basedOn w:val="DefaultParagraphFont"/>
    <w:uiPriority w:val="99"/>
    <w:semiHidden/>
    <w:unhideWhenUsed/>
    <w:rsid w:val="003D3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340</Words>
  <Characters>1901</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McCants</dc:creator>
  <cp:lastModifiedBy>Jon White-Spunner</cp:lastModifiedBy>
  <cp:revision>2</cp:revision>
  <cp:lastPrinted>2019-06-25T19:30:00Z</cp:lastPrinted>
  <dcterms:created xsi:type="dcterms:W3CDTF">2019-06-25T19:57:00Z</dcterms:created>
  <dcterms:modified xsi:type="dcterms:W3CDTF">2019-06-25T19:57:00Z</dcterms:modified>
</cp:coreProperties>
</file>