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jc w:val="center"/>
        <w:tblLayout w:type="fixed"/>
        <w:tblCellMar>
          <w:left w:w="0" w:type="dxa"/>
          <w:right w:w="0" w:type="dxa"/>
        </w:tblCellMar>
        <w:tblLook w:val="01E0" w:firstRow="1" w:lastRow="1" w:firstColumn="1" w:lastColumn="1" w:noHBand="0" w:noVBand="0"/>
      </w:tblPr>
      <w:tblGrid>
        <w:gridCol w:w="1890"/>
        <w:gridCol w:w="6660"/>
        <w:gridCol w:w="1890"/>
      </w:tblGrid>
      <w:tr w:rsidR="005933D9" w:rsidTr="00C7676C">
        <w:trPr>
          <w:jc w:val="center"/>
        </w:trPr>
        <w:tc>
          <w:tcPr>
            <w:tcW w:w="10440" w:type="dxa"/>
            <w:gridSpan w:val="3"/>
            <w:shd w:val="clear" w:color="auto" w:fill="auto"/>
          </w:tcPr>
          <w:p w:rsidR="005933D9" w:rsidRDefault="005933D9" w:rsidP="00C7676C">
            <w:pPr>
              <w:pStyle w:val="Attorneys2-Subhead"/>
            </w:pPr>
            <w:r w:rsidRPr="000B0800">
              <w:rPr>
                <w:noProof/>
              </w:rPr>
              <w:drawing>
                <wp:inline distT="0" distB="0" distL="0" distR="0">
                  <wp:extent cx="3400425" cy="304800"/>
                  <wp:effectExtent l="0" t="0" r="9525" b="0"/>
                  <wp:docPr id="1" name="Picture 1" descr="C:\Users\victory\AppData\Local\Microsoft\Windows\Temporary Internet Files\Content.Word\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ctory\AppData\Local\Microsoft\Windows\Temporary Internet Files\Content.Word\colo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00425" cy="304800"/>
                          </a:xfrm>
                          <a:prstGeom prst="rect">
                            <a:avLst/>
                          </a:prstGeom>
                          <a:noFill/>
                          <a:ln>
                            <a:noFill/>
                          </a:ln>
                        </pic:spPr>
                      </pic:pic>
                    </a:graphicData>
                  </a:graphic>
                </wp:inline>
              </w:drawing>
            </w:r>
          </w:p>
        </w:tc>
      </w:tr>
      <w:tr w:rsidR="005933D9" w:rsidTr="00C7676C">
        <w:trPr>
          <w:trHeight w:val="1697"/>
          <w:jc w:val="center"/>
        </w:trPr>
        <w:tc>
          <w:tcPr>
            <w:tcW w:w="1890" w:type="dxa"/>
            <w:shd w:val="clear" w:color="auto" w:fill="auto"/>
          </w:tcPr>
          <w:p w:rsidR="005933D9" w:rsidRPr="005D0181" w:rsidRDefault="005933D9" w:rsidP="00C7676C">
            <w:pPr>
              <w:pStyle w:val="Attorneys"/>
              <w:rPr>
                <w:rFonts w:ascii="Calibri" w:hAnsi="Calibri"/>
              </w:rPr>
            </w:pPr>
          </w:p>
          <w:p w:rsidR="005933D9" w:rsidRPr="005D0181" w:rsidRDefault="005933D9" w:rsidP="00C7676C">
            <w:pPr>
              <w:pStyle w:val="Attorneys-Subhead"/>
              <w:spacing w:before="60"/>
              <w:rPr>
                <w:rFonts w:ascii="Calibri" w:hAnsi="Calibri"/>
              </w:rPr>
            </w:pPr>
          </w:p>
        </w:tc>
        <w:tc>
          <w:tcPr>
            <w:tcW w:w="6660" w:type="dxa"/>
            <w:shd w:val="clear" w:color="auto" w:fill="auto"/>
          </w:tcPr>
          <w:p w:rsidR="005933D9" w:rsidRPr="005D0181" w:rsidRDefault="005933D9" w:rsidP="00C7676C">
            <w:pPr>
              <w:pStyle w:val="Attorneys2"/>
              <w:rPr>
                <w:rFonts w:ascii="Calibri" w:hAnsi="Calibri"/>
              </w:rPr>
            </w:pPr>
          </w:p>
          <w:p w:rsidR="005933D9" w:rsidRPr="005D0181" w:rsidRDefault="005933D9" w:rsidP="00C7676C">
            <w:pPr>
              <w:pStyle w:val="FirmAddress"/>
              <w:spacing w:after="20"/>
              <w:rPr>
                <w:rFonts w:ascii="Calibri" w:hAnsi="Calibri"/>
                <w:sz w:val="20"/>
              </w:rPr>
            </w:pPr>
            <w:r w:rsidRPr="005D0181">
              <w:rPr>
                <w:rFonts w:ascii="Calibri" w:hAnsi="Calibri"/>
                <w:sz w:val="20"/>
              </w:rPr>
              <w:t>1300 NORTH 17th STREET, 11th FLOOR</w:t>
            </w:r>
          </w:p>
          <w:p w:rsidR="005933D9" w:rsidRPr="005D0181" w:rsidRDefault="005933D9" w:rsidP="00C7676C">
            <w:pPr>
              <w:pStyle w:val="FirmAddress"/>
              <w:spacing w:after="20"/>
              <w:rPr>
                <w:rFonts w:ascii="Calibri" w:hAnsi="Calibri"/>
                <w:sz w:val="20"/>
              </w:rPr>
            </w:pPr>
            <w:r w:rsidRPr="005D0181">
              <w:rPr>
                <w:rFonts w:ascii="Calibri" w:hAnsi="Calibri"/>
                <w:sz w:val="20"/>
              </w:rPr>
              <w:t>ARLINGTON, VIRGINIA  22209</w:t>
            </w:r>
          </w:p>
          <w:p w:rsidR="005933D9" w:rsidRPr="005D0181" w:rsidRDefault="005933D9" w:rsidP="00C7676C">
            <w:pPr>
              <w:pStyle w:val="FirmAddress"/>
              <w:spacing w:after="20"/>
              <w:rPr>
                <w:rFonts w:ascii="Calibri" w:hAnsi="Calibri"/>
              </w:rPr>
            </w:pPr>
            <w:r>
              <w:rPr>
                <w:rFonts w:ascii="Calibri" w:hAnsi="Calibri"/>
                <w:noProof/>
              </w:rPr>
              <mc:AlternateContent>
                <mc:Choice Requires="wps">
                  <w:drawing>
                    <wp:anchor distT="0" distB="0" distL="114300" distR="114300" simplePos="0" relativeHeight="251659264" behindDoc="0" locked="0" layoutInCell="1" allowOverlap="1">
                      <wp:simplePos x="0" y="0"/>
                      <wp:positionH relativeFrom="column">
                        <wp:posOffset>1964690</wp:posOffset>
                      </wp:positionH>
                      <wp:positionV relativeFrom="paragraph">
                        <wp:posOffset>60960</wp:posOffset>
                      </wp:positionV>
                      <wp:extent cx="365760" cy="0"/>
                      <wp:effectExtent l="12700" t="12700" r="12065" b="63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F20FF8" id="_x0000_t32" coordsize="21600,21600" o:spt="32" o:oned="t" path="m,l21600,21600e" filled="f">
                      <v:path arrowok="t" fillok="f" o:connecttype="none"/>
                      <o:lock v:ext="edit" shapetype="t"/>
                    </v:shapetype>
                    <v:shape id="Straight Arrow Connector 3" o:spid="_x0000_s1026" type="#_x0000_t32" style="position:absolute;margin-left:154.7pt;margin-top:4.8pt;width:28.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" strokeweight="1pt"/>
                  </w:pict>
                </mc:Fallback>
              </mc:AlternateContent>
            </w:r>
            <w:r>
              <w:rPr>
                <w:rFonts w:ascii="Calibri" w:hAnsi="Calibri"/>
                <w:noProof/>
              </w:rPr>
              <mc:AlternateContent>
                <mc:Choice Requires="wps">
                  <w:drawing>
                    <wp:anchor distT="0" distB="0" distL="114300" distR="114300" simplePos="0" relativeHeight="251660288" behindDoc="0" locked="0" layoutInCell="1" allowOverlap="1">
                      <wp:simplePos x="0" y="0"/>
                      <wp:positionH relativeFrom="column">
                        <wp:posOffset>2320925</wp:posOffset>
                      </wp:positionH>
                      <wp:positionV relativeFrom="paragraph">
                        <wp:posOffset>60960</wp:posOffset>
                      </wp:positionV>
                      <wp:extent cx="635" cy="635"/>
                      <wp:effectExtent l="6985" t="12700" r="11430" b="571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7FFB1E" id="Straight Arrow Connector 2" o:spid="_x0000_s1026" type="#_x0000_t32" style="position:absolute;margin-left:182.75pt;margin-top:4.8pt;width:.0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"/>
                  </w:pict>
                </mc:Fallback>
              </mc:AlternateContent>
            </w:r>
          </w:p>
          <w:p w:rsidR="005933D9" w:rsidRPr="005D0181" w:rsidRDefault="005933D9" w:rsidP="00C7676C">
            <w:pPr>
              <w:pStyle w:val="FirmAddress"/>
              <w:spacing w:after="20"/>
              <w:rPr>
                <w:rFonts w:ascii="Calibri" w:hAnsi="Calibri"/>
              </w:rPr>
            </w:pPr>
            <w:r w:rsidRPr="005D0181">
              <w:rPr>
                <w:rFonts w:ascii="Calibri" w:hAnsi="Calibri"/>
              </w:rPr>
              <w:t>OFFICE:  (703) 812-0400</w:t>
            </w:r>
          </w:p>
          <w:p w:rsidR="005933D9" w:rsidRPr="005D0181" w:rsidRDefault="005933D9" w:rsidP="00C7676C">
            <w:pPr>
              <w:pStyle w:val="FirmAddress"/>
              <w:spacing w:after="20"/>
              <w:rPr>
                <w:rFonts w:ascii="Calibri" w:hAnsi="Calibri"/>
              </w:rPr>
            </w:pPr>
            <w:r w:rsidRPr="005D0181">
              <w:rPr>
                <w:rFonts w:ascii="Calibri" w:hAnsi="Calibri"/>
              </w:rPr>
              <w:t>FAX:  (703) 812-0486</w:t>
            </w:r>
          </w:p>
          <w:p w:rsidR="005933D9" w:rsidRPr="005D0181" w:rsidRDefault="005933D9" w:rsidP="00C7676C">
            <w:pPr>
              <w:pStyle w:val="FirmAddress"/>
              <w:tabs>
                <w:tab w:val="center" w:pos="3420"/>
                <w:tab w:val="left" w:pos="6026"/>
              </w:tabs>
              <w:spacing w:after="20"/>
              <w:rPr>
                <w:rFonts w:ascii="Calibri" w:hAnsi="Calibri"/>
              </w:rPr>
            </w:pPr>
            <w:r w:rsidRPr="005D0181">
              <w:rPr>
                <w:rFonts w:ascii="Calibri" w:hAnsi="Calibri"/>
              </w:rPr>
              <w:t>www.fhhlaw.com</w:t>
            </w:r>
          </w:p>
          <w:p w:rsidR="005933D9" w:rsidRPr="005D0181" w:rsidRDefault="005933D9" w:rsidP="00C7676C">
            <w:pPr>
              <w:pStyle w:val="FirmAddress"/>
              <w:spacing w:after="20"/>
              <w:rPr>
                <w:rFonts w:ascii="Calibri" w:hAnsi="Calibri"/>
              </w:rPr>
            </w:pPr>
            <w:r w:rsidRPr="005D0181">
              <w:rPr>
                <w:rFonts w:ascii="Calibri" w:hAnsi="Calibri"/>
              </w:rPr>
              <w:t>www.commlawblog.com</w:t>
            </w:r>
          </w:p>
          <w:p w:rsidR="005933D9" w:rsidRDefault="005933D9" w:rsidP="00C7676C">
            <w:pPr>
              <w:pStyle w:val="FirmAddress"/>
              <w:tabs>
                <w:tab w:val="left" w:pos="6081"/>
              </w:tabs>
              <w:spacing w:after="0"/>
              <w:jc w:val="left"/>
              <w:rPr>
                <w:rFonts w:ascii="Calibri" w:hAnsi="Calibri"/>
              </w:rPr>
            </w:pPr>
            <w:r w:rsidRPr="005D0181">
              <w:rPr>
                <w:rFonts w:ascii="Calibri" w:hAnsi="Calibri"/>
              </w:rPr>
              <w:tab/>
            </w:r>
          </w:p>
          <w:p w:rsidR="005933D9" w:rsidRDefault="005933D9" w:rsidP="005933D9">
            <w:pPr>
              <w:spacing w:after="0" w:line="240" w:lineRule="auto"/>
              <w:jc w:val="center"/>
            </w:pPr>
          </w:p>
          <w:p w:rsidR="005933D9" w:rsidRDefault="005933D9" w:rsidP="005933D9">
            <w:pPr>
              <w:spacing w:after="0" w:line="240" w:lineRule="auto"/>
              <w:jc w:val="center"/>
            </w:pPr>
          </w:p>
          <w:p w:rsidR="005933D9" w:rsidRDefault="005933D9" w:rsidP="005933D9">
            <w:pPr>
              <w:spacing w:after="0" w:line="240" w:lineRule="auto"/>
              <w:jc w:val="center"/>
            </w:pPr>
          </w:p>
          <w:p w:rsidR="005933D9" w:rsidRPr="001C303B" w:rsidRDefault="005933D9" w:rsidP="00C7676C">
            <w:pPr>
              <w:jc w:val="center"/>
              <w:rPr>
                <w:sz w:val="22"/>
              </w:rPr>
            </w:pPr>
            <w:r w:rsidRPr="005933D9">
              <w:t>June 25, 2019</w:t>
            </w:r>
          </w:p>
        </w:tc>
        <w:tc>
          <w:tcPr>
            <w:tcW w:w="1890" w:type="dxa"/>
            <w:shd w:val="clear" w:color="auto" w:fill="auto"/>
          </w:tcPr>
          <w:p w:rsidR="005933D9" w:rsidRDefault="005933D9" w:rsidP="00C7676C">
            <w:pPr>
              <w:pStyle w:val="Attorneys-Subhead"/>
              <w:spacing w:after="0"/>
              <w:jc w:val="center"/>
              <w:rPr>
                <w:rFonts w:ascii="Calibri" w:hAnsi="Calibri"/>
                <w:sz w:val="15"/>
                <w:szCs w:val="15"/>
              </w:rPr>
            </w:pPr>
          </w:p>
          <w:p w:rsidR="005933D9" w:rsidRDefault="005933D9" w:rsidP="00C7676C">
            <w:pPr>
              <w:pStyle w:val="Attorneys-Subhead"/>
              <w:spacing w:after="0"/>
              <w:jc w:val="center"/>
              <w:rPr>
                <w:rFonts w:ascii="Calibri" w:hAnsi="Calibri"/>
              </w:rPr>
            </w:pPr>
          </w:p>
          <w:p w:rsidR="005933D9" w:rsidRDefault="005933D9" w:rsidP="00C7676C">
            <w:pPr>
              <w:pStyle w:val="Attorneys-Subhead"/>
              <w:spacing w:after="0"/>
              <w:jc w:val="center"/>
              <w:rPr>
                <w:rFonts w:ascii="Calibri" w:hAnsi="Calibri"/>
              </w:rPr>
            </w:pPr>
          </w:p>
          <w:p w:rsidR="005933D9" w:rsidRPr="005D0181" w:rsidRDefault="005933D9" w:rsidP="00C7676C">
            <w:pPr>
              <w:pStyle w:val="Attorneys-Subhead"/>
              <w:spacing w:after="0"/>
              <w:jc w:val="center"/>
              <w:rPr>
                <w:rFonts w:ascii="Calibri" w:hAnsi="Calibri"/>
              </w:rPr>
            </w:pPr>
          </w:p>
          <w:p w:rsidR="005933D9" w:rsidRPr="005D0181" w:rsidRDefault="005933D9" w:rsidP="00C7676C">
            <w:pPr>
              <w:pStyle w:val="Attorneys-Subhead"/>
              <w:rPr>
                <w:rFonts w:ascii="Calibri" w:hAnsi="Calibri"/>
              </w:rPr>
            </w:pPr>
          </w:p>
          <w:p w:rsidR="005933D9" w:rsidRPr="005D0181" w:rsidRDefault="005933D9" w:rsidP="00C7676C">
            <w:pPr>
              <w:pStyle w:val="Attorneys-Subhead"/>
              <w:rPr>
                <w:rFonts w:ascii="Calibri" w:hAnsi="Calibri"/>
              </w:rPr>
            </w:pPr>
          </w:p>
          <w:p w:rsidR="005933D9" w:rsidRDefault="005933D9" w:rsidP="00C7676C">
            <w:pPr>
              <w:pStyle w:val="Attorneys-Subhead"/>
              <w:rPr>
                <w:rFonts w:ascii="Calibri" w:hAnsi="Calibri"/>
              </w:rPr>
            </w:pPr>
          </w:p>
          <w:p w:rsidR="005933D9" w:rsidRPr="005D0181" w:rsidRDefault="005933D9" w:rsidP="00C7676C">
            <w:pPr>
              <w:pStyle w:val="Attorneys-Subhead"/>
              <w:rPr>
                <w:rFonts w:ascii="Calibri" w:hAnsi="Calibri"/>
              </w:rPr>
            </w:pPr>
          </w:p>
          <w:p w:rsidR="005933D9" w:rsidRPr="005D0181" w:rsidRDefault="005933D9" w:rsidP="00C7676C">
            <w:pPr>
              <w:pStyle w:val="Attorneys-Subhead"/>
              <w:rPr>
                <w:rFonts w:ascii="Calibri" w:hAnsi="Calibri"/>
              </w:rPr>
            </w:pPr>
          </w:p>
          <w:p w:rsidR="005933D9" w:rsidRDefault="005933D9" w:rsidP="00C7676C">
            <w:pPr>
              <w:pStyle w:val="Attorneys-Subhead"/>
              <w:spacing w:after="0"/>
              <w:jc w:val="center"/>
              <w:rPr>
                <w:rFonts w:ascii="Calibri" w:hAnsi="Calibri" w:cs="Calibri"/>
                <w:caps/>
                <w:smallCaps w:val="0"/>
                <w:sz w:val="17"/>
                <w:szCs w:val="17"/>
              </w:rPr>
            </w:pPr>
          </w:p>
          <w:p w:rsidR="005933D9" w:rsidRPr="001A5A57" w:rsidRDefault="005933D9" w:rsidP="00C7676C">
            <w:pPr>
              <w:pStyle w:val="Attorneys-Subhead"/>
              <w:spacing w:after="0"/>
              <w:jc w:val="center"/>
              <w:rPr>
                <w:rFonts w:ascii="Calibri" w:hAnsi="Calibri" w:cs="Calibri"/>
                <w:caps/>
                <w:smallCaps w:val="0"/>
                <w:sz w:val="17"/>
                <w:szCs w:val="17"/>
              </w:rPr>
            </w:pPr>
            <w:r>
              <w:rPr>
                <w:rFonts w:ascii="Calibri" w:hAnsi="Calibri" w:cs="Calibri"/>
                <w:caps/>
                <w:smallCaps w:val="0"/>
                <w:sz w:val="17"/>
                <w:szCs w:val="17"/>
              </w:rPr>
              <w:t>DONALD J. EVANS</w:t>
            </w:r>
          </w:p>
          <w:p w:rsidR="005933D9" w:rsidRPr="005D0181" w:rsidRDefault="005933D9" w:rsidP="00C7676C">
            <w:pPr>
              <w:pStyle w:val="Attorneys-Subhead"/>
              <w:spacing w:after="0"/>
              <w:jc w:val="center"/>
              <w:rPr>
                <w:rFonts w:ascii="Calibri" w:hAnsi="Calibri" w:cs="Calibri"/>
                <w:sz w:val="17"/>
                <w:szCs w:val="17"/>
              </w:rPr>
            </w:pPr>
            <w:r>
              <w:rPr>
                <w:rFonts w:ascii="Calibri" w:hAnsi="Calibri" w:cs="Calibri"/>
                <w:sz w:val="17"/>
                <w:szCs w:val="17"/>
              </w:rPr>
              <w:t>(703) 812-0430</w:t>
            </w:r>
          </w:p>
          <w:p w:rsidR="005933D9" w:rsidRPr="005D0181" w:rsidRDefault="005933D9" w:rsidP="00C7676C">
            <w:pPr>
              <w:pStyle w:val="Attorneys-Subhead"/>
              <w:spacing w:after="0"/>
              <w:jc w:val="center"/>
              <w:rPr>
                <w:rFonts w:ascii="Calibri" w:hAnsi="Calibri"/>
              </w:rPr>
            </w:pPr>
            <w:r>
              <w:rPr>
                <w:rFonts w:ascii="Calibri" w:hAnsi="Calibri" w:cs="Arial"/>
                <w:sz w:val="17"/>
                <w:szCs w:val="17"/>
              </w:rPr>
              <w:t>evans</w:t>
            </w:r>
            <w:r w:rsidRPr="00252315">
              <w:rPr>
                <w:rFonts w:ascii="Calibri" w:hAnsi="Calibri" w:cs="Arial"/>
                <w:sz w:val="17"/>
                <w:szCs w:val="17"/>
              </w:rPr>
              <w:t>@fhhlaw.com</w:t>
            </w:r>
          </w:p>
        </w:tc>
      </w:tr>
    </w:tbl>
    <w:p w:rsidR="005933D9" w:rsidRDefault="005933D9" w:rsidP="005933D9">
      <w:pPr>
        <w:pStyle w:val="Header"/>
        <w:jc w:val="center"/>
        <w:rPr>
          <w:b/>
        </w:rPr>
      </w:pPr>
    </w:p>
    <w:p w:rsidR="00092FF2" w:rsidRDefault="00092FF2" w:rsidP="00F14830">
      <w:pPr>
        <w:pStyle w:val="NoSpacing"/>
      </w:pPr>
      <w:r>
        <w:t>Ms. Marlene Dortch</w:t>
      </w:r>
    </w:p>
    <w:p w:rsidR="00092FF2" w:rsidRDefault="00092FF2" w:rsidP="00F14830">
      <w:pPr>
        <w:pStyle w:val="NoSpacing"/>
      </w:pPr>
      <w:r>
        <w:t>Secretary</w:t>
      </w:r>
    </w:p>
    <w:p w:rsidR="00092FF2" w:rsidRDefault="00092FF2" w:rsidP="00F14830">
      <w:pPr>
        <w:pStyle w:val="NoSpacing"/>
      </w:pPr>
      <w:r>
        <w:t>Federal communications commission</w:t>
      </w:r>
    </w:p>
    <w:p w:rsidR="00092FF2" w:rsidRDefault="00092FF2" w:rsidP="00F14830">
      <w:pPr>
        <w:pStyle w:val="NoSpacing"/>
      </w:pPr>
      <w:r>
        <w:t>445 12</w:t>
      </w:r>
      <w:r w:rsidRPr="00647CAC">
        <w:t>th</w:t>
      </w:r>
      <w:r>
        <w:t xml:space="preserve"> St</w:t>
      </w:r>
      <w:r w:rsidR="00647CAC">
        <w:t>reet</w:t>
      </w:r>
      <w:r>
        <w:t xml:space="preserve"> SW</w:t>
      </w:r>
    </w:p>
    <w:p w:rsidR="00092FF2" w:rsidRDefault="00F14830" w:rsidP="00F14830">
      <w:pPr>
        <w:pStyle w:val="NoSpacing"/>
      </w:pPr>
      <w:r>
        <w:t>Washington</w:t>
      </w:r>
      <w:r w:rsidR="00092FF2">
        <w:t>, DC 20554</w:t>
      </w:r>
    </w:p>
    <w:p w:rsidR="00092FF2" w:rsidRDefault="00092FF2"/>
    <w:p w:rsidR="00092FF2" w:rsidRDefault="00092FF2" w:rsidP="00F14830">
      <w:pPr>
        <w:pStyle w:val="NoSpacing"/>
      </w:pPr>
      <w:r>
        <w:tab/>
      </w:r>
      <w:r>
        <w:tab/>
      </w:r>
      <w:r>
        <w:tab/>
      </w:r>
      <w:r>
        <w:tab/>
      </w:r>
      <w:r>
        <w:tab/>
        <w:t>Re:</w:t>
      </w:r>
      <w:r w:rsidR="00647CAC">
        <w:tab/>
      </w:r>
      <w:r>
        <w:t>WT Docket No. 19-116</w:t>
      </w:r>
    </w:p>
    <w:p w:rsidR="00092FF2" w:rsidRDefault="00092FF2" w:rsidP="00F14830">
      <w:pPr>
        <w:pStyle w:val="NoSpacing"/>
      </w:pPr>
      <w:r>
        <w:tab/>
      </w:r>
      <w:r>
        <w:tab/>
      </w:r>
      <w:r>
        <w:tab/>
      </w:r>
      <w:r>
        <w:tab/>
      </w:r>
      <w:r>
        <w:tab/>
      </w:r>
      <w:r w:rsidR="00647CAC">
        <w:tab/>
      </w:r>
      <w:r>
        <w:t>Written ex parte response</w:t>
      </w:r>
    </w:p>
    <w:p w:rsidR="00092FF2" w:rsidRDefault="00092FF2" w:rsidP="00512818">
      <w:pPr>
        <w:spacing w:after="0" w:line="240" w:lineRule="auto"/>
      </w:pPr>
    </w:p>
    <w:p w:rsidR="00092FF2" w:rsidRDefault="00092FF2" w:rsidP="00512818">
      <w:pPr>
        <w:spacing w:after="0" w:line="240" w:lineRule="auto"/>
      </w:pPr>
      <w:r>
        <w:t>Dear Ms. Dortch:</w:t>
      </w:r>
    </w:p>
    <w:p w:rsidR="00092FF2" w:rsidRDefault="00092FF2" w:rsidP="00512818">
      <w:pPr>
        <w:spacing w:before="120" w:after="0" w:line="240" w:lineRule="auto"/>
      </w:pPr>
      <w:r>
        <w:tab/>
        <w:t xml:space="preserve">This letter responds to the June 14, 2019 summary of an ex parte meeting submitted by Ligado networks LLC with respect to a meeting held </w:t>
      </w:r>
      <w:r w:rsidR="00F14830">
        <w:t>with</w:t>
      </w:r>
      <w:r>
        <w:t xml:space="preserve"> </w:t>
      </w:r>
      <w:r w:rsidR="00F14830">
        <w:t>Commission</w:t>
      </w:r>
      <w:r>
        <w:t xml:space="preserve"> staff on that same day.  The meeting concerned Ligado’s expression of willingness to “participate robustly” in the proposed </w:t>
      </w:r>
      <w:r w:rsidR="00F14830">
        <w:t>auction</w:t>
      </w:r>
      <w:r>
        <w:t xml:space="preserve"> of the 1675-1680 MHz band which is at issue in this proceeding.   NTCH, Inc. is interested in participating in this auction if it is implemented. As a potential auction participant, NTCH must object to any linking of action by the Commission on Ligado’s pending waiver request for the 35 MHz band to Ligado’s participation, robust or otherwise in the 1675-1680 auction.</w:t>
      </w:r>
    </w:p>
    <w:p w:rsidR="00092FF2" w:rsidRDefault="00092FF2" w:rsidP="00512818">
      <w:pPr>
        <w:spacing w:before="120" w:after="0" w:line="240" w:lineRule="auto"/>
      </w:pPr>
      <w:r>
        <w:tab/>
        <w:t xml:space="preserve">Several years ago the </w:t>
      </w:r>
      <w:r w:rsidR="00F14830">
        <w:t>Commission</w:t>
      </w:r>
      <w:r>
        <w:t xml:space="preserve"> </w:t>
      </w:r>
      <w:r w:rsidR="00F14830">
        <w:t>entered into</w:t>
      </w:r>
      <w:r>
        <w:t xml:space="preserve"> </w:t>
      </w:r>
      <w:r w:rsidR="00BD4117">
        <w:t xml:space="preserve">a quid pro quo arrangement </w:t>
      </w:r>
      <w:r>
        <w:t xml:space="preserve">with DISH Network providing that DISH </w:t>
      </w:r>
      <w:r w:rsidR="00F14830">
        <w:t>would</w:t>
      </w:r>
      <w:r>
        <w:t xml:space="preserve"> bid at least $1.5 billion in the PCS H Block auction then planned for </w:t>
      </w:r>
      <w:r w:rsidR="00BD4117">
        <w:t>early 2014</w:t>
      </w:r>
      <w:r>
        <w:t xml:space="preserve"> if the Commission </w:t>
      </w:r>
      <w:r w:rsidR="00F14830">
        <w:t>would</w:t>
      </w:r>
      <w:r>
        <w:t xml:space="preserve"> grant it certain waivers </w:t>
      </w:r>
      <w:r w:rsidR="003329EB">
        <w:t>related to DISH’s independent AWS-4 license.  Under this agreement, DISH did bid the $1.5 billion and the Commission did grant the waivers.</w:t>
      </w:r>
      <w:r w:rsidR="009A6539">
        <w:rPr>
          <w:rStyle w:val="FootnoteReference"/>
        </w:rPr>
        <w:footnoteReference w:id="1"/>
      </w:r>
      <w:r w:rsidR="003329EB">
        <w:t xml:space="preserve">  NTCH is currently challenging that action in the D.C. Circuit under </w:t>
      </w:r>
      <w:r w:rsidR="00F14830">
        <w:t xml:space="preserve">consolidated </w:t>
      </w:r>
      <w:r w:rsidR="003329EB">
        <w:t>case number</w:t>
      </w:r>
      <w:r w:rsidR="00F14830">
        <w:t>s</w:t>
      </w:r>
      <w:r w:rsidR="003329EB">
        <w:t xml:space="preserve"> </w:t>
      </w:r>
      <w:r w:rsidR="00F14830">
        <w:t>18-1241 and 1242</w:t>
      </w:r>
      <w:r w:rsidR="003329EB">
        <w:t>.   The thrust of NTCH’s a</w:t>
      </w:r>
      <w:r w:rsidR="00F14830">
        <w:t>ppeal</w:t>
      </w:r>
      <w:r w:rsidR="003329EB">
        <w:t xml:space="preserve"> is that the grant or denial of waivers cannot be predicated on bids in a separate auction which would provide greater </w:t>
      </w:r>
      <w:r w:rsidR="00F14830">
        <w:t>remuneration</w:t>
      </w:r>
      <w:r w:rsidR="003329EB">
        <w:t xml:space="preserve"> to the </w:t>
      </w:r>
      <w:r w:rsidR="00F14830">
        <w:t>Commissions</w:t>
      </w:r>
      <w:r w:rsidR="003329EB">
        <w:t xml:space="preserve"> but </w:t>
      </w:r>
      <w:r w:rsidR="00F14830">
        <w:t>would</w:t>
      </w:r>
      <w:r w:rsidR="003329EB">
        <w:t xml:space="preserve"> also skew the auction by giving one participant more benefits for its bids than other parti</w:t>
      </w:r>
      <w:r w:rsidR="00F14830">
        <w:t>ci</w:t>
      </w:r>
      <w:r w:rsidR="003329EB">
        <w:t xml:space="preserve">pants.  Waivers must be granted solely on their public interest merits, not in exchange for promises of cash bids to the Commission.  The Commission’s action in the DISH case was unprecedented and unsustainable as a matter of agency policy or administrative law. </w:t>
      </w:r>
    </w:p>
    <w:p w:rsidR="009A6539" w:rsidRDefault="003329EB" w:rsidP="00512818">
      <w:pPr>
        <w:keepNext/>
        <w:keepLines/>
        <w:spacing w:after="0" w:line="240" w:lineRule="auto"/>
      </w:pPr>
      <w:r>
        <w:lastRenderedPageBreak/>
        <w:tab/>
      </w:r>
      <w:r w:rsidR="00BD4117">
        <w:t xml:space="preserve">Now, inevitably, another supplicant has come before the Commission seeking similar treatment based on its not very subtle suggestion that it would be very willing to participate in the auction here – but only if the FCC grants it other unrelated concessions.  </w:t>
      </w:r>
      <w:r>
        <w:t xml:space="preserve">NTCH writes </w:t>
      </w:r>
      <w:r w:rsidR="00F14830">
        <w:t>here</w:t>
      </w:r>
      <w:r>
        <w:t xml:space="preserve"> to urge the </w:t>
      </w:r>
      <w:r w:rsidR="00F14830">
        <w:t>Commission</w:t>
      </w:r>
      <w:r>
        <w:t xml:space="preserve"> </w:t>
      </w:r>
      <w:r w:rsidRPr="006A2809">
        <w:rPr>
          <w:u w:val="single"/>
        </w:rPr>
        <w:t>not</w:t>
      </w:r>
      <w:r>
        <w:t xml:space="preserve"> to follow the seriously </w:t>
      </w:r>
      <w:r w:rsidR="00F14830">
        <w:t>misguided</w:t>
      </w:r>
      <w:r>
        <w:t xml:space="preserve"> precedent set by the DISH case</w:t>
      </w:r>
      <w:r w:rsidR="006A2809">
        <w:t>,</w:t>
      </w:r>
      <w:r>
        <w:t xml:space="preserve"> at least until the Court has an opportunity to rule on the issue.  </w:t>
      </w:r>
      <w:r w:rsidR="009A6539">
        <w:t xml:space="preserve">Make no bones about it: </w:t>
      </w:r>
      <w:r>
        <w:t xml:space="preserve">NTCH believes the cash-for-waivers policy is bad law and bad policy.  If, however, the </w:t>
      </w:r>
      <w:r w:rsidR="00F14830">
        <w:t>Commission</w:t>
      </w:r>
      <w:r>
        <w:t xml:space="preserve"> decides that it is appropriate to grant waivers on unrelated matters in exchange for promises to </w:t>
      </w:r>
      <w:r w:rsidR="009A6539">
        <w:t xml:space="preserve">bid </w:t>
      </w:r>
      <w:r w:rsidR="00F14830">
        <w:t>in this</w:t>
      </w:r>
      <w:r>
        <w:t xml:space="preserve"> auction, that opportuni</w:t>
      </w:r>
      <w:r w:rsidR="00F14830">
        <w:t>ty should</w:t>
      </w:r>
      <w:r>
        <w:t xml:space="preserve"> be available to all potential auction </w:t>
      </w:r>
      <w:r w:rsidR="00F14830">
        <w:t>participants</w:t>
      </w:r>
      <w:r>
        <w:t xml:space="preserve">.  That is, </w:t>
      </w:r>
      <w:r w:rsidRPr="009A6539">
        <w:rPr>
          <w:i/>
        </w:rPr>
        <w:t xml:space="preserve">everyone </w:t>
      </w:r>
      <w:r w:rsidR="00F14830">
        <w:t xml:space="preserve">should </w:t>
      </w:r>
      <w:r>
        <w:t xml:space="preserve">be entitled to receive </w:t>
      </w:r>
      <w:r w:rsidR="00F14830">
        <w:t>benefits</w:t>
      </w:r>
      <w:r>
        <w:t xml:space="preserve"> </w:t>
      </w:r>
      <w:r w:rsidR="009A6539">
        <w:t xml:space="preserve">such as rule waivers or other </w:t>
      </w:r>
      <w:r w:rsidR="00F14830">
        <w:t>favorable</w:t>
      </w:r>
      <w:r w:rsidR="009A6539">
        <w:t xml:space="preserve"> </w:t>
      </w:r>
      <w:r w:rsidR="00F14830">
        <w:t>Commission</w:t>
      </w:r>
      <w:r w:rsidR="009A6539">
        <w:t xml:space="preserve"> actions </w:t>
      </w:r>
      <w:r>
        <w:t>in e</w:t>
      </w:r>
      <w:r w:rsidR="009A6539">
        <w:t>x</w:t>
      </w:r>
      <w:r>
        <w:t xml:space="preserve">change for “robust </w:t>
      </w:r>
      <w:r w:rsidR="00F14830">
        <w:t>participation</w:t>
      </w:r>
      <w:r>
        <w:t xml:space="preserve">” </w:t>
      </w:r>
      <w:r w:rsidR="00F14830">
        <w:t xml:space="preserve">-- </w:t>
      </w:r>
      <w:r>
        <w:t xml:space="preserve">otherwise </w:t>
      </w:r>
      <w:r w:rsidR="009A6539">
        <w:t>this</w:t>
      </w:r>
      <w:r>
        <w:t xml:space="preserve"> auction would be skewed just as the H Block auction was. </w:t>
      </w:r>
      <w:r w:rsidR="009A6539">
        <w:t xml:space="preserve"> Such a policy </w:t>
      </w:r>
      <w:r w:rsidR="00F14830">
        <w:t>might be</w:t>
      </w:r>
      <w:r w:rsidR="009A6539">
        <w:t xml:space="preserve"> fair, but </w:t>
      </w:r>
      <w:r w:rsidR="00BD4117">
        <w:t xml:space="preserve">it </w:t>
      </w:r>
      <w:r w:rsidR="00F14830">
        <w:t>would</w:t>
      </w:r>
      <w:r w:rsidR="009A6539">
        <w:t xml:space="preserve"> require the </w:t>
      </w:r>
      <w:r w:rsidR="00F14830">
        <w:t>Commission</w:t>
      </w:r>
      <w:r w:rsidR="009A6539">
        <w:t xml:space="preserve"> to review and approve diverse waiver requests proffered by the prospective bidders before the auction could proceed, thus delaying the auction considerably.</w:t>
      </w:r>
    </w:p>
    <w:p w:rsidR="009A6539" w:rsidRDefault="009A6539" w:rsidP="00512818">
      <w:pPr>
        <w:spacing w:before="120" w:after="0" w:line="240" w:lineRule="auto"/>
      </w:pPr>
      <w:r>
        <w:tab/>
        <w:t xml:space="preserve">NTCH offers no view on the merits of Ligado’s </w:t>
      </w:r>
      <w:r w:rsidR="00F14830">
        <w:t>waiver</w:t>
      </w:r>
      <w:r>
        <w:t xml:space="preserve"> request, but linking action on that </w:t>
      </w:r>
      <w:r w:rsidR="00F14830">
        <w:t>waiver</w:t>
      </w:r>
      <w:r>
        <w:t xml:space="preserve"> to this auction either </w:t>
      </w:r>
      <w:r w:rsidR="00F14830">
        <w:t xml:space="preserve">-- </w:t>
      </w:r>
      <w:r>
        <w:t>explicitly or implicitly</w:t>
      </w:r>
      <w:r w:rsidR="00F14830">
        <w:t xml:space="preserve"> --</w:t>
      </w:r>
      <w:r>
        <w:t xml:space="preserve"> should be rejected.</w:t>
      </w:r>
    </w:p>
    <w:p w:rsidR="009A6539" w:rsidRDefault="00647CAC" w:rsidP="00512818">
      <w:pPr>
        <w:spacing w:before="360"/>
        <w:ind w:left="4320"/>
      </w:pPr>
      <w:r>
        <w:t>S</w:t>
      </w:r>
      <w:r w:rsidR="009A6539">
        <w:t>incerely,</w:t>
      </w:r>
    </w:p>
    <w:p w:rsidR="00647CAC" w:rsidRDefault="00647CAC"/>
    <w:p w:rsidR="009A6539" w:rsidRDefault="009A6539" w:rsidP="00647CAC">
      <w:pPr>
        <w:spacing w:after="0" w:line="240" w:lineRule="auto"/>
        <w:ind w:left="4320"/>
      </w:pPr>
      <w:r>
        <w:t xml:space="preserve">Donald J. </w:t>
      </w:r>
      <w:r w:rsidR="00F14830">
        <w:t>Evans</w:t>
      </w:r>
    </w:p>
    <w:p w:rsidR="009A6539" w:rsidRDefault="009A6539" w:rsidP="00647CAC">
      <w:pPr>
        <w:spacing w:after="0" w:line="240" w:lineRule="auto"/>
        <w:ind w:left="4320"/>
      </w:pPr>
      <w:r>
        <w:t>Counsel for NTCH, Inc.</w:t>
      </w:r>
    </w:p>
    <w:p w:rsidR="00F14830" w:rsidRDefault="00647CAC" w:rsidP="00647CAC">
      <w:pPr>
        <w:spacing w:after="0" w:line="240" w:lineRule="auto"/>
      </w:pPr>
      <w:r>
        <w:t>c</w:t>
      </w:r>
      <w:r w:rsidR="00F14830">
        <w:t>c:</w:t>
      </w:r>
      <w:r>
        <w:tab/>
        <w:t>Gerard J. Waldron</w:t>
      </w:r>
    </w:p>
    <w:p w:rsidR="00647CAC" w:rsidRDefault="00647CAC" w:rsidP="00647CAC">
      <w:pPr>
        <w:spacing w:after="0" w:line="240" w:lineRule="auto"/>
        <w:ind w:left="720"/>
      </w:pPr>
      <w:r>
        <w:t>Donald Stockdale</w:t>
      </w:r>
    </w:p>
    <w:p w:rsidR="00647CAC" w:rsidRDefault="00647CAC" w:rsidP="00647CAC">
      <w:pPr>
        <w:spacing w:after="0" w:line="240" w:lineRule="auto"/>
        <w:ind w:left="720"/>
      </w:pPr>
      <w:r>
        <w:t>Charles Mathias</w:t>
      </w:r>
    </w:p>
    <w:p w:rsidR="00647CAC" w:rsidRDefault="00647CAC" w:rsidP="00647CAC">
      <w:pPr>
        <w:spacing w:after="0" w:line="240" w:lineRule="auto"/>
        <w:ind w:left="720"/>
      </w:pPr>
      <w:r>
        <w:t>Ron Repasi</w:t>
      </w:r>
    </w:p>
    <w:p w:rsidR="00647CAC" w:rsidRDefault="00647CAC" w:rsidP="00647CAC">
      <w:pPr>
        <w:spacing w:after="0" w:line="240" w:lineRule="auto"/>
        <w:ind w:left="720"/>
      </w:pPr>
      <w:r>
        <w:t>Aaron Goldberger</w:t>
      </w:r>
    </w:p>
    <w:p w:rsidR="00647CAC" w:rsidRDefault="00647CAC" w:rsidP="00647CAC">
      <w:pPr>
        <w:spacing w:after="0" w:line="240" w:lineRule="auto"/>
        <w:ind w:left="720"/>
      </w:pPr>
      <w:r>
        <w:t>Erin McGrath</w:t>
      </w:r>
    </w:p>
    <w:p w:rsidR="00647CAC" w:rsidRDefault="00647CAC" w:rsidP="00647CAC">
      <w:pPr>
        <w:spacing w:after="0" w:line="240" w:lineRule="auto"/>
        <w:ind w:left="720"/>
      </w:pPr>
      <w:r>
        <w:t>Will Adams</w:t>
      </w:r>
    </w:p>
    <w:p w:rsidR="00647CAC" w:rsidRDefault="00647CAC" w:rsidP="00647CAC">
      <w:pPr>
        <w:spacing w:after="0" w:line="240" w:lineRule="auto"/>
        <w:ind w:left="720"/>
      </w:pPr>
      <w:r>
        <w:t>Umair Javed</w:t>
      </w:r>
    </w:p>
    <w:p w:rsidR="00647CAC" w:rsidRDefault="00647CAC" w:rsidP="00647CAC">
      <w:pPr>
        <w:spacing w:after="0" w:line="240" w:lineRule="auto"/>
        <w:ind w:left="720"/>
      </w:pPr>
      <w:r>
        <w:t>Randy Clarke</w:t>
      </w:r>
    </w:p>
    <w:p w:rsidR="00647CAC" w:rsidRDefault="00647CAC" w:rsidP="00647CAC">
      <w:pPr>
        <w:spacing w:after="0" w:line="240" w:lineRule="auto"/>
        <w:ind w:left="720"/>
      </w:pPr>
      <w:r>
        <w:t>Evan Kwerel</w:t>
      </w:r>
    </w:p>
    <w:p w:rsidR="00647CAC" w:rsidRDefault="00647CAC" w:rsidP="00647CAC">
      <w:pPr>
        <w:spacing w:after="0" w:line="240" w:lineRule="auto"/>
        <w:ind w:left="720"/>
      </w:pPr>
      <w:r>
        <w:t>Margaret Wiener</w:t>
      </w:r>
    </w:p>
    <w:p w:rsidR="00647CAC" w:rsidRDefault="00647CAC" w:rsidP="00647CAC">
      <w:pPr>
        <w:spacing w:after="0" w:line="240" w:lineRule="auto"/>
        <w:ind w:left="720"/>
      </w:pPr>
      <w:r>
        <w:t>Martha Stancill</w:t>
      </w:r>
    </w:p>
    <w:p w:rsidR="00647CAC" w:rsidRDefault="00647CAC" w:rsidP="00647CAC">
      <w:pPr>
        <w:spacing w:after="0" w:line="240" w:lineRule="auto"/>
        <w:ind w:left="720"/>
      </w:pPr>
      <w:r>
        <w:t>Paul LaFontaine</w:t>
      </w:r>
    </w:p>
    <w:p w:rsidR="00647CAC" w:rsidRDefault="00647CAC" w:rsidP="00647CAC">
      <w:pPr>
        <w:spacing w:after="0" w:line="240" w:lineRule="auto"/>
        <w:ind w:left="720"/>
      </w:pPr>
      <w:r>
        <w:t>Pat DeGraba</w:t>
      </w:r>
    </w:p>
    <w:p w:rsidR="00647CAC" w:rsidRDefault="00647CAC" w:rsidP="00647CAC">
      <w:pPr>
        <w:spacing w:after="0" w:line="240" w:lineRule="auto"/>
        <w:ind w:left="720"/>
      </w:pPr>
      <w:r>
        <w:t>Paul Murray</w:t>
      </w:r>
    </w:p>
    <w:p w:rsidR="00647CAC" w:rsidRDefault="00647CAC" w:rsidP="00647CAC">
      <w:pPr>
        <w:spacing w:after="0" w:line="240" w:lineRule="auto"/>
        <w:ind w:left="720"/>
      </w:pPr>
      <w:r>
        <w:t>Anna Gentry</w:t>
      </w:r>
    </w:p>
    <w:p w:rsidR="00647CAC" w:rsidRDefault="00647CAC" w:rsidP="00647CAC">
      <w:pPr>
        <w:spacing w:after="0" w:line="240" w:lineRule="auto"/>
        <w:ind w:left="720"/>
      </w:pPr>
      <w:r>
        <w:t>Becky Schwartz</w:t>
      </w:r>
    </w:p>
    <w:p w:rsidR="00647CAC" w:rsidRDefault="00647CAC" w:rsidP="00647CAC">
      <w:pPr>
        <w:spacing w:after="0" w:line="240" w:lineRule="auto"/>
        <w:ind w:left="720"/>
      </w:pPr>
      <w:r>
        <w:t>Paul Powell</w:t>
      </w:r>
    </w:p>
    <w:p w:rsidR="00D92D9E" w:rsidRDefault="00D92D9E">
      <w:r>
        <w:br w:type="page"/>
      </w:r>
    </w:p>
    <w:p w:rsidR="00D92D9E" w:rsidRDefault="00D92D9E" w:rsidP="00647CAC">
      <w:pPr>
        <w:spacing w:after="0" w:line="240" w:lineRule="auto"/>
        <w:ind w:left="720"/>
      </w:pPr>
      <w:r>
        <w:t>cc email list</w:t>
      </w:r>
    </w:p>
    <w:p w:rsidR="00D92D9E" w:rsidRDefault="00D92D9E" w:rsidP="00D92D9E">
      <w:pPr>
        <w:spacing w:before="60" w:after="0" w:line="240" w:lineRule="auto"/>
        <w:ind w:left="720"/>
      </w:pPr>
      <w:r>
        <w:t>Gerard J. Waldron (g</w:t>
      </w:r>
      <w:bookmarkStart w:id="0" w:name="_GoBack"/>
      <w:bookmarkEnd w:id="0"/>
      <w:r>
        <w:t>waldron@cov.com)</w:t>
      </w:r>
    </w:p>
    <w:p w:rsidR="00D92D9E" w:rsidRDefault="00D92D9E" w:rsidP="00D92D9E">
      <w:pPr>
        <w:spacing w:after="0" w:line="240" w:lineRule="auto"/>
        <w:ind w:left="720"/>
      </w:pPr>
      <w:r>
        <w:t>Donald Stockdale (Donald.Stockdale@fcc.gov)</w:t>
      </w:r>
    </w:p>
    <w:p w:rsidR="00D92D9E" w:rsidRDefault="00D92D9E" w:rsidP="00D92D9E">
      <w:pPr>
        <w:spacing w:after="0" w:line="240" w:lineRule="auto"/>
        <w:ind w:left="720"/>
      </w:pPr>
      <w:r>
        <w:t>Charles Mathias (Charles.Mathias@fcc.gov)</w:t>
      </w:r>
    </w:p>
    <w:p w:rsidR="00D92D9E" w:rsidRDefault="00D92D9E" w:rsidP="00D92D9E">
      <w:pPr>
        <w:spacing w:after="0" w:line="240" w:lineRule="auto"/>
        <w:ind w:left="720"/>
      </w:pPr>
      <w:r>
        <w:t>Ron Repasi (Ron.Repasi@fcc.gov)</w:t>
      </w:r>
    </w:p>
    <w:p w:rsidR="00D92D9E" w:rsidRDefault="00D92D9E" w:rsidP="00D92D9E">
      <w:pPr>
        <w:spacing w:after="0" w:line="240" w:lineRule="auto"/>
        <w:ind w:left="720"/>
      </w:pPr>
      <w:r>
        <w:t>Aaron Goldberger (Aaron.Goldberger@fcc.gov)</w:t>
      </w:r>
    </w:p>
    <w:p w:rsidR="00D92D9E" w:rsidRDefault="00D92D9E" w:rsidP="00D92D9E">
      <w:pPr>
        <w:spacing w:after="0" w:line="240" w:lineRule="auto"/>
        <w:ind w:left="720"/>
      </w:pPr>
      <w:r>
        <w:t>Erin McGrath (Erin.McGrath@fcc.gov)</w:t>
      </w:r>
    </w:p>
    <w:p w:rsidR="00D92D9E" w:rsidRDefault="00D92D9E" w:rsidP="00D92D9E">
      <w:pPr>
        <w:spacing w:after="0" w:line="240" w:lineRule="auto"/>
        <w:ind w:left="720"/>
      </w:pPr>
      <w:r>
        <w:t>Will Adams (Will.Adams@fcc.gov)</w:t>
      </w:r>
    </w:p>
    <w:p w:rsidR="00D92D9E" w:rsidRDefault="00D92D9E" w:rsidP="00D92D9E">
      <w:pPr>
        <w:spacing w:after="0" w:line="240" w:lineRule="auto"/>
        <w:ind w:left="720"/>
      </w:pPr>
      <w:r>
        <w:t>Umair Javed (Umair.Javed@fcc.gov)</w:t>
      </w:r>
    </w:p>
    <w:p w:rsidR="00D92D9E" w:rsidRDefault="00D92D9E" w:rsidP="00D92D9E">
      <w:pPr>
        <w:spacing w:after="0" w:line="240" w:lineRule="auto"/>
        <w:ind w:left="720"/>
      </w:pPr>
      <w:r>
        <w:t>Randy Clarke (Randy.Clarke@fcc.gov)</w:t>
      </w:r>
    </w:p>
    <w:p w:rsidR="00D92D9E" w:rsidRDefault="00D92D9E" w:rsidP="00D92D9E">
      <w:pPr>
        <w:spacing w:after="0" w:line="240" w:lineRule="auto"/>
        <w:ind w:left="720"/>
      </w:pPr>
      <w:r>
        <w:t>Evan Kwerel (Evan.Kwerel@fcc.gov)</w:t>
      </w:r>
    </w:p>
    <w:p w:rsidR="00D92D9E" w:rsidRDefault="00D92D9E" w:rsidP="00D92D9E">
      <w:pPr>
        <w:spacing w:after="0" w:line="240" w:lineRule="auto"/>
        <w:ind w:left="720"/>
      </w:pPr>
      <w:r>
        <w:t>Margaret Wiener (Margaret.Wiener@fcc.gov)</w:t>
      </w:r>
    </w:p>
    <w:p w:rsidR="00D92D9E" w:rsidRDefault="00D92D9E" w:rsidP="00D92D9E">
      <w:pPr>
        <w:spacing w:after="0" w:line="240" w:lineRule="auto"/>
        <w:ind w:left="720"/>
      </w:pPr>
      <w:r>
        <w:t>Martha Stancill (Martha.Stancill@fcc.gov)</w:t>
      </w:r>
    </w:p>
    <w:p w:rsidR="00D92D9E" w:rsidRDefault="00D92D9E" w:rsidP="00D92D9E">
      <w:pPr>
        <w:spacing w:after="0" w:line="240" w:lineRule="auto"/>
        <w:ind w:left="720"/>
      </w:pPr>
      <w:r>
        <w:t>Paul LaFontaine (Paul.LaFontaine@fcc.gov)</w:t>
      </w:r>
    </w:p>
    <w:p w:rsidR="00D92D9E" w:rsidRDefault="00D92D9E" w:rsidP="00D92D9E">
      <w:pPr>
        <w:spacing w:after="0" w:line="240" w:lineRule="auto"/>
        <w:ind w:left="720"/>
      </w:pPr>
      <w:r>
        <w:t>Pat DeGraba (Pat.DeGraba@fcc.gov)</w:t>
      </w:r>
    </w:p>
    <w:p w:rsidR="00D92D9E" w:rsidRDefault="00D92D9E" w:rsidP="00D92D9E">
      <w:pPr>
        <w:spacing w:after="0" w:line="240" w:lineRule="auto"/>
        <w:ind w:left="720"/>
      </w:pPr>
      <w:r>
        <w:t>Paul Murray (Paul.Murray@fcc.gov)</w:t>
      </w:r>
    </w:p>
    <w:p w:rsidR="00D92D9E" w:rsidRDefault="00D92D9E" w:rsidP="00D92D9E">
      <w:pPr>
        <w:spacing w:after="0" w:line="240" w:lineRule="auto"/>
        <w:ind w:left="720"/>
      </w:pPr>
      <w:r>
        <w:t>Anna Gentry (Anna.Gentry@fcc.gov)</w:t>
      </w:r>
    </w:p>
    <w:p w:rsidR="00D92D9E" w:rsidRDefault="00D92D9E" w:rsidP="00D92D9E">
      <w:pPr>
        <w:spacing w:after="0" w:line="240" w:lineRule="auto"/>
        <w:ind w:left="720"/>
      </w:pPr>
      <w:r>
        <w:t>Becky Schwartz (Becky.Schwartz@fcc.gov)</w:t>
      </w:r>
    </w:p>
    <w:p w:rsidR="00D92D9E" w:rsidRDefault="00D92D9E" w:rsidP="00D92D9E">
      <w:pPr>
        <w:spacing w:after="0" w:line="240" w:lineRule="auto"/>
        <w:ind w:left="720"/>
      </w:pPr>
      <w:r>
        <w:t>Paul Powell (Paul.Powell@fcc.gov)</w:t>
      </w:r>
    </w:p>
    <w:p w:rsidR="00D92D9E" w:rsidRDefault="00D92D9E" w:rsidP="00D92D9E">
      <w:pPr>
        <w:spacing w:after="0" w:line="240" w:lineRule="auto"/>
        <w:ind w:left="720"/>
      </w:pPr>
    </w:p>
    <w:p w:rsidR="00D92D9E" w:rsidRDefault="00D92D9E" w:rsidP="00647CAC">
      <w:pPr>
        <w:spacing w:after="0" w:line="240" w:lineRule="auto"/>
        <w:ind w:left="720"/>
      </w:pPr>
    </w:p>
    <w:sectPr w:rsidR="00D92D9E" w:rsidSect="00512818">
      <w:headerReference w:type="even" r:id="rId8"/>
      <w:headerReference w:type="default" r:id="rId9"/>
      <w:footerReference w:type="even" r:id="rId10"/>
      <w:footerReference w:type="default" r:id="rId11"/>
      <w:headerReference w:type="first" r:id="rId12"/>
      <w:footerReference w:type="first" r:id="rId13"/>
      <w:pgSz w:w="12240" w:h="15840" w:code="1"/>
      <w:pgMar w:top="576" w:right="1440" w:bottom="864" w:left="1440" w:header="576"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539" w:rsidRDefault="009A6539" w:rsidP="009A6539">
      <w:pPr>
        <w:spacing w:after="0" w:line="240" w:lineRule="auto"/>
      </w:pPr>
      <w:r>
        <w:separator/>
      </w:r>
    </w:p>
  </w:endnote>
  <w:endnote w:type="continuationSeparator" w:id="0">
    <w:p w:rsidR="009A6539" w:rsidRDefault="009A6539" w:rsidP="009A6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D9E" w:rsidRDefault="00D92D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18" w:rsidRDefault="007578CC" w:rsidP="00512818">
    <w:pPr>
      <w:pStyle w:val="Header"/>
      <w:rPr>
        <w:rFonts w:ascii="Calibri" w:hAnsi="Calibri"/>
        <w:smallCaps/>
      </w:rPr>
    </w:pPr>
    <w:r w:rsidRPr="007578CC">
      <w:rPr>
        <w:noProof/>
        <w:sz w:val="12"/>
      </w:rPr>
      <w:t>{01326710-1 }</w:t>
    </w:r>
    <w:r w:rsidR="005933D9">
      <w:rPr>
        <w:noProof/>
        <w:sz w:val="12"/>
      </w:rPr>
      <w:tab/>
    </w:r>
    <w:r w:rsidR="003E2C0F">
      <w:rPr>
        <w:noProof/>
        <w:sz w:val="12"/>
      </w:rPr>
      <w:t xml:space="preserve">                                                              </w:t>
    </w:r>
    <w:r w:rsidR="00512818" w:rsidRPr="0094154C">
      <w:rPr>
        <w:rFonts w:ascii="Calibri" w:hAnsi="Calibri"/>
        <w:smallCaps/>
        <w:sz w:val="22"/>
      </w:rPr>
      <w:t>Fletcher, Heald &amp; Hildreth, PLC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18" w:rsidRDefault="007578CC" w:rsidP="00512818">
    <w:pPr>
      <w:pStyle w:val="Header"/>
      <w:rPr>
        <w:rFonts w:ascii="Calibri" w:hAnsi="Calibri"/>
        <w:smallCaps/>
      </w:rPr>
    </w:pPr>
    <w:r w:rsidRPr="007578CC">
      <w:rPr>
        <w:noProof/>
        <w:sz w:val="12"/>
      </w:rPr>
      <w:t>{01326710-1 }</w:t>
    </w:r>
    <w:r w:rsidR="00512818">
      <w:rPr>
        <w:noProof/>
        <w:sz w:val="12"/>
      </w:rPr>
      <w:tab/>
      <w:t xml:space="preserve">                                                    </w:t>
    </w:r>
    <w:r w:rsidR="00512818" w:rsidRPr="00512818">
      <w:rPr>
        <w:rFonts w:ascii="Calibri" w:hAnsi="Calibri"/>
        <w:smallCaps/>
        <w:sz w:val="22"/>
      </w:rPr>
      <w:t xml:space="preserve"> </w:t>
    </w:r>
    <w:r w:rsidR="00512818" w:rsidRPr="0094154C">
      <w:rPr>
        <w:rFonts w:ascii="Calibri" w:hAnsi="Calibri"/>
        <w:smallCaps/>
        <w:sz w:val="22"/>
      </w:rPr>
      <w:t>Fletcher, Heald &amp; Hildreth, PLC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539" w:rsidRDefault="009A6539" w:rsidP="009A6539">
      <w:pPr>
        <w:spacing w:after="0" w:line="240" w:lineRule="auto"/>
        <w:rPr>
          <w:noProof/>
        </w:rPr>
      </w:pPr>
      <w:r>
        <w:rPr>
          <w:noProof/>
        </w:rPr>
        <w:separator/>
      </w:r>
    </w:p>
  </w:footnote>
  <w:footnote w:type="continuationSeparator" w:id="0">
    <w:p w:rsidR="009A6539" w:rsidRDefault="009A6539" w:rsidP="009A6539">
      <w:pPr>
        <w:spacing w:after="0" w:line="240" w:lineRule="auto"/>
      </w:pPr>
      <w:r>
        <w:continuationSeparator/>
      </w:r>
    </w:p>
  </w:footnote>
  <w:footnote w:id="1">
    <w:p w:rsidR="009A6539" w:rsidRPr="00512818" w:rsidRDefault="009A6539">
      <w:pPr>
        <w:pStyle w:val="FootnoteText"/>
        <w:rPr>
          <w:sz w:val="19"/>
          <w:szCs w:val="19"/>
        </w:rPr>
      </w:pPr>
      <w:r>
        <w:rPr>
          <w:rStyle w:val="FootnoteReference"/>
        </w:rPr>
        <w:footnoteRef/>
      </w:r>
      <w:r>
        <w:t xml:space="preserve"> </w:t>
      </w:r>
      <w:r w:rsidRPr="00512818">
        <w:rPr>
          <w:sz w:val="19"/>
          <w:szCs w:val="19"/>
        </w:rPr>
        <w:t xml:space="preserve">See </w:t>
      </w:r>
      <w:r w:rsidRPr="00512818">
        <w:rPr>
          <w:i/>
          <w:sz w:val="19"/>
          <w:szCs w:val="19"/>
        </w:rPr>
        <w:t>DISH Network Corporation, Petition for Waiver of Sections 27.5(j) and 27.53(h)(2)(ii) of the Commission’s Rules and Request for Extension of Time</w:t>
      </w:r>
      <w:r w:rsidRPr="00512818">
        <w:rPr>
          <w:sz w:val="19"/>
          <w:szCs w:val="19"/>
        </w:rPr>
        <w:t>, WT Docket No. 13-225, FCC 18-123 (adopted Aug. 14, 2018; released Aug. 16, 2018) for a fuller description of the p</w:t>
      </w:r>
      <w:r w:rsidR="00F14830" w:rsidRPr="00512818">
        <w:rPr>
          <w:sz w:val="19"/>
          <w:szCs w:val="19"/>
        </w:rPr>
        <w:t>roceeding</w:t>
      </w:r>
      <w:r w:rsidRPr="00512818">
        <w:rPr>
          <w:sz w:val="19"/>
          <w:szCs w:val="19"/>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D9E" w:rsidRDefault="00D92D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3D9" w:rsidRDefault="005933D9" w:rsidP="005933D9">
    <w:pPr>
      <w:pStyle w:val="Header"/>
      <w:rPr>
        <w:lang w:val="es-ES"/>
      </w:rPr>
    </w:pPr>
    <w:r w:rsidRPr="000B0800">
      <w:rPr>
        <w:noProof/>
      </w:rPr>
      <w:drawing>
        <wp:inline distT="0" distB="0" distL="0" distR="0">
          <wp:extent cx="2286000" cy="190500"/>
          <wp:effectExtent l="0" t="0" r="0" b="0"/>
          <wp:docPr id="4" name="Picture 4" descr="C:\Users\victory\AppData\Local\Microsoft\Windows\Temporary Internet Files\Content.Word\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ctory\AppData\Local\Microsoft\Windows\Temporary Internet Files\Content.Word\c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190500"/>
                  </a:xfrm>
                  <a:prstGeom prst="rect">
                    <a:avLst/>
                  </a:prstGeom>
                  <a:noFill/>
                  <a:ln>
                    <a:noFill/>
                  </a:ln>
                </pic:spPr>
              </pic:pic>
            </a:graphicData>
          </a:graphic>
        </wp:inline>
      </w:drawing>
    </w:r>
  </w:p>
  <w:p w:rsidR="005933D9" w:rsidRPr="005933D9" w:rsidRDefault="005933D9" w:rsidP="005933D9">
    <w:pPr>
      <w:pStyle w:val="Header"/>
      <w:spacing w:before="60"/>
      <w:rPr>
        <w:rStyle w:val="PageNumber"/>
        <w:sz w:val="22"/>
        <w:szCs w:val="24"/>
      </w:rPr>
    </w:pPr>
    <w:r>
      <w:rPr>
        <w:rStyle w:val="PageNumber"/>
        <w:sz w:val="22"/>
        <w:szCs w:val="24"/>
      </w:rPr>
      <w:t xml:space="preserve"> </w:t>
    </w:r>
    <w:r w:rsidRPr="005933D9">
      <w:rPr>
        <w:rStyle w:val="PageNumber"/>
        <w:sz w:val="22"/>
        <w:szCs w:val="24"/>
      </w:rPr>
      <w:t>Ms. Marlene H. Dortch</w:t>
    </w:r>
  </w:p>
  <w:p w:rsidR="005933D9" w:rsidRPr="005933D9" w:rsidRDefault="005933D9" w:rsidP="005933D9">
    <w:pPr>
      <w:pStyle w:val="Header"/>
      <w:rPr>
        <w:rStyle w:val="PageNumber"/>
        <w:sz w:val="22"/>
        <w:szCs w:val="24"/>
      </w:rPr>
    </w:pPr>
    <w:r>
      <w:rPr>
        <w:rStyle w:val="PageNumber"/>
        <w:sz w:val="22"/>
        <w:szCs w:val="24"/>
      </w:rPr>
      <w:t xml:space="preserve"> </w:t>
    </w:r>
    <w:r w:rsidRPr="005933D9">
      <w:rPr>
        <w:rStyle w:val="PageNumber"/>
        <w:sz w:val="22"/>
        <w:szCs w:val="24"/>
      </w:rPr>
      <w:t>Secretary</w:t>
    </w:r>
  </w:p>
  <w:p w:rsidR="005933D9" w:rsidRPr="005933D9" w:rsidRDefault="005933D9" w:rsidP="005933D9">
    <w:pPr>
      <w:pStyle w:val="Header"/>
      <w:rPr>
        <w:rStyle w:val="PageNumber"/>
        <w:sz w:val="22"/>
        <w:szCs w:val="24"/>
      </w:rPr>
    </w:pPr>
    <w:r>
      <w:rPr>
        <w:rStyle w:val="PageNumber"/>
        <w:sz w:val="22"/>
        <w:szCs w:val="24"/>
      </w:rPr>
      <w:t xml:space="preserve"> </w:t>
    </w:r>
    <w:r w:rsidRPr="005933D9">
      <w:rPr>
        <w:rStyle w:val="PageNumber"/>
        <w:sz w:val="22"/>
        <w:szCs w:val="24"/>
      </w:rPr>
      <w:t>Federal Communications Commission</w:t>
    </w:r>
  </w:p>
  <w:p w:rsidR="005933D9" w:rsidRPr="005933D9" w:rsidRDefault="005933D9" w:rsidP="005933D9">
    <w:pPr>
      <w:pStyle w:val="Header"/>
      <w:rPr>
        <w:rStyle w:val="PageNumber"/>
        <w:sz w:val="22"/>
        <w:szCs w:val="24"/>
      </w:rPr>
    </w:pPr>
    <w:r>
      <w:rPr>
        <w:rStyle w:val="PageNumber"/>
        <w:sz w:val="22"/>
        <w:szCs w:val="24"/>
      </w:rPr>
      <w:t xml:space="preserve"> </w:t>
    </w:r>
    <w:r w:rsidRPr="005933D9">
      <w:rPr>
        <w:rStyle w:val="PageNumber"/>
        <w:sz w:val="22"/>
        <w:szCs w:val="24"/>
      </w:rPr>
      <w:t>June 25, 2019</w:t>
    </w:r>
  </w:p>
  <w:p w:rsidR="005933D9" w:rsidRPr="005933D9" w:rsidRDefault="005933D9" w:rsidP="005933D9">
    <w:pPr>
      <w:pStyle w:val="Header"/>
      <w:rPr>
        <w:rStyle w:val="PageNumber"/>
        <w:sz w:val="22"/>
        <w:szCs w:val="24"/>
      </w:rPr>
    </w:pPr>
    <w:r>
      <w:rPr>
        <w:rStyle w:val="PageNumber"/>
        <w:sz w:val="22"/>
        <w:szCs w:val="24"/>
      </w:rPr>
      <w:t xml:space="preserve"> </w:t>
    </w:r>
    <w:r w:rsidRPr="005933D9">
      <w:rPr>
        <w:rStyle w:val="PageNumber"/>
        <w:sz w:val="22"/>
        <w:szCs w:val="24"/>
      </w:rPr>
      <w:t xml:space="preserve">Page </w:t>
    </w:r>
    <w:r w:rsidRPr="005933D9">
      <w:rPr>
        <w:rStyle w:val="PageNumber"/>
        <w:sz w:val="22"/>
        <w:szCs w:val="24"/>
      </w:rPr>
      <w:fldChar w:fldCharType="begin"/>
    </w:r>
    <w:r w:rsidRPr="005933D9">
      <w:rPr>
        <w:rStyle w:val="PageNumber"/>
        <w:sz w:val="22"/>
        <w:szCs w:val="24"/>
      </w:rPr>
      <w:instrText xml:space="preserve"> PAGE   \* MERGEFORMAT </w:instrText>
    </w:r>
    <w:r w:rsidRPr="005933D9">
      <w:rPr>
        <w:rStyle w:val="PageNumber"/>
        <w:sz w:val="22"/>
        <w:szCs w:val="24"/>
      </w:rPr>
      <w:fldChar w:fldCharType="separate"/>
    </w:r>
    <w:r w:rsidR="007578CC">
      <w:rPr>
        <w:rStyle w:val="PageNumber"/>
        <w:noProof/>
        <w:sz w:val="22"/>
        <w:szCs w:val="24"/>
      </w:rPr>
      <w:t>2</w:t>
    </w:r>
    <w:r w:rsidRPr="005933D9">
      <w:rPr>
        <w:rStyle w:val="PageNumber"/>
        <w:noProof/>
        <w:sz w:val="22"/>
        <w:szCs w:val="24"/>
      </w:rPr>
      <w:fldChar w:fldCharType="end"/>
    </w:r>
  </w:p>
  <w:p w:rsidR="001640C5" w:rsidRDefault="001640C5">
    <w:pPr>
      <w:pStyle w:val="Header"/>
    </w:pPr>
  </w:p>
  <w:p w:rsidR="00512818" w:rsidRDefault="00512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D9E" w:rsidRDefault="00D92D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FF2"/>
    <w:rsid w:val="00092FF2"/>
    <w:rsid w:val="001640C5"/>
    <w:rsid w:val="001B3B80"/>
    <w:rsid w:val="003329EB"/>
    <w:rsid w:val="003E2C0F"/>
    <w:rsid w:val="00512818"/>
    <w:rsid w:val="005933D9"/>
    <w:rsid w:val="00647CAC"/>
    <w:rsid w:val="00696413"/>
    <w:rsid w:val="006A2809"/>
    <w:rsid w:val="007578CC"/>
    <w:rsid w:val="00844DFC"/>
    <w:rsid w:val="009A6539"/>
    <w:rsid w:val="00A156F8"/>
    <w:rsid w:val="00B23A18"/>
    <w:rsid w:val="00BD4117"/>
    <w:rsid w:val="00D92D9E"/>
    <w:rsid w:val="00E01E79"/>
    <w:rsid w:val="00F14830"/>
    <w:rsid w:val="00FD7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3212DD8E-5B51-40F5-B923-3D7ED213D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Arial"/>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A65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6539"/>
    <w:rPr>
      <w:sz w:val="20"/>
      <w:szCs w:val="20"/>
    </w:rPr>
  </w:style>
  <w:style w:type="character" w:styleId="FootnoteReference">
    <w:name w:val="footnote reference"/>
    <w:basedOn w:val="DefaultParagraphFont"/>
    <w:uiPriority w:val="99"/>
    <w:semiHidden/>
    <w:unhideWhenUsed/>
    <w:rsid w:val="009A6539"/>
    <w:rPr>
      <w:vertAlign w:val="superscript"/>
    </w:rPr>
  </w:style>
  <w:style w:type="paragraph" w:styleId="NoSpacing">
    <w:name w:val="No Spacing"/>
    <w:uiPriority w:val="1"/>
    <w:qFormat/>
    <w:rsid w:val="00F14830"/>
    <w:pPr>
      <w:spacing w:after="0" w:line="240" w:lineRule="auto"/>
    </w:pPr>
  </w:style>
  <w:style w:type="paragraph" w:styleId="Header">
    <w:name w:val="header"/>
    <w:basedOn w:val="Normal"/>
    <w:link w:val="HeaderChar"/>
    <w:uiPriority w:val="99"/>
    <w:unhideWhenUsed/>
    <w:rsid w:val="001640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40C5"/>
  </w:style>
  <w:style w:type="paragraph" w:styleId="Footer">
    <w:name w:val="footer"/>
    <w:basedOn w:val="Normal"/>
    <w:link w:val="FooterChar"/>
    <w:uiPriority w:val="99"/>
    <w:unhideWhenUsed/>
    <w:rsid w:val="001640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40C5"/>
  </w:style>
  <w:style w:type="paragraph" w:customStyle="1" w:styleId="Attorneys2-Subhead">
    <w:name w:val="#Attorneys2-Subhead"/>
    <w:basedOn w:val="Normal"/>
    <w:rsid w:val="005933D9"/>
    <w:pPr>
      <w:spacing w:after="0" w:line="240" w:lineRule="auto"/>
      <w:jc w:val="center"/>
    </w:pPr>
    <w:rPr>
      <w:rFonts w:ascii="Franklin Gothic Book" w:eastAsia="Times New Roman" w:hAnsi="Franklin Gothic Book" w:cs="Times New Roman"/>
      <w:smallCaps/>
      <w:sz w:val="13"/>
      <w:szCs w:val="12"/>
    </w:rPr>
  </w:style>
  <w:style w:type="paragraph" w:customStyle="1" w:styleId="Attorneys-Subhead">
    <w:name w:val="#Attorneys-Subhead"/>
    <w:basedOn w:val="Normal"/>
    <w:rsid w:val="005933D9"/>
    <w:pPr>
      <w:spacing w:after="20" w:line="240" w:lineRule="auto"/>
    </w:pPr>
    <w:rPr>
      <w:rFonts w:ascii="Franklin Gothic Book" w:eastAsia="Times New Roman" w:hAnsi="Franklin Gothic Book" w:cs="Times New Roman"/>
      <w:smallCaps/>
      <w:sz w:val="13"/>
      <w:szCs w:val="12"/>
    </w:rPr>
  </w:style>
  <w:style w:type="paragraph" w:customStyle="1" w:styleId="FirmAddress">
    <w:name w:val="#FirmAddress"/>
    <w:basedOn w:val="Normal"/>
    <w:rsid w:val="005933D9"/>
    <w:pPr>
      <w:spacing w:after="80" w:line="240" w:lineRule="auto"/>
      <w:jc w:val="center"/>
    </w:pPr>
    <w:rPr>
      <w:rFonts w:ascii="Franklin Gothic Book" w:eastAsia="Times New Roman" w:hAnsi="Franklin Gothic Book" w:cs="Times New Roman"/>
      <w:sz w:val="17"/>
      <w:szCs w:val="24"/>
    </w:rPr>
  </w:style>
  <w:style w:type="paragraph" w:customStyle="1" w:styleId="Attorneys">
    <w:name w:val="#Attorneys"/>
    <w:rsid w:val="005933D9"/>
    <w:pPr>
      <w:spacing w:after="20" w:line="240" w:lineRule="auto"/>
    </w:pPr>
    <w:rPr>
      <w:rFonts w:ascii="Franklin Gothic Book" w:eastAsia="Times New Roman" w:hAnsi="Franklin Gothic Book" w:cs="Times New Roman"/>
      <w:sz w:val="13"/>
      <w:szCs w:val="24"/>
    </w:rPr>
  </w:style>
  <w:style w:type="paragraph" w:customStyle="1" w:styleId="Attorneys2">
    <w:name w:val="#Attorneys2"/>
    <w:basedOn w:val="Attorneys"/>
    <w:rsid w:val="005933D9"/>
    <w:pPr>
      <w:spacing w:after="0"/>
      <w:jc w:val="center"/>
    </w:pPr>
  </w:style>
  <w:style w:type="character" w:styleId="PageNumber">
    <w:name w:val="page number"/>
    <w:basedOn w:val="DefaultParagraphFont"/>
    <w:rsid w:val="005933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31081-FC98-46F1-A7F1-83E687A29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3</Pages>
  <Words>657</Words>
  <Characters>3771</Characters>
  <Application>Microsoft Office Word</Application>
  <DocSecurity>0</DocSecurity>
  <PresentationFormat/>
  <Lines>118</Lines>
  <Paragraphs>62</Paragraphs>
  <ScaleCrop>false</ScaleCrop>
  <HeadingPairs>
    <vt:vector size="2" baseType="variant">
      <vt:variant>
        <vt:lpstr>Title</vt:lpstr>
      </vt:variant>
      <vt:variant>
        <vt:i4>1</vt:i4>
      </vt:variant>
    </vt:vector>
  </HeadingPairs>
  <TitlesOfParts>
    <vt:vector size="1" baseType="lpstr">
      <vt:lpstr>Ex parte Response to Ligado Ex parte (01326710).DOCX</vt:lpstr>
    </vt:vector>
  </TitlesOfParts>
  <Company>Hewlett-Packard Company</Company>
  <LinksUpToDate>false</LinksUpToDate>
  <CharactersWithSpaces>4401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 parte Response to Ligado Ex parte (01326710).DOCX</dc:title>
  <dc:subject>01326710-1 /font=6</dc:subject>
  <dc:creator>Donald Evans</dc:creator>
  <cp:keywords/>
  <dc:description/>
  <cp:lastModifiedBy>Michelle Johnson</cp:lastModifiedBy>
  <cp:revision>7</cp:revision>
  <cp:lastPrinted>2019-06-25T15:29:00Z</cp:lastPrinted>
  <dcterms:created xsi:type="dcterms:W3CDTF">2019-06-24T21:23:00Z</dcterms:created>
  <dcterms:modified xsi:type="dcterms:W3CDTF">2019-06-25T16:45:00Z</dcterms:modified>
</cp:coreProperties>
</file>