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514A" w:rsidRDefault="00B42B28">
      <w:pPr>
        <w:pStyle w:val="BodyText"/>
        <w:spacing w:before="76"/>
        <w:ind w:left="2153" w:right="2155"/>
        <w:jc w:val="center"/>
      </w:pPr>
      <w:r>
        <w:rPr>
          <w:w w:val="110"/>
        </w:rPr>
        <w:t>Before the</w:t>
      </w:r>
    </w:p>
    <w:p w:rsidR="007B514A" w:rsidRDefault="00B42B28">
      <w:pPr>
        <w:pStyle w:val="BodyText"/>
        <w:ind w:left="2153" w:right="2158"/>
        <w:jc w:val="center"/>
      </w:pPr>
      <w:r>
        <w:rPr>
          <w:w w:val="105"/>
        </w:rPr>
        <w:t>FEDERAL COMMUNICATIONS COMMISSION</w:t>
      </w:r>
    </w:p>
    <w:p w:rsidR="007B514A" w:rsidRDefault="00B42B28">
      <w:pPr>
        <w:pStyle w:val="BodyText"/>
        <w:ind w:left="2153" w:right="2153"/>
        <w:jc w:val="center"/>
      </w:pPr>
      <w:r>
        <w:rPr>
          <w:w w:val="105"/>
        </w:rPr>
        <w:t>Washington, DC 20554</w:t>
      </w:r>
    </w:p>
    <w:p w:rsidR="007B514A" w:rsidRDefault="007B514A">
      <w:pPr>
        <w:pStyle w:val="BodyText"/>
        <w:spacing w:before="7"/>
        <w:rPr>
          <w:sz w:val="23"/>
        </w:rPr>
      </w:pPr>
    </w:p>
    <w:p w:rsidR="007B514A" w:rsidRDefault="00B42B28">
      <w:pPr>
        <w:pStyle w:val="BodyText"/>
        <w:tabs>
          <w:tab w:val="left" w:pos="5137"/>
        </w:tabs>
        <w:ind w:left="100"/>
      </w:pPr>
      <w:r>
        <w:t>In the</w:t>
      </w:r>
      <w:r>
        <w:rPr>
          <w:spacing w:val="-3"/>
        </w:rPr>
        <w:t xml:space="preserve"> </w:t>
      </w:r>
      <w:r>
        <w:t>Matter</w:t>
      </w:r>
      <w:r>
        <w:rPr>
          <w:spacing w:val="-4"/>
        </w:rPr>
        <w:t xml:space="preserve"> </w:t>
      </w:r>
      <w:r>
        <w:t>of</w:t>
      </w:r>
      <w:r>
        <w:tab/>
        <w:t>)</w:t>
      </w:r>
    </w:p>
    <w:p w:rsidR="007B514A" w:rsidRDefault="00B42B28">
      <w:pPr>
        <w:pStyle w:val="BodyText"/>
        <w:ind w:left="799"/>
        <w:jc w:val="center"/>
      </w:pPr>
      <w:r>
        <w:rPr>
          <w:w w:val="99"/>
        </w:rPr>
        <w:t>)</w:t>
      </w:r>
    </w:p>
    <w:p w:rsidR="007B514A" w:rsidRDefault="00B42B28">
      <w:pPr>
        <w:pStyle w:val="BodyText"/>
        <w:tabs>
          <w:tab w:val="left" w:pos="5133"/>
          <w:tab w:val="left" w:pos="5852"/>
        </w:tabs>
        <w:ind w:left="100" w:right="1466"/>
      </w:pPr>
      <w:r>
        <w:t>Interpretation of the</w:t>
      </w:r>
      <w:r>
        <w:rPr>
          <w:spacing w:val="-9"/>
        </w:rPr>
        <w:t xml:space="preserve"> </w:t>
      </w:r>
      <w:r>
        <w:t>Telephone</w:t>
      </w:r>
      <w:r>
        <w:rPr>
          <w:spacing w:val="-3"/>
        </w:rPr>
        <w:t xml:space="preserve"> </w:t>
      </w:r>
      <w:r>
        <w:t>Consumer</w:t>
      </w:r>
      <w:r>
        <w:tab/>
        <w:t>)</w:t>
      </w:r>
      <w:r>
        <w:tab/>
        <w:t>CG Docket No. 18-152 Protection</w:t>
      </w:r>
      <w:r>
        <w:rPr>
          <w:spacing w:val="-3"/>
        </w:rPr>
        <w:t xml:space="preserve"> </w:t>
      </w:r>
      <w:r>
        <w:t>Act</w:t>
      </w:r>
      <w:r>
        <w:tab/>
        <w:t>)</w:t>
      </w:r>
      <w:r>
        <w:tab/>
        <w:t>CG Docket No.</w:t>
      </w:r>
      <w:r>
        <w:rPr>
          <w:spacing w:val="-8"/>
        </w:rPr>
        <w:t xml:space="preserve"> </w:t>
      </w:r>
      <w:r>
        <w:t>02-278</w:t>
      </w:r>
    </w:p>
    <w:p w:rsidR="007B514A" w:rsidRDefault="00B42B28">
      <w:pPr>
        <w:pStyle w:val="BodyText"/>
        <w:ind w:left="799"/>
        <w:jc w:val="center"/>
      </w:pPr>
      <w:r>
        <w:rPr>
          <w:w w:val="99"/>
        </w:rPr>
        <w:t>)</w:t>
      </w:r>
    </w:p>
    <w:p w:rsidR="007B514A" w:rsidRDefault="007B514A">
      <w:pPr>
        <w:pStyle w:val="BodyText"/>
        <w:spacing w:before="3"/>
      </w:pPr>
    </w:p>
    <w:p w:rsidR="007B514A" w:rsidRDefault="00B42B28">
      <w:pPr>
        <w:pStyle w:val="BodyText"/>
        <w:ind w:left="100"/>
      </w:pPr>
      <w:r>
        <w:t>To: Consumer and Governmental Affairs Bureau</w:t>
      </w:r>
    </w:p>
    <w:p w:rsidR="007B514A" w:rsidRDefault="007B514A">
      <w:pPr>
        <w:pStyle w:val="BodyText"/>
        <w:rPr>
          <w:sz w:val="26"/>
        </w:rPr>
      </w:pPr>
    </w:p>
    <w:p w:rsidR="007B514A" w:rsidRDefault="007B514A">
      <w:pPr>
        <w:pStyle w:val="BodyText"/>
        <w:rPr>
          <w:sz w:val="26"/>
        </w:rPr>
      </w:pPr>
    </w:p>
    <w:p w:rsidR="007B514A" w:rsidRDefault="007B514A">
      <w:pPr>
        <w:pStyle w:val="BodyText"/>
        <w:rPr>
          <w:sz w:val="26"/>
        </w:rPr>
      </w:pPr>
    </w:p>
    <w:p w:rsidR="007B514A" w:rsidRDefault="007B514A">
      <w:pPr>
        <w:pStyle w:val="BodyText"/>
        <w:spacing w:before="1"/>
        <w:rPr>
          <w:sz w:val="26"/>
        </w:rPr>
      </w:pPr>
    </w:p>
    <w:p w:rsidR="007B514A" w:rsidRDefault="00B42B28">
      <w:pPr>
        <w:pStyle w:val="BodyText"/>
        <w:ind w:left="2152" w:right="2158"/>
        <w:jc w:val="center"/>
      </w:pPr>
      <w:r>
        <w:rPr>
          <w:w w:val="105"/>
          <w:u w:val="thick"/>
        </w:rPr>
        <w:t xml:space="preserve">REPLY COMMENTS OF </w:t>
      </w:r>
      <w:r w:rsidR="00050682">
        <w:rPr>
          <w:w w:val="105"/>
          <w:u w:val="thick"/>
        </w:rPr>
        <w:t>SUE THE COLLECTOR</w:t>
      </w:r>
    </w:p>
    <w:p w:rsidR="007B514A" w:rsidRDefault="007B514A">
      <w:pPr>
        <w:pStyle w:val="BodyText"/>
        <w:spacing w:before="11"/>
        <w:rPr>
          <w:sz w:val="22"/>
        </w:rPr>
      </w:pPr>
    </w:p>
    <w:p w:rsidR="007B514A" w:rsidRDefault="00050682">
      <w:pPr>
        <w:pStyle w:val="BodyText"/>
        <w:spacing w:before="89" w:line="480" w:lineRule="auto"/>
        <w:ind w:left="100" w:right="90" w:firstLine="720"/>
      </w:pPr>
      <w:r>
        <w:t>The FCC must act to define all Auto-Dialers, including HTC-</w:t>
      </w:r>
      <w:proofErr w:type="spellStart"/>
      <w:r>
        <w:t>LiveVox</w:t>
      </w:r>
      <w:proofErr w:type="spellEnd"/>
      <w:r>
        <w:t xml:space="preserve"> and similar technologies as an Automated Telephone Dialing System. </w:t>
      </w:r>
      <w:r>
        <w:br/>
        <w:t xml:space="preserve">Here’s why. </w:t>
      </w:r>
      <w:r>
        <w:br/>
        <w:t xml:space="preserve">Consumers wish to preserve their privacy and sanity by not being bombarded by phone calls from debt collectors, banks, telemarketing companies and others that have not comported to the users consent. Such volume of calls only serves to benefit these organizations that profit from their shameless repetitive calling schemes and in the end, customers are victimized all day by unwanted calls that attempt to collect debts that cannot be proven to be valid over a phone call, to obtain money from unsuspecting marketing scam victims and to harass and annoy customers that wish to simply be left alone. Without a doubt, the FCC must enforce the original concept of the Telephone Consumer Protection Act as it was amended in 2014, to punish companies that want to call mobile devices repeatedly without consent causing massive financial ruin to millions of Americans. Consumers are already fed up with debt collectors calling people on mobile phones at all hours of the night. Debt collectors, especially third party, cannot validate debts over the phone and that’s why calls to attempt debt collections using an ATDS or any equipment or </w:t>
      </w:r>
      <w:r>
        <w:lastRenderedPageBreak/>
        <w:t xml:space="preserve">software that dials telephone numbers with or without human intervention must comport to the Telephone Consumer Protection act and American consumers alike should be given the right to request to have those calls stop and validate the debts using the mail only. Given the high number of scam calls today to American consumers, consumers cannot easily distinguish between a call that intends to scam a person and a debt collector that is purporting to collect a debt that may not even be valid. The FCC owes the American consumer a right to have their phones free of harassing and annoying calls. </w:t>
      </w:r>
    </w:p>
    <w:p w:rsidR="00050682" w:rsidRDefault="00050682">
      <w:pPr>
        <w:pStyle w:val="BodyText"/>
        <w:spacing w:before="89" w:line="480" w:lineRule="auto"/>
        <w:ind w:left="100" w:right="90" w:firstLine="720"/>
      </w:pPr>
    </w:p>
    <w:p w:rsidR="00050682" w:rsidRDefault="00050682">
      <w:pPr>
        <w:pStyle w:val="BodyText"/>
        <w:spacing w:before="89" w:line="480" w:lineRule="auto"/>
        <w:ind w:left="100" w:right="90" w:firstLine="720"/>
      </w:pPr>
      <w:r>
        <w:t xml:space="preserve">The industry, led by the ACA international wishes to get rid of the Telephone Consumer Protection Act altogether. Their intent to do so is driven to help scammers, outright fraudulent actors and debt collection companies that have been repeatedly sued because of their abusive tactics towards American consumers. The ACA international wishes to promote financial harm on American consumers by allowing criminals, felons and the like to prey upon consumers by dismantling the Telephone Consumer Protection Act. The ACA International is a for-profit company that has spent millions of dollars to lobby congress to accept bribes and gifts to allow their 155,000 members, all debt collectors, to now unleash </w:t>
      </w:r>
      <w:r w:rsidR="00551549">
        <w:t xml:space="preserve">war upon the American consumer in order to financially benefit. </w:t>
      </w:r>
    </w:p>
    <w:p w:rsidR="00551549" w:rsidRDefault="00551549">
      <w:pPr>
        <w:pStyle w:val="BodyText"/>
        <w:spacing w:before="89" w:line="480" w:lineRule="auto"/>
        <w:ind w:left="100" w:right="90" w:firstLine="720"/>
      </w:pPr>
      <w:r>
        <w:t xml:space="preserve">The FCC needs to stop for-profit companies like the ACA International from directly affecting the rights of Americans for their own selfish gain. The ACA International, which is directly tied to Travelers Insurance based out of Minneapolis, MN, wishes to allow all consumers to be needlessly bombarded by calls by </w:t>
      </w:r>
      <w:proofErr w:type="spellStart"/>
      <w:r>
        <w:t>declassifing</w:t>
      </w:r>
      <w:proofErr w:type="spellEnd"/>
      <w:r>
        <w:t xml:space="preserve"> all Automatic Dialing Technologies as Automated Telephone Dialing Systems. Allowing them to get away with this is unjust to the American people and only serves a board of directors that heads the ACA International and allows them to profit on the poor and needy in America. </w:t>
      </w:r>
    </w:p>
    <w:p w:rsidR="007B514A" w:rsidRDefault="00B42B28">
      <w:pPr>
        <w:pStyle w:val="BodyText"/>
        <w:ind w:left="3700"/>
      </w:pPr>
      <w:r>
        <w:lastRenderedPageBreak/>
        <w:t>Respectfully submitted,</w:t>
      </w:r>
    </w:p>
    <w:p w:rsidR="007B514A" w:rsidRDefault="007B514A">
      <w:pPr>
        <w:pStyle w:val="BodyText"/>
        <w:spacing w:before="4"/>
      </w:pPr>
    </w:p>
    <w:p w:rsidR="007B514A" w:rsidRDefault="00551549">
      <w:pPr>
        <w:pStyle w:val="BodyText"/>
        <w:spacing w:before="1"/>
        <w:ind w:left="3700"/>
      </w:pPr>
      <w:r>
        <w:rPr>
          <w:w w:val="105"/>
        </w:rPr>
        <w:t>SUE THE COLLECTOR, INC</w:t>
      </w:r>
    </w:p>
    <w:p w:rsidR="007B514A" w:rsidRDefault="007B514A">
      <w:pPr>
        <w:pStyle w:val="BodyText"/>
        <w:rPr>
          <w:sz w:val="26"/>
        </w:rPr>
      </w:pPr>
    </w:p>
    <w:p w:rsidR="007B514A" w:rsidRDefault="007B514A">
      <w:pPr>
        <w:pStyle w:val="BodyText"/>
        <w:spacing w:before="6"/>
        <w:rPr>
          <w:sz w:val="21"/>
        </w:rPr>
      </w:pPr>
    </w:p>
    <w:p w:rsidR="007B514A" w:rsidRDefault="00B42B28">
      <w:pPr>
        <w:pStyle w:val="BodyText"/>
        <w:tabs>
          <w:tab w:val="left" w:pos="5422"/>
          <w:tab w:val="left" w:pos="7208"/>
        </w:tabs>
        <w:ind w:left="3700" w:right="2349"/>
      </w:pPr>
      <w:r>
        <w:rPr>
          <w:spacing w:val="-2"/>
        </w:rPr>
        <w:t>By:</w:t>
      </w:r>
      <w:r>
        <w:t xml:space="preserve"> _</w:t>
      </w:r>
      <w:r>
        <w:rPr>
          <w:u w:val="single"/>
        </w:rPr>
        <w:t xml:space="preserve"> </w:t>
      </w:r>
      <w:r>
        <w:rPr>
          <w:u w:val="single"/>
        </w:rPr>
        <w:tab/>
        <w:t>/s/</w:t>
      </w:r>
      <w:r>
        <w:rPr>
          <w:u w:val="single"/>
        </w:rPr>
        <w:tab/>
      </w:r>
      <w:r>
        <w:t xml:space="preserve"> </w:t>
      </w:r>
      <w:r w:rsidR="00551549">
        <w:t>JARRED D. JOHNSON</w:t>
      </w:r>
    </w:p>
    <w:p w:rsidR="007B514A" w:rsidRDefault="00551549" w:rsidP="00551549">
      <w:pPr>
        <w:pStyle w:val="BodyText"/>
        <w:ind w:left="3700" w:right="2461"/>
      </w:pPr>
      <w:r>
        <w:t>Student At-Law</w:t>
      </w:r>
      <w:r w:rsidR="00B42B28">
        <w:t xml:space="preserve">, </w:t>
      </w:r>
      <w:r>
        <w:t xml:space="preserve">SUE THE COLLECTOR INC. </w:t>
      </w:r>
    </w:p>
    <w:p w:rsidR="00551549" w:rsidRDefault="00551549" w:rsidP="00551549">
      <w:pPr>
        <w:pStyle w:val="BodyText"/>
        <w:ind w:left="3700" w:right="2461"/>
      </w:pPr>
      <w:r>
        <w:t>142 5</w:t>
      </w:r>
      <w:r w:rsidRPr="00551549">
        <w:rPr>
          <w:vertAlign w:val="superscript"/>
        </w:rPr>
        <w:t>th</w:t>
      </w:r>
      <w:r>
        <w:t xml:space="preserve"> Ave North, Suite B</w:t>
      </w:r>
    </w:p>
    <w:p w:rsidR="00551549" w:rsidRDefault="00551549" w:rsidP="00551549">
      <w:pPr>
        <w:pStyle w:val="BodyText"/>
        <w:ind w:left="3700" w:right="2461"/>
      </w:pPr>
      <w:r>
        <w:t>FRANKLIN, TN 37064</w:t>
      </w:r>
    </w:p>
    <w:p w:rsidR="00551549" w:rsidRDefault="00551549" w:rsidP="00551549">
      <w:pPr>
        <w:pStyle w:val="BodyText"/>
        <w:ind w:left="3700" w:right="2461"/>
        <w:rPr>
          <w:sz w:val="22"/>
        </w:rPr>
      </w:pPr>
    </w:p>
    <w:p w:rsidR="007B514A" w:rsidRDefault="007B514A">
      <w:pPr>
        <w:pStyle w:val="BodyText"/>
        <w:rPr>
          <w:sz w:val="26"/>
        </w:rPr>
      </w:pPr>
      <w:bookmarkStart w:id="0" w:name="_GoBack"/>
      <w:bookmarkEnd w:id="0"/>
    </w:p>
    <w:p w:rsidR="007B514A" w:rsidRDefault="007B514A">
      <w:pPr>
        <w:pStyle w:val="BodyText"/>
        <w:spacing w:before="11"/>
        <w:rPr>
          <w:sz w:val="21"/>
        </w:rPr>
      </w:pPr>
    </w:p>
    <w:p w:rsidR="007B514A" w:rsidRDefault="00B42B28">
      <w:pPr>
        <w:pStyle w:val="BodyText"/>
        <w:ind w:left="100"/>
      </w:pPr>
      <w:r>
        <w:t>Dated: June 28, 2018</w:t>
      </w:r>
    </w:p>
    <w:sectPr w:rsidR="007B514A">
      <w:footerReference w:type="default" r:id="rId7"/>
      <w:pgSz w:w="12240" w:h="15840"/>
      <w:pgMar w:top="1360" w:right="1340" w:bottom="1240" w:left="1340" w:header="0" w:footer="104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2B28" w:rsidRDefault="00B42B28">
      <w:r>
        <w:separator/>
      </w:r>
    </w:p>
  </w:endnote>
  <w:endnote w:type="continuationSeparator" w:id="0">
    <w:p w:rsidR="00B42B28" w:rsidRDefault="00B42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514A" w:rsidRDefault="00050682">
    <w:pPr>
      <w:pStyle w:val="BodyText"/>
      <w:spacing w:line="14" w:lineRule="auto"/>
      <w:rPr>
        <w:sz w:val="20"/>
      </w:rPr>
    </w:pPr>
    <w:r>
      <w:rPr>
        <w:noProof/>
      </w:rPr>
      <mc:AlternateContent>
        <mc:Choice Requires="wps">
          <w:drawing>
            <wp:anchor distT="0" distB="0" distL="114300" distR="114300" simplePos="0" relativeHeight="503311952" behindDoc="1" locked="0" layoutInCell="1" allowOverlap="1">
              <wp:simplePos x="0" y="0"/>
              <wp:positionH relativeFrom="page">
                <wp:posOffset>3825875</wp:posOffset>
              </wp:positionH>
              <wp:positionV relativeFrom="page">
                <wp:posOffset>9253220</wp:posOffset>
              </wp:positionV>
              <wp:extent cx="121920" cy="180975"/>
              <wp:effectExtent l="0" t="0" r="0" b="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192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14A" w:rsidRDefault="00B42B28">
                          <w:pPr>
                            <w:spacing w:before="11"/>
                            <w:ind w:left="40"/>
                          </w:pPr>
                          <w:r>
                            <w:fldChar w:fldCharType="begin"/>
                          </w:r>
                          <w:r>
                            <w:rPr>
                              <w:w w:val="101"/>
                            </w:rPr>
                            <w:instrText xml:space="preserve"> PAGE </w:instrText>
                          </w:r>
                          <w:r>
                            <w:fldChar w:fldCharType="separate"/>
                          </w:r>
                          <w: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01.25pt;margin-top:728.6pt;width:9.6pt;height:14.25pt;z-index:-4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" filled="f" stroked="f">
              <v:path arrowok="t"/>
              <v:textbox inset="0,0,0,0">
                <w:txbxContent>
                  <w:p w:rsidR="007B514A" w:rsidRDefault="00B42B28">
                    <w:pPr>
                      <w:spacing w:before="11"/>
                      <w:ind w:left="40"/>
                    </w:pPr>
                    <w:r>
                      <w:fldChar w:fldCharType="begin"/>
                    </w:r>
                    <w:r>
                      <w:rPr>
                        <w:w w:val="101"/>
                      </w:rPr>
                      <w:instrText xml:space="preserve"> PAGE </w:instrText>
                    </w:r>
                    <w:r>
                      <w:fldChar w:fldCharType="separate"/>
                    </w:r>
                    <w:r>
                      <w:t>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2B28" w:rsidRDefault="00B42B28">
      <w:r>
        <w:separator/>
      </w:r>
    </w:p>
  </w:footnote>
  <w:footnote w:type="continuationSeparator" w:id="0">
    <w:p w:rsidR="00B42B28" w:rsidRDefault="00B42B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7264C2"/>
    <w:multiLevelType w:val="hybridMultilevel"/>
    <w:tmpl w:val="5B50A6C6"/>
    <w:lvl w:ilvl="0" w:tplc="92427D1A">
      <w:start w:val="1"/>
      <w:numFmt w:val="decimal"/>
      <w:lvlText w:val="%1."/>
      <w:lvlJc w:val="left"/>
      <w:pPr>
        <w:ind w:left="820" w:hanging="360"/>
        <w:jc w:val="left"/>
      </w:pPr>
      <w:rPr>
        <w:rFonts w:ascii="Times New Roman" w:eastAsia="Times New Roman" w:hAnsi="Times New Roman" w:cs="Times New Roman" w:hint="default"/>
        <w:w w:val="99"/>
        <w:sz w:val="24"/>
        <w:szCs w:val="24"/>
      </w:rPr>
    </w:lvl>
    <w:lvl w:ilvl="1" w:tplc="CB341AA6">
      <w:numFmt w:val="bullet"/>
      <w:lvlText w:val="•"/>
      <w:lvlJc w:val="left"/>
      <w:pPr>
        <w:ind w:left="1694" w:hanging="360"/>
      </w:pPr>
      <w:rPr>
        <w:rFonts w:hint="default"/>
      </w:rPr>
    </w:lvl>
    <w:lvl w:ilvl="2" w:tplc="BBF09940">
      <w:numFmt w:val="bullet"/>
      <w:lvlText w:val="•"/>
      <w:lvlJc w:val="left"/>
      <w:pPr>
        <w:ind w:left="2568" w:hanging="360"/>
      </w:pPr>
      <w:rPr>
        <w:rFonts w:hint="default"/>
      </w:rPr>
    </w:lvl>
    <w:lvl w:ilvl="3" w:tplc="A65EF370">
      <w:numFmt w:val="bullet"/>
      <w:lvlText w:val="•"/>
      <w:lvlJc w:val="left"/>
      <w:pPr>
        <w:ind w:left="3442" w:hanging="360"/>
      </w:pPr>
      <w:rPr>
        <w:rFonts w:hint="default"/>
      </w:rPr>
    </w:lvl>
    <w:lvl w:ilvl="4" w:tplc="BFDCDFFA">
      <w:numFmt w:val="bullet"/>
      <w:lvlText w:val="•"/>
      <w:lvlJc w:val="left"/>
      <w:pPr>
        <w:ind w:left="4316" w:hanging="360"/>
      </w:pPr>
      <w:rPr>
        <w:rFonts w:hint="default"/>
      </w:rPr>
    </w:lvl>
    <w:lvl w:ilvl="5" w:tplc="1C1A95D6">
      <w:numFmt w:val="bullet"/>
      <w:lvlText w:val="•"/>
      <w:lvlJc w:val="left"/>
      <w:pPr>
        <w:ind w:left="5190" w:hanging="360"/>
      </w:pPr>
      <w:rPr>
        <w:rFonts w:hint="default"/>
      </w:rPr>
    </w:lvl>
    <w:lvl w:ilvl="6" w:tplc="D1E6119A">
      <w:numFmt w:val="bullet"/>
      <w:lvlText w:val="•"/>
      <w:lvlJc w:val="left"/>
      <w:pPr>
        <w:ind w:left="6064" w:hanging="360"/>
      </w:pPr>
      <w:rPr>
        <w:rFonts w:hint="default"/>
      </w:rPr>
    </w:lvl>
    <w:lvl w:ilvl="7" w:tplc="A54E4DD8">
      <w:numFmt w:val="bullet"/>
      <w:lvlText w:val="•"/>
      <w:lvlJc w:val="left"/>
      <w:pPr>
        <w:ind w:left="6938" w:hanging="360"/>
      </w:pPr>
      <w:rPr>
        <w:rFonts w:hint="default"/>
      </w:rPr>
    </w:lvl>
    <w:lvl w:ilvl="8" w:tplc="EA149EAE">
      <w:numFmt w:val="bullet"/>
      <w:lvlText w:val="•"/>
      <w:lvlJc w:val="left"/>
      <w:pPr>
        <w:ind w:left="7812"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3"/>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14A"/>
    <w:rsid w:val="00026BB0"/>
    <w:rsid w:val="00050682"/>
    <w:rsid w:val="00551549"/>
    <w:rsid w:val="007B514A"/>
    <w:rsid w:val="00B42B2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5671DF"/>
  <w15:docId w15:val="{852C0AE7-5380-4941-BDCE-19DFD2BEF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5"/>
      <w:ind w:left="820" w:hanging="360"/>
    </w:pPr>
    <w:rPr>
      <w:u w:val="single" w:color="000000"/>
    </w:r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555</Words>
  <Characters>3165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Microsoft Word - TF Reply Comment 6 28 18</vt:lpstr>
    </vt:vector>
  </TitlesOfParts>
  <Company/>
  <LinksUpToDate>false</LinksUpToDate>
  <CharactersWithSpaces>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TF Reply Comment 6 28 18</dc:title>
  <dc:creator>Jim</dc:creator>
  <cp:lastModifiedBy>Jarred Johnson</cp:lastModifiedBy>
  <cp:revision>2</cp:revision>
  <dcterms:created xsi:type="dcterms:W3CDTF">2018-06-28T19:27:00Z</dcterms:created>
  <dcterms:modified xsi:type="dcterms:W3CDTF">2018-06-28T19:27:00Z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2018-06-28T00:00:00Z</vt:filetime>
  </property>
  <property fmtid="{D5CDD505-2E9C-101B-9397-08002B2CF9AE}" pid="3" name="LastSaved">
    <vt:filetime>2018-06-28T00:00:00Z</vt:filetime>
  </property>
</Properties>
</file>