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horzAnchor="margin" w:tblpY="-71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47"/>
      </w:tblGrid>
      <w:tr w:rsidR="008E7DA5" w:rsidRPr="004D1970" w14:paraId="4AE54057" w14:textId="77777777">
        <w:trPr>
          <w:trHeight w:val="907"/>
        </w:trPr>
        <w:tc>
          <w:tcPr>
            <w:tcW w:w="4247" w:type="dxa"/>
          </w:tcPr>
          <w:p w14:paraId="0C343BC2" w14:textId="156C522B" w:rsidR="008E7DA5" w:rsidRPr="00B51DE0" w:rsidRDefault="00533E13" w:rsidP="00533E13">
            <w:pPr>
              <w:pStyle w:val="BodyText"/>
              <w:ind w:left="0"/>
              <w:jc w:val="left"/>
              <w:rPr>
                <w:rFonts w:ascii="Georgia" w:hAnsi="Georgia"/>
                <w:sz w:val="22"/>
                <w:szCs w:val="22"/>
              </w:rPr>
            </w:pPr>
            <w:r w:rsidRPr="00B51DE0">
              <w:rPr>
                <w:rFonts w:ascii="Georgia" w:hAnsi="Georgia"/>
                <w:sz w:val="22"/>
                <w:szCs w:val="22"/>
              </w:rPr>
              <w:t>Barbara Galardo</w:t>
            </w:r>
            <w:r w:rsidR="008E7DA5" w:rsidRPr="00B51DE0">
              <w:rPr>
                <w:sz w:val="22"/>
                <w:szCs w:val="22"/>
              </w:rPr>
              <w:br/>
            </w:r>
            <w:r w:rsidR="009A60D3">
              <w:rPr>
                <w:rFonts w:ascii="Georgia" w:hAnsi="Georgia"/>
                <w:sz w:val="22"/>
                <w:szCs w:val="22"/>
              </w:rPr>
              <w:t>5</w:t>
            </w:r>
            <w:r w:rsidRPr="00B51DE0">
              <w:rPr>
                <w:rFonts w:ascii="Georgia" w:hAnsi="Georgia"/>
                <w:sz w:val="22"/>
                <w:szCs w:val="22"/>
              </w:rPr>
              <w:t xml:space="preserve"> Davis Farm Rd</w:t>
            </w:r>
            <w:r w:rsidR="008E7DA5" w:rsidRPr="00B51DE0">
              <w:rPr>
                <w:rFonts w:ascii="Georgia" w:hAnsi="Georgia"/>
                <w:sz w:val="22"/>
                <w:szCs w:val="22"/>
              </w:rPr>
              <w:br/>
            </w:r>
            <w:r w:rsidRPr="00B51DE0">
              <w:rPr>
                <w:rFonts w:ascii="Georgia" w:hAnsi="Georgia"/>
                <w:sz w:val="22"/>
                <w:szCs w:val="22"/>
              </w:rPr>
              <w:t>Portland, ME  04102</w:t>
            </w:r>
          </w:p>
        </w:tc>
      </w:tr>
    </w:tbl>
    <w:p w14:paraId="57E232A7" w14:textId="77777777" w:rsidR="008E7DA5" w:rsidRPr="004D1970" w:rsidRDefault="008E7DA5" w:rsidP="008E7DA5">
      <w:pPr>
        <w:pStyle w:val="BodyText"/>
        <w:ind w:left="0"/>
      </w:pPr>
    </w:p>
    <w:p w14:paraId="3D5A971F" w14:textId="7B1EEE78" w:rsidR="003C0CD6" w:rsidRPr="003C0CD6" w:rsidRDefault="003C0CD6" w:rsidP="003C0CD6">
      <w:pPr>
        <w:autoSpaceDE w:val="0"/>
        <w:autoSpaceDN w:val="0"/>
        <w:adjustRightInd w:val="0"/>
        <w:ind w:left="0"/>
        <w:jc w:val="center"/>
        <w:rPr>
          <w:rFonts w:asciiTheme="minorHAnsi" w:eastAsiaTheme="minorHAnsi" w:hAnsiTheme="minorHAnsi" w:cstheme="minorBidi"/>
          <w:b/>
          <w:spacing w:val="0"/>
          <w:sz w:val="24"/>
          <w:szCs w:val="24"/>
        </w:rPr>
      </w:pPr>
      <w:r w:rsidRPr="003C0CD6"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>CONFIDENTIAL INFORMATION –– SUBJECT TO PROTECTIVE ORDER IN WC DOCKET NOS. 14-58, 10-90,</w:t>
      </w:r>
    </w:p>
    <w:p w14:paraId="6AE48D91" w14:textId="6CAF59E4" w:rsidR="003C0CD6" w:rsidRPr="003C0CD6" w:rsidRDefault="003C0CD6" w:rsidP="003C0CD6">
      <w:pPr>
        <w:spacing w:after="200" w:line="276" w:lineRule="auto"/>
        <w:ind w:left="0"/>
        <w:jc w:val="center"/>
        <w:rPr>
          <w:rFonts w:ascii="Calibri" w:eastAsia="Calibri" w:hAnsi="Calibri"/>
          <w:b/>
          <w:spacing w:val="0"/>
          <w:sz w:val="24"/>
          <w:szCs w:val="24"/>
        </w:rPr>
      </w:pPr>
      <w:r w:rsidRPr="003C0CD6"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 xml:space="preserve">31 FCC </w:t>
      </w:r>
      <w:proofErr w:type="spellStart"/>
      <w:r w:rsidRPr="003C0CD6"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>Rcd</w:t>
      </w:r>
      <w:proofErr w:type="spellEnd"/>
      <w:r w:rsidRPr="003C0CD6"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 xml:space="preserve"> 2089 (WCB 2016</w:t>
      </w:r>
      <w:r w:rsidRPr="003C0CD6">
        <w:rPr>
          <w:rFonts w:asciiTheme="minorHAnsi" w:eastAsiaTheme="minorHAnsi" w:hAnsiTheme="minorHAnsi" w:cstheme="minorBidi"/>
          <w:b/>
          <w:color w:val="000000"/>
          <w:spacing w:val="0"/>
          <w:sz w:val="24"/>
          <w:szCs w:val="24"/>
        </w:rPr>
        <w:t xml:space="preserve">) </w:t>
      </w:r>
      <w:r w:rsidRPr="003C0CD6">
        <w:rPr>
          <w:rFonts w:asciiTheme="minorHAnsi" w:eastAsiaTheme="minorHAnsi" w:hAnsiTheme="minorHAnsi" w:cstheme="minorBidi"/>
          <w:b/>
          <w:spacing w:val="0"/>
          <w:sz w:val="24"/>
          <w:szCs w:val="24"/>
        </w:rPr>
        <w:t>BEFORE THE FEDERAL COMMUNICATIONS COMMISSION</w:t>
      </w:r>
    </w:p>
    <w:p w14:paraId="7FCA8DAC" w14:textId="77777777" w:rsidR="00DC612A" w:rsidRDefault="00DC612A" w:rsidP="003C0CD6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6871832F" w14:textId="4C9DBDB2" w:rsidR="00533E13" w:rsidRPr="00B51DE0" w:rsidRDefault="009A60D3" w:rsidP="003C0CD6">
      <w:pPr>
        <w:spacing w:after="200" w:line="276" w:lineRule="auto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June 27, 2018</w:t>
      </w:r>
    </w:p>
    <w:p w14:paraId="65C295FC" w14:textId="77777777" w:rsidR="00533E13" w:rsidRPr="00B51DE0" w:rsidRDefault="00B51DE0" w:rsidP="00533E13">
      <w:pPr>
        <w:spacing w:after="200" w:line="276" w:lineRule="auto"/>
        <w:ind w:left="0"/>
        <w:rPr>
          <w:rFonts w:ascii="Calibri" w:eastAsia="Calibri" w:hAnsi="Calibri"/>
          <w:b/>
          <w:spacing w:val="0"/>
          <w:sz w:val="24"/>
          <w:szCs w:val="24"/>
          <w:u w:val="single"/>
        </w:rPr>
      </w:pPr>
      <w:r>
        <w:rPr>
          <w:rFonts w:ascii="Calibri" w:eastAsia="Calibri" w:hAnsi="Calibri"/>
          <w:b/>
          <w:spacing w:val="0"/>
          <w:sz w:val="24"/>
          <w:szCs w:val="24"/>
          <w:u w:val="single"/>
        </w:rPr>
        <w:t>By Hand</w:t>
      </w:r>
    </w:p>
    <w:p w14:paraId="7500E4AC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Marlene H. Dortch</w:t>
      </w:r>
    </w:p>
    <w:p w14:paraId="3E518B8D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Secretary</w:t>
      </w:r>
    </w:p>
    <w:p w14:paraId="59637DCF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Federal Communications Commission</w:t>
      </w:r>
    </w:p>
    <w:p w14:paraId="58DE4304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445 12</w:t>
      </w:r>
      <w:r w:rsidRPr="00B51DE0">
        <w:rPr>
          <w:rFonts w:ascii="Calibri" w:eastAsia="Calibri" w:hAnsi="Calibri"/>
          <w:spacing w:val="0"/>
          <w:sz w:val="24"/>
          <w:szCs w:val="24"/>
          <w:vertAlign w:val="superscript"/>
        </w:rPr>
        <w:t>th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St., S.W. </w:t>
      </w:r>
    </w:p>
    <w:p w14:paraId="61BDE1F8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Washington, D.C.  20554</w:t>
      </w:r>
    </w:p>
    <w:p w14:paraId="4C92C80D" w14:textId="77777777" w:rsidR="00533E13" w:rsidRPr="00B51DE0" w:rsidRDefault="00533E13" w:rsidP="00533E13">
      <w:pPr>
        <w:spacing w:after="200"/>
        <w:ind w:left="0"/>
        <w:contextualSpacing/>
        <w:rPr>
          <w:rFonts w:ascii="Calibri" w:eastAsia="Calibri" w:hAnsi="Calibri"/>
          <w:spacing w:val="0"/>
          <w:sz w:val="24"/>
          <w:szCs w:val="24"/>
        </w:rPr>
      </w:pPr>
    </w:p>
    <w:p w14:paraId="36117636" w14:textId="6614E3A6" w:rsidR="00533E13" w:rsidRPr="00B51DE0" w:rsidRDefault="00533E13" w:rsidP="00B51DE0">
      <w:pPr>
        <w:spacing w:after="200"/>
        <w:ind w:left="720" w:hanging="720"/>
        <w:contextualSpacing/>
        <w:rPr>
          <w:rFonts w:ascii="Calibri" w:eastAsia="Calibri" w:hAnsi="Calibri"/>
          <w:i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RE:  </w:t>
      </w:r>
      <w:r w:rsidR="00B51DE0">
        <w:rPr>
          <w:rFonts w:ascii="Calibri" w:eastAsia="Calibri" w:hAnsi="Calibri"/>
          <w:spacing w:val="0"/>
          <w:sz w:val="24"/>
          <w:szCs w:val="24"/>
        </w:rPr>
        <w:tab/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Connect America Fund, </w:t>
      </w:r>
      <w:r w:rsidR="00B51DE0">
        <w:rPr>
          <w:rFonts w:ascii="Calibri" w:eastAsia="Calibri" w:hAnsi="Calibri"/>
          <w:spacing w:val="0"/>
          <w:sz w:val="24"/>
          <w:szCs w:val="24"/>
        </w:rPr>
        <w:t>WC Docket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No. 10-90</w:t>
      </w:r>
      <w:proofErr w:type="gramStart"/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; </w:t>
      </w:r>
      <w:r w:rsidR="00B51DE0">
        <w:rPr>
          <w:rFonts w:ascii="Calibri" w:eastAsia="Calibri" w:hAnsi="Calibri"/>
          <w:i/>
          <w:spacing w:val="0"/>
          <w:sz w:val="24"/>
          <w:szCs w:val="24"/>
        </w:rPr>
        <w:t xml:space="preserve"> </w:t>
      </w:r>
      <w:proofErr w:type="gramEnd"/>
      <w:r w:rsidR="00B51DE0">
        <w:rPr>
          <w:rFonts w:ascii="Calibri" w:eastAsia="Calibri" w:hAnsi="Calibri"/>
          <w:i/>
          <w:spacing w:val="0"/>
          <w:sz w:val="24"/>
          <w:szCs w:val="24"/>
        </w:rPr>
        <w:br/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Lifeline and Link Up Reform and Modernization, </w:t>
      </w:r>
      <w:r w:rsidR="00B51DE0">
        <w:rPr>
          <w:rFonts w:ascii="Calibri" w:eastAsia="Calibri" w:hAnsi="Calibri"/>
          <w:spacing w:val="0"/>
          <w:sz w:val="24"/>
          <w:szCs w:val="24"/>
        </w:rPr>
        <w:t>WC Docket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No. 11-42</w:t>
      </w:r>
      <w:r w:rsidR="001E4383">
        <w:rPr>
          <w:rFonts w:ascii="Calibri" w:eastAsia="Calibri" w:hAnsi="Calibri"/>
          <w:spacing w:val="0"/>
          <w:sz w:val="24"/>
          <w:szCs w:val="24"/>
        </w:rPr>
        <w:t>;</w:t>
      </w:r>
    </w:p>
    <w:p w14:paraId="56F0C723" w14:textId="47ECE4DE" w:rsidR="00533E13" w:rsidRDefault="001E438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ab/>
      </w:r>
      <w:r w:rsidRPr="001E4383">
        <w:rPr>
          <w:rFonts w:ascii="Calibri" w:eastAsia="Calibri" w:hAnsi="Calibri"/>
          <w:i/>
          <w:spacing w:val="0"/>
          <w:sz w:val="24"/>
          <w:szCs w:val="24"/>
        </w:rPr>
        <w:t>ETC Annual Reports and Certifications</w:t>
      </w:r>
      <w:r>
        <w:rPr>
          <w:rFonts w:ascii="Calibri" w:eastAsia="Calibri" w:hAnsi="Calibri"/>
          <w:spacing w:val="0"/>
          <w:sz w:val="24"/>
          <w:szCs w:val="24"/>
        </w:rPr>
        <w:t>, WC Docket No. 14-58</w:t>
      </w:r>
    </w:p>
    <w:p w14:paraId="6E147B87" w14:textId="77777777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Dear Ms. Dortch:</w:t>
      </w:r>
    </w:p>
    <w:p w14:paraId="682DE52C" w14:textId="68E18C60" w:rsidR="00CB22B7" w:rsidRDefault="00636E9A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 xml:space="preserve">On behalf of its affiliated local exchange carriers, (“LECs”), </w:t>
      </w:r>
      <w:r w:rsidR="00C07C79">
        <w:rPr>
          <w:rFonts w:ascii="Calibri" w:eastAsia="Calibri" w:hAnsi="Calibri"/>
          <w:spacing w:val="0"/>
          <w:sz w:val="24"/>
          <w:szCs w:val="24"/>
        </w:rPr>
        <w:t>Consolidated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Communications Corp. </w:t>
      </w:r>
      <w:r>
        <w:rPr>
          <w:rFonts w:ascii="Calibri" w:eastAsia="Calibri" w:hAnsi="Calibri"/>
          <w:spacing w:val="0"/>
          <w:sz w:val="24"/>
          <w:szCs w:val="24"/>
        </w:rPr>
        <w:t>(“</w:t>
      </w:r>
      <w:r w:rsidR="00C07C79">
        <w:rPr>
          <w:rFonts w:ascii="Calibri" w:eastAsia="Calibri" w:hAnsi="Calibri"/>
          <w:spacing w:val="0"/>
          <w:sz w:val="24"/>
          <w:szCs w:val="24"/>
        </w:rPr>
        <w:t>CCC</w:t>
      </w:r>
      <w:r>
        <w:rPr>
          <w:rFonts w:ascii="Calibri" w:eastAsia="Calibri" w:hAnsi="Calibri"/>
          <w:spacing w:val="0"/>
          <w:sz w:val="24"/>
          <w:szCs w:val="24"/>
        </w:rPr>
        <w:t xml:space="preserve">”) </w:t>
      </w:r>
      <w:r w:rsidR="009A60D3">
        <w:rPr>
          <w:rFonts w:ascii="Calibri" w:eastAsia="Calibri" w:hAnsi="Calibri"/>
          <w:spacing w:val="0"/>
          <w:sz w:val="24"/>
          <w:szCs w:val="24"/>
        </w:rPr>
        <w:t>hereby files</w:t>
      </w:r>
      <w:r w:rsidR="00524AC3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9A60D3">
        <w:rPr>
          <w:rFonts w:ascii="Calibri" w:eastAsia="Calibri" w:hAnsi="Calibri"/>
          <w:spacing w:val="0"/>
          <w:sz w:val="24"/>
          <w:szCs w:val="24"/>
        </w:rPr>
        <w:t>rate floor data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 xml:space="preserve"> and certifications required by sections 54.313</w:t>
      </w:r>
      <w:r w:rsidR="00CB22B7">
        <w:rPr>
          <w:rFonts w:ascii="Calibri" w:eastAsia="Calibri" w:hAnsi="Calibri"/>
          <w:spacing w:val="0"/>
          <w:sz w:val="24"/>
          <w:szCs w:val="24"/>
        </w:rPr>
        <w:t>(</w:t>
      </w:r>
      <w:r w:rsidR="009A60D3">
        <w:rPr>
          <w:rFonts w:ascii="Calibri" w:eastAsia="Calibri" w:hAnsi="Calibri"/>
          <w:spacing w:val="0"/>
          <w:sz w:val="24"/>
          <w:szCs w:val="24"/>
        </w:rPr>
        <w:t>h</w:t>
      </w:r>
      <w:r w:rsidR="00CB22B7">
        <w:rPr>
          <w:rFonts w:ascii="Calibri" w:eastAsia="Calibri" w:hAnsi="Calibri"/>
          <w:spacing w:val="0"/>
          <w:sz w:val="24"/>
          <w:szCs w:val="24"/>
        </w:rPr>
        <w:t>).</w:t>
      </w:r>
      <w:r w:rsidR="001E4383">
        <w:rPr>
          <w:rStyle w:val="FootnoteReference"/>
          <w:rFonts w:ascii="Calibri" w:eastAsia="Calibri" w:hAnsi="Calibri"/>
          <w:spacing w:val="0"/>
          <w:sz w:val="24"/>
          <w:szCs w:val="24"/>
        </w:rPr>
        <w:footnoteReference w:id="1"/>
      </w:r>
    </w:p>
    <w:p w14:paraId="283F5BED" w14:textId="67A5F00F" w:rsidR="003E042F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A copy of the report is also being filed with the Universal Service Administrative Company, </w:t>
      </w:r>
      <w:r w:rsidR="00E42887">
        <w:rPr>
          <w:rFonts w:ascii="Calibri" w:eastAsia="Calibri" w:hAnsi="Calibri"/>
          <w:spacing w:val="0"/>
          <w:sz w:val="24"/>
          <w:szCs w:val="24"/>
        </w:rPr>
        <w:t xml:space="preserve">affected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Tribal governments, where applicable, and each relevant State public service commission in which </w:t>
      </w:r>
      <w:r w:rsidR="009A60D3">
        <w:rPr>
          <w:rFonts w:ascii="Calibri" w:eastAsia="Calibri" w:hAnsi="Calibri"/>
          <w:spacing w:val="0"/>
          <w:sz w:val="24"/>
          <w:szCs w:val="24"/>
        </w:rPr>
        <w:t>Consolidated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operates as an ETC.  </w:t>
      </w:r>
    </w:p>
    <w:p w14:paraId="462CA85D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A43E508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D1EAF5B" w14:textId="77777777" w:rsidR="00B43CBA" w:rsidRDefault="00B43CBA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9B6374D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E74652E" w14:textId="77777777" w:rsidR="001D292F" w:rsidRDefault="001D292F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364CEA87" w14:textId="19BF849F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 xml:space="preserve">Portions of this filing are </w:t>
      </w:r>
      <w:r w:rsidR="00E42887">
        <w:rPr>
          <w:rFonts w:ascii="Calibri" w:eastAsia="Calibri" w:hAnsi="Calibri"/>
          <w:spacing w:val="0"/>
          <w:sz w:val="24"/>
          <w:szCs w:val="24"/>
        </w:rPr>
        <w:t xml:space="preserve">confidential and are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being </w:t>
      </w:r>
      <w:r w:rsidR="00E42887">
        <w:rPr>
          <w:rFonts w:ascii="Calibri" w:eastAsia="Calibri" w:hAnsi="Calibri"/>
          <w:spacing w:val="0"/>
          <w:sz w:val="24"/>
          <w:szCs w:val="24"/>
        </w:rPr>
        <w:t xml:space="preserve">filed under seal 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in accordance with the Federal Communications </w:t>
      </w:r>
      <w:r w:rsidR="001D292F" w:rsidRPr="00B51DE0">
        <w:rPr>
          <w:rFonts w:ascii="Calibri" w:eastAsia="Calibri" w:hAnsi="Calibri"/>
          <w:spacing w:val="0"/>
          <w:sz w:val="24"/>
          <w:szCs w:val="24"/>
        </w:rPr>
        <w:t xml:space="preserve">Commission’s </w:t>
      </w:r>
      <w:r w:rsidR="001D292F" w:rsidRPr="00B51DE0">
        <w:rPr>
          <w:rFonts w:ascii="Calibri" w:eastAsia="Calibri" w:hAnsi="Calibri"/>
          <w:i/>
          <w:spacing w:val="0"/>
          <w:sz w:val="24"/>
          <w:szCs w:val="24"/>
        </w:rPr>
        <w:t>Protective</w:t>
      </w:r>
      <w:r w:rsidRPr="00B51DE0">
        <w:rPr>
          <w:rFonts w:ascii="Calibri" w:eastAsia="Calibri" w:hAnsi="Calibri"/>
          <w:i/>
          <w:spacing w:val="0"/>
          <w:sz w:val="24"/>
          <w:szCs w:val="24"/>
        </w:rPr>
        <w:t xml:space="preserve"> Order</w:t>
      </w:r>
      <w:r w:rsidR="00CC7C4C">
        <w:rPr>
          <w:rFonts w:ascii="Calibri" w:eastAsia="Calibri" w:hAnsi="Calibri"/>
          <w:i/>
          <w:spacing w:val="0"/>
          <w:sz w:val="24"/>
          <w:szCs w:val="24"/>
        </w:rPr>
        <w:t xml:space="preserve"> </w:t>
      </w:r>
      <w:r w:rsidR="00CC7C4C">
        <w:rPr>
          <w:rFonts w:ascii="Calibri" w:eastAsia="Calibri" w:hAnsi="Calibri"/>
          <w:spacing w:val="0"/>
          <w:sz w:val="24"/>
          <w:szCs w:val="24"/>
        </w:rPr>
        <w:t>in the</w:t>
      </w:r>
      <w:r w:rsidR="001D292F">
        <w:rPr>
          <w:rFonts w:ascii="Calibri" w:eastAsia="Calibri" w:hAnsi="Calibri"/>
          <w:spacing w:val="0"/>
          <w:sz w:val="24"/>
          <w:szCs w:val="24"/>
        </w:rPr>
        <w:t xml:space="preserve"> above-captioned Docket WC 14-58</w:t>
      </w:r>
      <w:r w:rsidRPr="00B51DE0">
        <w:rPr>
          <w:rFonts w:ascii="Calibri" w:eastAsia="Calibri" w:hAnsi="Calibri"/>
          <w:spacing w:val="0"/>
          <w:sz w:val="24"/>
          <w:szCs w:val="24"/>
        </w:rPr>
        <w:t>.</w:t>
      </w:r>
      <w:r w:rsidR="00CC7C4C">
        <w:rPr>
          <w:rStyle w:val="FootnoteReference"/>
          <w:rFonts w:ascii="Calibri" w:eastAsia="Calibri" w:hAnsi="Calibri"/>
          <w:spacing w:val="0"/>
          <w:sz w:val="24"/>
          <w:szCs w:val="24"/>
        </w:rPr>
        <w:footnoteReference w:id="2"/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</w:t>
      </w:r>
    </w:p>
    <w:p w14:paraId="3FCE1E00" w14:textId="7811B5D9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This filing contains confidential</w:t>
      </w:r>
      <w:r w:rsidR="00C24BAF">
        <w:rPr>
          <w:rFonts w:ascii="Calibri" w:eastAsia="Calibri" w:hAnsi="Calibri"/>
          <w:spacing w:val="0"/>
          <w:sz w:val="24"/>
          <w:szCs w:val="24"/>
        </w:rPr>
        <w:t>, commercially sensitive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information on</w:t>
      </w:r>
      <w:r w:rsidR="00C07C79">
        <w:rPr>
          <w:rFonts w:ascii="Calibri" w:eastAsia="Calibri" w:hAnsi="Calibri"/>
          <w:spacing w:val="0"/>
          <w:sz w:val="24"/>
          <w:szCs w:val="24"/>
        </w:rPr>
        <w:t xml:space="preserve"> loop counts</w:t>
      </w:r>
      <w:r w:rsidR="00C24BAF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C07C79" w:rsidRPr="00B51DE0">
        <w:rPr>
          <w:rFonts w:ascii="Calibri" w:eastAsia="Calibri" w:hAnsi="Calibri"/>
          <w:spacing w:val="0"/>
          <w:sz w:val="24"/>
          <w:szCs w:val="24"/>
        </w:rPr>
        <w:t>with the associated regulatory fees</w:t>
      </w:r>
      <w:r w:rsidR="00C07C79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C24BAF">
        <w:rPr>
          <w:rFonts w:ascii="Calibri" w:eastAsia="Calibri" w:hAnsi="Calibri"/>
          <w:spacing w:val="0"/>
          <w:sz w:val="24"/>
          <w:szCs w:val="24"/>
        </w:rPr>
        <w:t>by exchange</w:t>
      </w:r>
      <w:r w:rsidR="00C07C79">
        <w:rPr>
          <w:rFonts w:ascii="Calibri" w:eastAsia="Calibri" w:hAnsi="Calibri"/>
          <w:spacing w:val="0"/>
          <w:sz w:val="24"/>
          <w:szCs w:val="24"/>
        </w:rPr>
        <w:t>.</w:t>
      </w:r>
      <w:r w:rsidRPr="00B51DE0">
        <w:rPr>
          <w:rFonts w:ascii="Calibri" w:eastAsia="Calibri" w:hAnsi="Calibri"/>
          <w:spacing w:val="0"/>
          <w:sz w:val="24"/>
          <w:szCs w:val="24"/>
        </w:rPr>
        <w:t xml:space="preserve">  </w:t>
      </w:r>
      <w:r w:rsidR="00C07C79" w:rsidRPr="00B51DE0">
        <w:rPr>
          <w:rFonts w:ascii="Calibri" w:eastAsia="Calibri" w:hAnsi="Calibri"/>
          <w:spacing w:val="0"/>
          <w:sz w:val="24"/>
          <w:szCs w:val="24"/>
        </w:rPr>
        <w:t xml:space="preserve">This information is competitively sensitive and is not normally released to the public; release of this information could give </w:t>
      </w:r>
      <w:proofErr w:type="spellStart"/>
      <w:r w:rsidR="00C96CB1">
        <w:rPr>
          <w:rFonts w:ascii="Calibri" w:eastAsia="Calibri" w:hAnsi="Calibri"/>
          <w:spacing w:val="0"/>
          <w:sz w:val="24"/>
          <w:szCs w:val="24"/>
        </w:rPr>
        <w:t>Consolidated</w:t>
      </w:r>
      <w:r w:rsidR="00C07C79">
        <w:rPr>
          <w:rFonts w:ascii="Calibri" w:eastAsia="Calibri" w:hAnsi="Calibri"/>
          <w:spacing w:val="0"/>
          <w:sz w:val="24"/>
          <w:szCs w:val="24"/>
        </w:rPr>
        <w:t>’s</w:t>
      </w:r>
      <w:proofErr w:type="spellEnd"/>
      <w:r w:rsidR="00C07C79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C07C79" w:rsidRPr="00B51DE0">
        <w:rPr>
          <w:rFonts w:ascii="Calibri" w:eastAsia="Calibri" w:hAnsi="Calibri"/>
          <w:spacing w:val="0"/>
          <w:sz w:val="24"/>
          <w:szCs w:val="24"/>
        </w:rPr>
        <w:t xml:space="preserve">competitors an advantage in the markets described herein. </w:t>
      </w:r>
      <w:proofErr w:type="gramStart"/>
      <w:r w:rsidR="00C07C79">
        <w:rPr>
          <w:rFonts w:ascii="Calibri" w:eastAsia="Calibri" w:hAnsi="Calibri"/>
          <w:spacing w:val="0"/>
          <w:sz w:val="24"/>
          <w:szCs w:val="24"/>
        </w:rPr>
        <w:t>C</w:t>
      </w:r>
      <w:r w:rsidR="00C96CB1">
        <w:rPr>
          <w:rFonts w:ascii="Calibri" w:eastAsia="Calibri" w:hAnsi="Calibri"/>
          <w:spacing w:val="0"/>
          <w:sz w:val="24"/>
          <w:szCs w:val="24"/>
        </w:rPr>
        <w:t>onsolidated</w:t>
      </w:r>
      <w:bookmarkStart w:id="0" w:name="_GoBack"/>
      <w:bookmarkEnd w:id="0"/>
      <w:r w:rsidR="00803F1D">
        <w:rPr>
          <w:rFonts w:ascii="Calibri" w:eastAsia="Calibri" w:hAnsi="Calibri"/>
          <w:spacing w:val="0"/>
          <w:sz w:val="24"/>
          <w:szCs w:val="24"/>
        </w:rPr>
        <w:t xml:space="preserve"> requests that all of this confidential information, as indicated on the enclosed documents, be withheld from public inspection.</w:t>
      </w:r>
      <w:proofErr w:type="gramEnd"/>
      <w:r w:rsidR="00803F1D">
        <w:rPr>
          <w:rFonts w:ascii="Calibri" w:eastAsia="Calibri" w:hAnsi="Calibri"/>
          <w:spacing w:val="0"/>
          <w:sz w:val="24"/>
          <w:szCs w:val="24"/>
        </w:rPr>
        <w:t xml:space="preserve">  </w:t>
      </w:r>
    </w:p>
    <w:p w14:paraId="1924F9CE" w14:textId="1E8962E0" w:rsidR="00C24BAF" w:rsidRPr="00C04FA2" w:rsidRDefault="00C07C79" w:rsidP="00C24BAF">
      <w:pPr>
        <w:spacing w:after="200" w:line="276" w:lineRule="auto"/>
        <w:ind w:left="0"/>
        <w:rPr>
          <w:rFonts w:ascii="Calibri" w:hAnsi="Calibri"/>
          <w:spacing w:val="0"/>
          <w:sz w:val="24"/>
          <w:szCs w:val="24"/>
        </w:rPr>
      </w:pPr>
      <w:proofErr w:type="spellStart"/>
      <w:r>
        <w:rPr>
          <w:rFonts w:ascii="Calibri" w:eastAsia="Calibri" w:hAnsi="Calibri"/>
          <w:spacing w:val="0"/>
          <w:sz w:val="24"/>
          <w:szCs w:val="24"/>
        </w:rPr>
        <w:t>Consolidated</w:t>
      </w:r>
      <w:r w:rsidR="00C24BAF" w:rsidRPr="00C04FA2">
        <w:rPr>
          <w:rFonts w:ascii="Calibri" w:eastAsia="Calibri" w:hAnsi="Calibri"/>
          <w:spacing w:val="0"/>
          <w:sz w:val="24"/>
          <w:szCs w:val="24"/>
        </w:rPr>
        <w:t>’s</w:t>
      </w:r>
      <w:proofErr w:type="spellEnd"/>
      <w:r w:rsidR="00533E13" w:rsidRPr="00C04FA2">
        <w:rPr>
          <w:rFonts w:ascii="Calibri" w:eastAsia="Calibri" w:hAnsi="Calibri"/>
          <w:spacing w:val="0"/>
          <w:sz w:val="24"/>
          <w:szCs w:val="24"/>
        </w:rPr>
        <w:t xml:space="preserve"> </w:t>
      </w:r>
      <w:r w:rsidR="00C24BAF" w:rsidRPr="00C04FA2">
        <w:rPr>
          <w:rFonts w:ascii="Calibri" w:eastAsia="Calibri" w:hAnsi="Calibri"/>
          <w:spacing w:val="0"/>
          <w:sz w:val="24"/>
          <w:szCs w:val="24"/>
        </w:rPr>
        <w:t>Stamped Confidential Documents</w:t>
      </w:r>
      <w:r w:rsidR="00533E13" w:rsidRPr="00C04FA2">
        <w:rPr>
          <w:rFonts w:ascii="Calibri" w:eastAsia="Calibri" w:hAnsi="Calibri"/>
          <w:spacing w:val="0"/>
          <w:sz w:val="24"/>
          <w:szCs w:val="24"/>
        </w:rPr>
        <w:t xml:space="preserve"> have been marked</w:t>
      </w:r>
      <w:r w:rsidR="00C24BAF" w:rsidRPr="00C04FA2">
        <w:rPr>
          <w:rFonts w:ascii="Calibri" w:eastAsia="Calibri" w:hAnsi="Calibri"/>
          <w:spacing w:val="0"/>
          <w:sz w:val="24"/>
          <w:szCs w:val="24"/>
        </w:rPr>
        <w:t>, “</w:t>
      </w:r>
      <w:r w:rsidR="00125499" w:rsidRPr="00C04FA2">
        <w:rPr>
          <w:rFonts w:ascii="Calibri" w:hAnsi="Calibri"/>
          <w:color w:val="000000"/>
          <w:sz w:val="24"/>
          <w:szCs w:val="24"/>
        </w:rPr>
        <w:t xml:space="preserve">Protective Order, WC Docket Nos. 14-58, 10-90, 31 FCC </w:t>
      </w:r>
      <w:proofErr w:type="spellStart"/>
      <w:r w:rsidR="00125499" w:rsidRPr="00C04FA2">
        <w:rPr>
          <w:rFonts w:ascii="Calibri" w:hAnsi="Calibri"/>
          <w:color w:val="000000"/>
          <w:sz w:val="24"/>
          <w:szCs w:val="24"/>
        </w:rPr>
        <w:t>Rcd</w:t>
      </w:r>
      <w:proofErr w:type="spellEnd"/>
      <w:r w:rsidR="00125499" w:rsidRPr="00C04FA2">
        <w:rPr>
          <w:rFonts w:ascii="Calibri" w:hAnsi="Calibri"/>
          <w:color w:val="000000"/>
          <w:sz w:val="24"/>
          <w:szCs w:val="24"/>
        </w:rPr>
        <w:t xml:space="preserve"> 2089 (WCB 2016)</w:t>
      </w:r>
      <w:r w:rsidR="00C24BAF" w:rsidRPr="00C04FA2">
        <w:rPr>
          <w:rFonts w:ascii="Calibri" w:hAnsi="Calibri"/>
          <w:spacing w:val="0"/>
          <w:sz w:val="24"/>
          <w:szCs w:val="24"/>
        </w:rPr>
        <w:t xml:space="preserve">.”  </w:t>
      </w:r>
      <w:r w:rsidR="0007557D" w:rsidRPr="00C04FA2">
        <w:rPr>
          <w:rFonts w:ascii="Calibri" w:hAnsi="Calibri"/>
          <w:spacing w:val="0"/>
          <w:sz w:val="24"/>
          <w:szCs w:val="24"/>
        </w:rPr>
        <w:t>A single copy of the Stamped Confidential Documents is</w:t>
      </w:r>
      <w:r w:rsidR="00C24BAF" w:rsidRPr="00C04FA2">
        <w:rPr>
          <w:rFonts w:ascii="Calibri" w:hAnsi="Calibri"/>
          <w:spacing w:val="0"/>
          <w:sz w:val="24"/>
          <w:szCs w:val="24"/>
        </w:rPr>
        <w:t xml:space="preserve"> included for the Wireline Competition Bureau.  </w:t>
      </w:r>
      <w:r w:rsidR="00C04FA2" w:rsidRPr="00C04FA2">
        <w:rPr>
          <w:rFonts w:ascii="Calibri" w:hAnsi="Calibri"/>
          <w:sz w:val="24"/>
          <w:szCs w:val="24"/>
        </w:rPr>
        <w:t>A redacted copy of the filing today is being submitted via ECFS, marked, “REDACTED – FOR PUBLIC INSPECTION,” as required by the Protective Order.</w:t>
      </w:r>
    </w:p>
    <w:p w14:paraId="1D06EAEB" w14:textId="1AD8A765" w:rsidR="00636E9A" w:rsidRDefault="00636E9A" w:rsidP="000A0B71">
      <w:pPr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 xml:space="preserve">Please contact me </w:t>
      </w:r>
      <w:r w:rsidR="00533E13" w:rsidRPr="00B51DE0">
        <w:rPr>
          <w:rFonts w:ascii="Calibri" w:eastAsia="Calibri" w:hAnsi="Calibri"/>
          <w:spacing w:val="0"/>
          <w:sz w:val="24"/>
          <w:szCs w:val="24"/>
        </w:rPr>
        <w:t>if you have any questions.</w:t>
      </w:r>
    </w:p>
    <w:p w14:paraId="57BB573E" w14:textId="77777777" w:rsidR="00B07527" w:rsidRDefault="00B07527" w:rsidP="000A0B71">
      <w:pPr>
        <w:ind w:left="0"/>
        <w:rPr>
          <w:rFonts w:ascii="Calibri" w:eastAsia="Calibri" w:hAnsi="Calibri"/>
          <w:spacing w:val="0"/>
          <w:sz w:val="24"/>
          <w:szCs w:val="24"/>
        </w:rPr>
      </w:pPr>
    </w:p>
    <w:p w14:paraId="55A1F6B8" w14:textId="490ECC2D" w:rsidR="00533E13" w:rsidRPr="00B51DE0" w:rsidRDefault="00533E13" w:rsidP="00533E13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Sincerely</w:t>
      </w:r>
      <w:r w:rsidR="00B07527">
        <w:rPr>
          <w:rFonts w:ascii="Calibri" w:eastAsia="Calibri" w:hAnsi="Calibri"/>
          <w:spacing w:val="0"/>
          <w:sz w:val="24"/>
          <w:szCs w:val="24"/>
        </w:rPr>
        <w:t>,</w:t>
      </w:r>
    </w:p>
    <w:p w14:paraId="19051F81" w14:textId="6A0275F3" w:rsidR="007E2762" w:rsidRPr="00524AC3" w:rsidRDefault="00524AC3" w:rsidP="007F4737">
      <w:pPr>
        <w:spacing w:after="200"/>
        <w:ind w:left="0"/>
        <w:rPr>
          <w:rFonts w:ascii="Lucida Calligraphy" w:eastAsia="Calibri" w:hAnsi="Lucida Calligraphy"/>
          <w:spacing w:val="0"/>
          <w:sz w:val="24"/>
          <w:szCs w:val="24"/>
        </w:rPr>
      </w:pPr>
      <w:r w:rsidRPr="00524AC3">
        <w:rPr>
          <w:rFonts w:ascii="Lucida Calligraphy" w:eastAsia="Calibri" w:hAnsi="Lucida Calligraphy"/>
          <w:spacing w:val="0"/>
          <w:sz w:val="24"/>
          <w:szCs w:val="24"/>
        </w:rPr>
        <w:t>Barbara B. Galardo</w:t>
      </w:r>
    </w:p>
    <w:p w14:paraId="0767168C" w14:textId="17A2EB84" w:rsidR="00A141EE" w:rsidRDefault="00A141EE" w:rsidP="00A141EE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 w:rsidRPr="00B51DE0">
        <w:rPr>
          <w:rFonts w:ascii="Calibri" w:eastAsia="Calibri" w:hAnsi="Calibri"/>
          <w:spacing w:val="0"/>
          <w:sz w:val="24"/>
          <w:szCs w:val="24"/>
        </w:rPr>
        <w:t>Barbara B. Galardo, Director Cost &amp; Access</w:t>
      </w:r>
    </w:p>
    <w:p w14:paraId="1CB241DB" w14:textId="1DCC89E4" w:rsidR="007B5F6E" w:rsidRDefault="00A141EE" w:rsidP="007F4737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  <w:r>
        <w:rPr>
          <w:rFonts w:ascii="Calibri" w:eastAsia="Calibri" w:hAnsi="Calibri"/>
          <w:spacing w:val="0"/>
          <w:sz w:val="24"/>
          <w:szCs w:val="24"/>
        </w:rPr>
        <w:t>Enclosures</w:t>
      </w:r>
    </w:p>
    <w:tbl>
      <w:tblPr>
        <w:tblW w:w="5603" w:type="dxa"/>
        <w:tblInd w:w="93" w:type="dxa"/>
        <w:tblLook w:val="04A0" w:firstRow="1" w:lastRow="0" w:firstColumn="1" w:lastColumn="0" w:noHBand="0" w:noVBand="1"/>
      </w:tblPr>
      <w:tblGrid>
        <w:gridCol w:w="5603"/>
      </w:tblGrid>
      <w:tr w:rsidR="00636E9A" w:rsidRPr="00636E9A" w14:paraId="5003679C" w14:textId="77777777" w:rsidTr="00C07C79">
        <w:trPr>
          <w:trHeight w:val="247"/>
        </w:trPr>
        <w:tc>
          <w:tcPr>
            <w:tcW w:w="5603" w:type="dxa"/>
            <w:shd w:val="clear" w:color="auto" w:fill="auto"/>
            <w:noWrap/>
            <w:vAlign w:val="bottom"/>
          </w:tcPr>
          <w:p w14:paraId="651ACBA5" w14:textId="014D4F42" w:rsidR="00636E9A" w:rsidRPr="00636E9A" w:rsidRDefault="007C4AA0" w:rsidP="00914BCD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pacing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7DF31" wp14:editId="68DCA0B6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635</wp:posOffset>
                      </wp:positionV>
                      <wp:extent cx="3460750" cy="6350"/>
                      <wp:effectExtent l="0" t="0" r="25400" b="317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607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5pt,.05pt" to="265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" strokecolor="#4579b8 [3044]"/>
                  </w:pict>
                </mc:Fallback>
              </mc:AlternateContent>
            </w:r>
            <w:r w:rsidR="00C07C79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Filing is Applicable to the following Local Exchange Carriers</w:t>
            </w:r>
            <w:r w:rsidR="00C96CB1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:</w:t>
            </w:r>
          </w:p>
        </w:tc>
      </w:tr>
      <w:tr w:rsidR="00636E9A" w:rsidRPr="00636E9A" w14:paraId="083D3183" w14:textId="77777777" w:rsidTr="00C07C79">
        <w:trPr>
          <w:trHeight w:val="247"/>
        </w:trPr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2DAAB060" w14:textId="22DC9EB4" w:rsidR="00636E9A" w:rsidRPr="00636E9A" w:rsidRDefault="00C07C79" w:rsidP="00914BCD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 xml:space="preserve">Sunflower </w:t>
            </w:r>
            <w:r w:rsidR="00C96CB1"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Telephone Company, Inc. (SAC 461835)</w:t>
            </w:r>
          </w:p>
        </w:tc>
      </w:tr>
      <w:tr w:rsidR="00C07C79" w:rsidRPr="00636E9A" w14:paraId="1D84D821" w14:textId="77777777" w:rsidTr="00C07C79">
        <w:trPr>
          <w:trHeight w:val="247"/>
        </w:trPr>
        <w:tc>
          <w:tcPr>
            <w:tcW w:w="5603" w:type="dxa"/>
            <w:shd w:val="clear" w:color="auto" w:fill="auto"/>
            <w:noWrap/>
            <w:vAlign w:val="bottom"/>
          </w:tcPr>
          <w:p w14:paraId="765E5F8F" w14:textId="7349AD3A" w:rsidR="00C07C79" w:rsidRPr="00636E9A" w:rsidRDefault="00C96CB1" w:rsidP="00914BCD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Columbine Telephone Company (SAC 462204)</w:t>
            </w:r>
          </w:p>
        </w:tc>
      </w:tr>
      <w:tr w:rsidR="00C07C79" w:rsidRPr="00636E9A" w14:paraId="120FC636" w14:textId="77777777" w:rsidTr="00C07C79">
        <w:trPr>
          <w:trHeight w:val="247"/>
        </w:trPr>
        <w:tc>
          <w:tcPr>
            <w:tcW w:w="5603" w:type="dxa"/>
            <w:shd w:val="clear" w:color="auto" w:fill="auto"/>
            <w:noWrap/>
            <w:vAlign w:val="bottom"/>
          </w:tcPr>
          <w:p w14:paraId="33BDC3DD" w14:textId="201A30E4" w:rsidR="00C07C79" w:rsidRPr="00636E9A" w:rsidRDefault="00C96CB1" w:rsidP="00C96CB1">
            <w:pPr>
              <w:ind w:left="0"/>
              <w:rPr>
                <w:rFonts w:ascii="Calibri" w:hAnsi="Calibri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pacing w:val="0"/>
                <w:sz w:val="22"/>
                <w:szCs w:val="22"/>
              </w:rPr>
              <w:t>Big Sandy Telephone, Inc. (SAC 462192)</w:t>
            </w:r>
          </w:p>
        </w:tc>
      </w:tr>
    </w:tbl>
    <w:p w14:paraId="33B3EE17" w14:textId="77777777" w:rsidR="00636E9A" w:rsidRPr="00B51DE0" w:rsidRDefault="00636E9A" w:rsidP="00800D54">
      <w:pPr>
        <w:spacing w:after="200"/>
        <w:ind w:left="0"/>
        <w:rPr>
          <w:rFonts w:ascii="Calibri" w:eastAsia="Calibri" w:hAnsi="Calibri"/>
          <w:spacing w:val="0"/>
          <w:sz w:val="24"/>
          <w:szCs w:val="24"/>
        </w:rPr>
      </w:pPr>
    </w:p>
    <w:sectPr w:rsidR="00636E9A" w:rsidRPr="00B51DE0" w:rsidSect="00A751C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2347" w:right="1080" w:bottom="259" w:left="1080" w:header="720" w:footer="144" w:gutter="0"/>
      <w:paperSrc w:first="7" w:other="7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9B313" w14:textId="77777777" w:rsidR="00CB22B7" w:rsidRDefault="00CB22B7">
      <w:r>
        <w:separator/>
      </w:r>
    </w:p>
  </w:endnote>
  <w:endnote w:type="continuationSeparator" w:id="0">
    <w:p w14:paraId="7B731A13" w14:textId="77777777" w:rsidR="00CB22B7" w:rsidRDefault="00CB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78AE2" w14:textId="77777777" w:rsidR="00CB22B7" w:rsidRDefault="00CB22B7" w:rsidP="008E7D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607BC7F" w14:textId="77777777" w:rsidR="00CB22B7" w:rsidRDefault="00CB22B7" w:rsidP="008E7DA5">
    <w:pPr>
      <w:pStyle w:val="Footer"/>
      <w:ind w:right="360"/>
    </w:pPr>
  </w:p>
  <w:p w14:paraId="71D7170C" w14:textId="77777777" w:rsidR="00CB22B7" w:rsidRDefault="00CB22B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4A59E" w14:textId="1F478864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rStyle w:val="PageNumber"/>
        <w:rFonts w:ascii="Georgia" w:hAnsi="Georgia"/>
      </w:rPr>
    </w:pPr>
    <w:r w:rsidRPr="004D1970">
      <w:rPr>
        <w:rFonts w:ascii="Georgia" w:hAnsi="Georgia"/>
      </w:rPr>
      <w:t xml:space="preserve"> </w:t>
    </w:r>
    <w:r w:rsidRPr="006F716F">
      <w:rPr>
        <w:rFonts w:ascii="Georgia" w:hAnsi="Georgia"/>
      </w:rPr>
      <w:t xml:space="preserve">Page </w:t>
    </w:r>
    <w:r w:rsidRPr="006F716F">
      <w:rPr>
        <w:rFonts w:ascii="Georgia" w:hAnsi="Georgia"/>
      </w:rPr>
      <w:fldChar w:fldCharType="begin"/>
    </w:r>
    <w:r w:rsidRPr="006F716F">
      <w:rPr>
        <w:rFonts w:ascii="Georgia" w:hAnsi="Georgia"/>
      </w:rPr>
      <w:instrText xml:space="preserve"> PAGE </w:instrText>
    </w:r>
    <w:r w:rsidRPr="006F716F">
      <w:rPr>
        <w:rFonts w:ascii="Georgia" w:hAnsi="Georgia"/>
      </w:rPr>
      <w:fldChar w:fldCharType="separate"/>
    </w:r>
    <w:r w:rsidR="00C96CB1">
      <w:rPr>
        <w:rFonts w:ascii="Georgia" w:hAnsi="Georgia"/>
        <w:noProof/>
      </w:rPr>
      <w:t>2</w:t>
    </w:r>
    <w:r w:rsidRPr="006F716F">
      <w:rPr>
        <w:rFonts w:ascii="Georgia" w:hAnsi="Georgia"/>
      </w:rPr>
      <w:fldChar w:fldCharType="end"/>
    </w:r>
    <w:r w:rsidRPr="006F716F">
      <w:rPr>
        <w:rFonts w:ascii="Georgia" w:hAnsi="Georgia"/>
      </w:rPr>
      <w:t xml:space="preserve"> of </w:t>
    </w:r>
    <w:r w:rsidR="00C96CB1">
      <w:rPr>
        <w:rFonts w:ascii="Georgia" w:hAnsi="Georgia"/>
      </w:rPr>
      <w:t>2</w:t>
    </w:r>
    <w:r>
      <w:rPr>
        <w:rStyle w:val="PageNumber"/>
      </w:rPr>
      <w:tab/>
    </w:r>
  </w:p>
  <w:p w14:paraId="5722936F" w14:textId="77777777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8C32B77" wp14:editId="72675B67">
          <wp:simplePos x="0" y="0"/>
          <wp:positionH relativeFrom="page">
            <wp:posOffset>357505</wp:posOffset>
          </wp:positionH>
          <wp:positionV relativeFrom="page">
            <wp:posOffset>10274300</wp:posOffset>
          </wp:positionV>
          <wp:extent cx="6845300" cy="12700"/>
          <wp:effectExtent l="0" t="0" r="0" b="6350"/>
          <wp:wrapNone/>
          <wp:docPr id="2" name="Picture 2" descr="Letterhead Footer P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etterhead Footer P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0" cy="1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06EC" w14:textId="7DBCAB99" w:rsidR="00CB22B7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  <w:r w:rsidRPr="004D1970">
      <w:rPr>
        <w:color w:val="000000"/>
      </w:rPr>
      <w:t xml:space="preserve">Page </w:t>
    </w:r>
    <w:r w:rsidRPr="004D1970">
      <w:rPr>
        <w:color w:val="000000"/>
      </w:rPr>
      <w:fldChar w:fldCharType="begin"/>
    </w:r>
    <w:r w:rsidRPr="004D1970">
      <w:rPr>
        <w:color w:val="000000"/>
      </w:rPr>
      <w:instrText xml:space="preserve"> PAGE </w:instrText>
    </w:r>
    <w:r w:rsidRPr="004D1970">
      <w:rPr>
        <w:color w:val="000000"/>
      </w:rPr>
      <w:fldChar w:fldCharType="separate"/>
    </w:r>
    <w:r w:rsidR="00C96CB1">
      <w:rPr>
        <w:noProof/>
        <w:color w:val="000000"/>
      </w:rPr>
      <w:t>1</w:t>
    </w:r>
    <w:r w:rsidRPr="004D1970">
      <w:rPr>
        <w:color w:val="000000"/>
      </w:rPr>
      <w:fldChar w:fldCharType="end"/>
    </w:r>
    <w:r w:rsidRPr="004D1970">
      <w:rPr>
        <w:color w:val="000000"/>
      </w:rPr>
      <w:t xml:space="preserve"> of </w:t>
    </w:r>
    <w:r w:rsidR="00C96CB1">
      <w:rPr>
        <w:color w:val="000000"/>
      </w:rPr>
      <w:t>2</w:t>
    </w:r>
  </w:p>
  <w:p w14:paraId="57A860DF" w14:textId="77777777" w:rsidR="00F320A5" w:rsidRPr="004D1970" w:rsidRDefault="00F320A5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</w:p>
  <w:p w14:paraId="454D7F33" w14:textId="77777777" w:rsidR="00CB22B7" w:rsidRPr="004D1970" w:rsidRDefault="00CB22B7" w:rsidP="008E7DA5">
    <w:pPr>
      <w:pStyle w:val="Footer"/>
      <w:tabs>
        <w:tab w:val="left" w:pos="3260"/>
      </w:tabs>
      <w:spacing w:line="360" w:lineRule="atLeast"/>
      <w:ind w:left="0"/>
      <w:jc w:val="left"/>
      <w:rPr>
        <w:color w:val="000000"/>
      </w:rPr>
    </w:pPr>
    <w:r w:rsidRPr="004D1970">
      <w:rPr>
        <w:rStyle w:val="PageNumber"/>
        <w:color w:val="000000"/>
      </w:rPr>
      <w:tab/>
    </w:r>
    <w:r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315EDFCF" wp14:editId="1FBCDA2C">
          <wp:simplePos x="0" y="0"/>
          <wp:positionH relativeFrom="page">
            <wp:posOffset>121285</wp:posOffset>
          </wp:positionH>
          <wp:positionV relativeFrom="page">
            <wp:posOffset>10058400</wp:posOffset>
          </wp:positionV>
          <wp:extent cx="7315200" cy="520700"/>
          <wp:effectExtent l="0" t="0" r="0" b="0"/>
          <wp:wrapNone/>
          <wp:docPr id="4" name="Picture 4" descr="Letterhead Foot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etterhead Footer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07534" w14:textId="77777777" w:rsidR="00CB22B7" w:rsidRDefault="00CB22B7">
      <w:r>
        <w:separator/>
      </w:r>
    </w:p>
  </w:footnote>
  <w:footnote w:type="continuationSeparator" w:id="0">
    <w:p w14:paraId="11C27104" w14:textId="77777777" w:rsidR="00CB22B7" w:rsidRDefault="00CB22B7">
      <w:r>
        <w:continuationSeparator/>
      </w:r>
    </w:p>
  </w:footnote>
  <w:footnote w:id="1">
    <w:p w14:paraId="08E4217D" w14:textId="370F57BA" w:rsidR="00CB22B7" w:rsidRDefault="00CB22B7" w:rsidP="001E4383">
      <w:pPr>
        <w:pStyle w:val="FootnoteText"/>
        <w:ind w:hanging="835"/>
        <w:rPr>
          <w:rFonts w:asciiTheme="minorHAnsi" w:hAnsiTheme="minorHAnsi"/>
        </w:rPr>
      </w:pPr>
      <w:r>
        <w:rPr>
          <w:rStyle w:val="FootnoteReference"/>
        </w:rPr>
        <w:footnoteRef/>
      </w:r>
      <w:r>
        <w:rPr>
          <w:rFonts w:asciiTheme="minorHAnsi" w:hAnsiTheme="minorHAnsi"/>
        </w:rPr>
        <w:t xml:space="preserve"> </w:t>
      </w:r>
      <w:r w:rsidR="00C07C79">
        <w:rPr>
          <w:rFonts w:asciiTheme="minorHAnsi" w:hAnsiTheme="minorHAnsi"/>
        </w:rPr>
        <w:t>Consolidated</w:t>
      </w:r>
      <w:r>
        <w:rPr>
          <w:rFonts w:asciiTheme="minorHAnsi" w:hAnsiTheme="minorHAnsi"/>
        </w:rPr>
        <w:t xml:space="preserve"> </w:t>
      </w:r>
      <w:r w:rsidR="00524AC3">
        <w:rPr>
          <w:rFonts w:asciiTheme="minorHAnsi" w:hAnsiTheme="minorHAnsi"/>
        </w:rPr>
        <w:t>encloses</w:t>
      </w:r>
      <w:r w:rsidR="00C07C79">
        <w:rPr>
          <w:rFonts w:asciiTheme="minorHAnsi" w:hAnsiTheme="minorHAnsi"/>
        </w:rPr>
        <w:t xml:space="preserve"> the</w:t>
      </w:r>
      <w:r w:rsidR="00524AC3">
        <w:rPr>
          <w:rFonts w:asciiTheme="minorHAnsi" w:hAnsiTheme="minorHAnsi"/>
        </w:rPr>
        <w:t xml:space="preserve"> FCC </w:t>
      </w:r>
      <w:r w:rsidR="009A60D3">
        <w:rPr>
          <w:rFonts w:asciiTheme="minorHAnsi" w:hAnsiTheme="minorHAnsi"/>
        </w:rPr>
        <w:t xml:space="preserve">Rate Floor </w:t>
      </w:r>
      <w:r w:rsidR="00524AC3">
        <w:rPr>
          <w:rFonts w:asciiTheme="minorHAnsi" w:hAnsiTheme="minorHAnsi"/>
        </w:rPr>
        <w:t xml:space="preserve">Form </w:t>
      </w:r>
      <w:r w:rsidR="009A60D3">
        <w:rPr>
          <w:rFonts w:asciiTheme="minorHAnsi" w:hAnsiTheme="minorHAnsi"/>
        </w:rPr>
        <w:t>and certification for the 3</w:t>
      </w:r>
      <w:r>
        <w:rPr>
          <w:rFonts w:asciiTheme="minorHAnsi" w:hAnsiTheme="minorHAnsi"/>
        </w:rPr>
        <w:t xml:space="preserve"> LECs listed on the last page of this cover letter.  </w:t>
      </w:r>
    </w:p>
    <w:p w14:paraId="5FF8C043" w14:textId="27C605C6" w:rsidR="00CB22B7" w:rsidRPr="008C26F8" w:rsidRDefault="00CB22B7" w:rsidP="008C26F8">
      <w:pPr>
        <w:pStyle w:val="FootnoteText"/>
        <w:ind w:hanging="835"/>
        <w:rPr>
          <w:rFonts w:asciiTheme="minorHAnsi" w:hAnsiTheme="minorHAnsi"/>
        </w:rPr>
      </w:pPr>
    </w:p>
  </w:footnote>
  <w:footnote w:id="2">
    <w:p w14:paraId="4B9A428B" w14:textId="29BB33F8" w:rsidR="00CB22B7" w:rsidRDefault="00CB22B7" w:rsidP="00CC7C4C">
      <w:pPr>
        <w:pStyle w:val="FootnoteText"/>
        <w:ind w:hanging="835"/>
      </w:pPr>
      <w:r>
        <w:rPr>
          <w:rStyle w:val="FootnoteReference"/>
        </w:rPr>
        <w:footnoteRef/>
      </w:r>
      <w:r>
        <w:t xml:space="preserve"> </w:t>
      </w:r>
      <w:r w:rsidRPr="00CC7C4C">
        <w:rPr>
          <w:rFonts w:asciiTheme="minorHAnsi" w:hAnsiTheme="minorHAnsi"/>
          <w:i/>
        </w:rPr>
        <w:t>Connect America Fund, et al.,</w:t>
      </w:r>
      <w:r w:rsidRPr="00CC7C4C">
        <w:rPr>
          <w:rFonts w:asciiTheme="minorHAnsi" w:hAnsiTheme="minorHAnsi"/>
        </w:rPr>
        <w:t xml:space="preserve"> </w:t>
      </w:r>
      <w:r w:rsidR="0007557D" w:rsidRPr="00125499">
        <w:rPr>
          <w:rFonts w:asciiTheme="minorHAnsi" w:hAnsiTheme="minorHAnsi"/>
          <w:color w:val="000000"/>
        </w:rPr>
        <w:t xml:space="preserve">WC Docket Nos. 14-58, 10-90, 31 FCC </w:t>
      </w:r>
      <w:proofErr w:type="spellStart"/>
      <w:r w:rsidR="0007557D" w:rsidRPr="00125499">
        <w:rPr>
          <w:rFonts w:asciiTheme="minorHAnsi" w:hAnsiTheme="minorHAnsi"/>
          <w:color w:val="000000"/>
        </w:rPr>
        <w:t>Rcd</w:t>
      </w:r>
      <w:proofErr w:type="spellEnd"/>
      <w:r w:rsidR="0007557D" w:rsidRPr="00125499">
        <w:rPr>
          <w:rFonts w:asciiTheme="minorHAnsi" w:hAnsiTheme="minorHAnsi"/>
          <w:color w:val="000000"/>
        </w:rPr>
        <w:t xml:space="preserve"> 2089 (WCB 2016</w:t>
      </w:r>
      <w:r w:rsidR="0007557D">
        <w:rPr>
          <w:rFonts w:ascii="Calibri" w:eastAsia="Calibri" w:hAnsi="Calibri"/>
          <w:spacing w:val="0"/>
        </w:rPr>
        <w:t>)</w:t>
      </w:r>
      <w:r>
        <w:rPr>
          <w:rFonts w:ascii="Calibri" w:eastAsia="Calibri" w:hAnsi="Calibri"/>
          <w:spacing w:val="0"/>
        </w:rPr>
        <w:t>(Wireline Competition Bur. &amp; Wireless Telecom. Bur.,</w:t>
      </w:r>
      <w:r w:rsidRPr="00B51DE0">
        <w:rPr>
          <w:rFonts w:ascii="Calibri" w:eastAsia="Calibri" w:hAnsi="Calibri"/>
          <w:i/>
          <w:spacing w:val="0"/>
        </w:rPr>
        <w:t xml:space="preserve"> </w:t>
      </w:r>
      <w:r>
        <w:rPr>
          <w:rFonts w:ascii="Calibri" w:eastAsia="Calibri" w:hAnsi="Calibri"/>
          <w:spacing w:val="0"/>
        </w:rPr>
        <w:t>rel.</w:t>
      </w:r>
      <w:r w:rsidRPr="00B51DE0">
        <w:rPr>
          <w:rFonts w:ascii="Calibri" w:eastAsia="Calibri" w:hAnsi="Calibri"/>
          <w:spacing w:val="0"/>
        </w:rPr>
        <w:t xml:space="preserve"> </w:t>
      </w:r>
      <w:r w:rsidR="0007557D">
        <w:rPr>
          <w:rFonts w:ascii="Calibri" w:eastAsia="Calibri" w:hAnsi="Calibri"/>
          <w:spacing w:val="0"/>
        </w:rPr>
        <w:t>March 22</w:t>
      </w:r>
      <w:r w:rsidRPr="00B51DE0">
        <w:rPr>
          <w:rFonts w:ascii="Calibri" w:eastAsia="Calibri" w:hAnsi="Calibri"/>
          <w:spacing w:val="0"/>
        </w:rPr>
        <w:t>, 201</w:t>
      </w:r>
      <w:r w:rsidR="0007557D">
        <w:rPr>
          <w:rFonts w:ascii="Calibri" w:eastAsia="Calibri" w:hAnsi="Calibri"/>
          <w:spacing w:val="0"/>
        </w:rPr>
        <w:t>6</w:t>
      </w:r>
      <w:r>
        <w:rPr>
          <w:rFonts w:ascii="Calibri" w:eastAsia="Calibri" w:hAnsi="Calibri"/>
          <w:spacing w:val="0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F07B9" w14:textId="0ED4862F" w:rsidR="00CB22B7" w:rsidRDefault="00C07C79" w:rsidP="008E7DA5">
    <w:pPr>
      <w:pStyle w:val="Header"/>
      <w:ind w:left="0"/>
    </w:pPr>
    <w:r>
      <w:rPr>
        <w:noProof/>
      </w:rPr>
      <w:drawing>
        <wp:inline distT="0" distB="0" distL="0" distR="0" wp14:anchorId="0A2C6164" wp14:editId="63A0E22A">
          <wp:extent cx="2103120" cy="556260"/>
          <wp:effectExtent l="0" t="0" r="0" b="0"/>
          <wp:docPr id="7" name="Picture 1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22B7">
      <w:t xml:space="preserve">                                           </w:t>
    </w:r>
  </w:p>
  <w:p w14:paraId="4F5ED1AF" w14:textId="77777777" w:rsidR="00CB22B7" w:rsidRDefault="00CB22B7" w:rsidP="008E7DA5">
    <w:pPr>
      <w:pStyle w:val="Header"/>
      <w:ind w:left="0"/>
    </w:pPr>
  </w:p>
  <w:p w14:paraId="5FC702F1" w14:textId="70C8CA90" w:rsidR="00CB22B7" w:rsidRPr="00B51DE0" w:rsidRDefault="00CB22B7" w:rsidP="00A8038C">
    <w:pPr>
      <w:spacing w:after="200" w:line="276" w:lineRule="auto"/>
      <w:ind w:left="0"/>
      <w:rPr>
        <w:rFonts w:ascii="Calibri" w:eastAsia="Calibri" w:hAnsi="Calibri"/>
        <w:spacing w:val="0"/>
        <w:sz w:val="24"/>
        <w:szCs w:val="24"/>
      </w:rPr>
    </w:pPr>
  </w:p>
  <w:p w14:paraId="698C5F76" w14:textId="612D6063" w:rsidR="003E042F" w:rsidRPr="003E042F" w:rsidRDefault="003E042F" w:rsidP="003E042F">
    <w:pPr>
      <w:autoSpaceDE w:val="0"/>
      <w:autoSpaceDN w:val="0"/>
      <w:adjustRightInd w:val="0"/>
      <w:ind w:left="0"/>
      <w:jc w:val="center"/>
      <w:rPr>
        <w:rFonts w:asciiTheme="minorHAnsi" w:eastAsiaTheme="minorHAnsi" w:hAnsiTheme="minorHAnsi" w:cstheme="minorBidi"/>
        <w:b/>
        <w:spacing w:val="0"/>
        <w:sz w:val="24"/>
        <w:szCs w:val="24"/>
      </w:rPr>
    </w:pPr>
    <w:r w:rsidRPr="003E042F">
      <w:rPr>
        <w:rFonts w:asciiTheme="minorHAnsi" w:eastAsiaTheme="minorHAnsi" w:hAnsiTheme="minorHAnsi" w:cstheme="minorBidi"/>
        <w:b/>
        <w:spacing w:val="0"/>
        <w:sz w:val="24"/>
        <w:szCs w:val="24"/>
      </w:rPr>
      <w:t>CONFIDENTIAL INFORMATION –– SUBJECT TO PROTECTIVE ORDER IN WC DOCKET NOS. 14-58, 10-90,</w:t>
    </w:r>
  </w:p>
  <w:p w14:paraId="170A6306" w14:textId="24D7A96E" w:rsidR="00CB22B7" w:rsidRDefault="003E042F" w:rsidP="003E042F">
    <w:pPr>
      <w:pStyle w:val="Header"/>
      <w:ind w:left="0"/>
      <w:jc w:val="center"/>
    </w:pPr>
    <w:r w:rsidRPr="003E042F">
      <w:rPr>
        <w:rFonts w:asciiTheme="minorHAnsi" w:eastAsiaTheme="minorHAnsi" w:hAnsiTheme="minorHAnsi" w:cstheme="minorBidi"/>
        <w:b/>
        <w:spacing w:val="0"/>
        <w:sz w:val="24"/>
        <w:szCs w:val="24"/>
      </w:rPr>
      <w:t xml:space="preserve">31 FCC </w:t>
    </w:r>
    <w:proofErr w:type="spellStart"/>
    <w:r w:rsidRPr="003E042F">
      <w:rPr>
        <w:rFonts w:asciiTheme="minorHAnsi" w:eastAsiaTheme="minorHAnsi" w:hAnsiTheme="minorHAnsi" w:cstheme="minorBidi"/>
        <w:b/>
        <w:spacing w:val="0"/>
        <w:sz w:val="24"/>
        <w:szCs w:val="24"/>
      </w:rPr>
      <w:t>Rcd</w:t>
    </w:r>
    <w:proofErr w:type="spellEnd"/>
    <w:r w:rsidRPr="003E042F">
      <w:rPr>
        <w:rFonts w:asciiTheme="minorHAnsi" w:eastAsiaTheme="minorHAnsi" w:hAnsiTheme="minorHAnsi" w:cstheme="minorBidi"/>
        <w:b/>
        <w:spacing w:val="0"/>
        <w:sz w:val="24"/>
        <w:szCs w:val="24"/>
      </w:rPr>
      <w:t xml:space="preserve"> 2089 (WCB 2016</w:t>
    </w:r>
    <w:r w:rsidRPr="003E042F">
      <w:rPr>
        <w:rFonts w:asciiTheme="minorHAnsi" w:eastAsiaTheme="minorHAnsi" w:hAnsiTheme="minorHAnsi" w:cstheme="minorBidi"/>
        <w:b/>
        <w:color w:val="000000"/>
        <w:spacing w:val="0"/>
        <w:sz w:val="24"/>
        <w:szCs w:val="24"/>
      </w:rPr>
      <w:t xml:space="preserve">) </w:t>
    </w:r>
    <w:r w:rsidRPr="003E042F">
      <w:rPr>
        <w:rFonts w:asciiTheme="minorHAnsi" w:eastAsiaTheme="minorHAnsi" w:hAnsiTheme="minorHAnsi" w:cstheme="minorBidi"/>
        <w:b/>
        <w:spacing w:val="0"/>
        <w:sz w:val="24"/>
        <w:szCs w:val="24"/>
      </w:rPr>
      <w:t>BEFORE THE FEDERAL COMMUNICATIONS COMMISSION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AE3D1" w14:textId="42B39821" w:rsidR="00CB22B7" w:rsidRDefault="00C07C79" w:rsidP="008E7DA5">
    <w:pPr>
      <w:pStyle w:val="Header"/>
      <w:ind w:left="0"/>
    </w:pPr>
    <w:r>
      <w:rPr>
        <w:noProof/>
      </w:rPr>
      <w:drawing>
        <wp:inline distT="0" distB="0" distL="0" distR="0" wp14:anchorId="7EDFF271" wp14:editId="7064CBB0">
          <wp:extent cx="2103120" cy="556260"/>
          <wp:effectExtent l="0" t="0" r="0" b="0"/>
          <wp:docPr id="5" name="Picture 1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BCEF3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218F2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66E7B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386A8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58C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A2901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2102F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37A12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C10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1C2E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6B8A2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D64C04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2326409"/>
    <w:multiLevelType w:val="hybridMultilevel"/>
    <w:tmpl w:val="F984E590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D85834"/>
    <w:multiLevelType w:val="hybridMultilevel"/>
    <w:tmpl w:val="F98294CA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FE5C22"/>
    <w:multiLevelType w:val="hybridMultilevel"/>
    <w:tmpl w:val="B718B3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8A7710"/>
    <w:multiLevelType w:val="hybridMultilevel"/>
    <w:tmpl w:val="FC3E6E74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8B33EA8"/>
    <w:multiLevelType w:val="multilevel"/>
    <w:tmpl w:val="8EFA8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E96A93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ED34B7A"/>
    <w:multiLevelType w:val="hybridMultilevel"/>
    <w:tmpl w:val="88D4AC32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521101"/>
    <w:multiLevelType w:val="multilevel"/>
    <w:tmpl w:val="59463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96F65"/>
    <w:multiLevelType w:val="hybridMultilevel"/>
    <w:tmpl w:val="8EFA8C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8E3C78"/>
    <w:multiLevelType w:val="multilevel"/>
    <w:tmpl w:val="D8DC2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BB10DB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C33F60"/>
    <w:multiLevelType w:val="multilevel"/>
    <w:tmpl w:val="B718B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2D7ED4"/>
    <w:multiLevelType w:val="hybridMultilevel"/>
    <w:tmpl w:val="E4D07C4A"/>
    <w:lvl w:ilvl="0" w:tplc="97203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75588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957971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D213EC"/>
    <w:multiLevelType w:val="hybridMultilevel"/>
    <w:tmpl w:val="F60CB006"/>
    <w:lvl w:ilvl="0" w:tplc="78F6E6B0">
      <w:start w:val="1"/>
      <w:numFmt w:val="bullet"/>
      <w:lvlText w:val="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>
    <w:nsid w:val="336A2AE4"/>
    <w:multiLevelType w:val="hybridMultilevel"/>
    <w:tmpl w:val="66F08E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ED53BB"/>
    <w:multiLevelType w:val="hybridMultilevel"/>
    <w:tmpl w:val="D8DC23C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302EBE"/>
    <w:multiLevelType w:val="multilevel"/>
    <w:tmpl w:val="66F08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C13017"/>
    <w:multiLevelType w:val="hybridMultilevel"/>
    <w:tmpl w:val="594639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63B7D97"/>
    <w:multiLevelType w:val="hybridMultilevel"/>
    <w:tmpl w:val="E10ACE64"/>
    <w:lvl w:ilvl="0" w:tplc="299E169C">
      <w:start w:val="1"/>
      <w:numFmt w:val="bullet"/>
      <w:lvlText w:val="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abstractNum w:abstractNumId="33">
    <w:nsid w:val="65C21292"/>
    <w:multiLevelType w:val="hybridMultilevel"/>
    <w:tmpl w:val="20B41990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9243CE"/>
    <w:multiLevelType w:val="multilevel"/>
    <w:tmpl w:val="C4AC8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0003BA"/>
    <w:multiLevelType w:val="hybridMultilevel"/>
    <w:tmpl w:val="582A9D86"/>
    <w:lvl w:ilvl="0" w:tplc="299E169C">
      <w:start w:val="1"/>
      <w:numFmt w:val="bullet"/>
      <w:lvlText w:val="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9177024"/>
    <w:multiLevelType w:val="hybridMultilevel"/>
    <w:tmpl w:val="C4AC84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334174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741920"/>
    <w:multiLevelType w:val="multilevel"/>
    <w:tmpl w:val="F2D46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E940AC"/>
    <w:multiLevelType w:val="hybridMultilevel"/>
    <w:tmpl w:val="8F6456F6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5414B8"/>
    <w:multiLevelType w:val="hybridMultilevel"/>
    <w:tmpl w:val="0F4897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F448B8"/>
    <w:multiLevelType w:val="hybridMultilevel"/>
    <w:tmpl w:val="F2D461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4C706E"/>
    <w:multiLevelType w:val="hybridMultilevel"/>
    <w:tmpl w:val="0A6C56E6"/>
    <w:lvl w:ilvl="0" w:tplc="299E16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717FC6"/>
    <w:multiLevelType w:val="multilevel"/>
    <w:tmpl w:val="0F4897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4"/>
  </w:num>
  <w:num w:numId="3">
    <w:abstractNumId w:val="25"/>
  </w:num>
  <w:num w:numId="4">
    <w:abstractNumId w:val="41"/>
  </w:num>
  <w:num w:numId="5">
    <w:abstractNumId w:val="26"/>
  </w:num>
  <w:num w:numId="6">
    <w:abstractNumId w:val="29"/>
  </w:num>
  <w:num w:numId="7">
    <w:abstractNumId w:val="22"/>
  </w:num>
  <w:num w:numId="8">
    <w:abstractNumId w:val="31"/>
  </w:num>
  <w:num w:numId="9">
    <w:abstractNumId w:val="37"/>
  </w:num>
  <w:num w:numId="10">
    <w:abstractNumId w:val="28"/>
  </w:num>
  <w:num w:numId="11">
    <w:abstractNumId w:val="11"/>
  </w:num>
  <w:num w:numId="12">
    <w:abstractNumId w:val="14"/>
  </w:num>
  <w:num w:numId="13">
    <w:abstractNumId w:val="43"/>
  </w:num>
  <w:num w:numId="14">
    <w:abstractNumId w:val="20"/>
  </w:num>
  <w:num w:numId="15">
    <w:abstractNumId w:val="17"/>
  </w:num>
  <w:num w:numId="16">
    <w:abstractNumId w:val="36"/>
  </w:num>
  <w:num w:numId="17">
    <w:abstractNumId w:val="38"/>
  </w:num>
  <w:num w:numId="18">
    <w:abstractNumId w:val="18"/>
  </w:num>
  <w:num w:numId="19">
    <w:abstractNumId w:val="21"/>
  </w:num>
  <w:num w:numId="20">
    <w:abstractNumId w:val="13"/>
  </w:num>
  <w:num w:numId="21">
    <w:abstractNumId w:val="19"/>
  </w:num>
  <w:num w:numId="22">
    <w:abstractNumId w:val="42"/>
  </w:num>
  <w:num w:numId="23">
    <w:abstractNumId w:val="30"/>
  </w:num>
  <w:num w:numId="24">
    <w:abstractNumId w:val="33"/>
  </w:num>
  <w:num w:numId="25">
    <w:abstractNumId w:val="23"/>
  </w:num>
  <w:num w:numId="26">
    <w:abstractNumId w:val="15"/>
  </w:num>
  <w:num w:numId="27">
    <w:abstractNumId w:val="16"/>
  </w:num>
  <w:num w:numId="28">
    <w:abstractNumId w:val="39"/>
  </w:num>
  <w:num w:numId="29">
    <w:abstractNumId w:val="34"/>
  </w:num>
  <w:num w:numId="30">
    <w:abstractNumId w:val="12"/>
  </w:num>
  <w:num w:numId="31">
    <w:abstractNumId w:val="32"/>
  </w:num>
  <w:num w:numId="32">
    <w:abstractNumId w:val="35"/>
  </w:num>
  <w:num w:numId="33">
    <w:abstractNumId w:val="0"/>
  </w:num>
  <w:num w:numId="34">
    <w:abstractNumId w:val="10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9"/>
  </w:num>
  <w:num w:numId="40">
    <w:abstractNumId w:val="4"/>
  </w:num>
  <w:num w:numId="41">
    <w:abstractNumId w:val="3"/>
  </w:num>
  <w:num w:numId="42">
    <w:abstractNumId w:val="2"/>
  </w:num>
  <w:num w:numId="43">
    <w:abstractNumId w:val="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BF"/>
    <w:rsid w:val="0007557D"/>
    <w:rsid w:val="000A0B71"/>
    <w:rsid w:val="000E20C0"/>
    <w:rsid w:val="00125499"/>
    <w:rsid w:val="0014639B"/>
    <w:rsid w:val="00191EBB"/>
    <w:rsid w:val="001D292F"/>
    <w:rsid w:val="001E4383"/>
    <w:rsid w:val="001E68C6"/>
    <w:rsid w:val="00202BF6"/>
    <w:rsid w:val="002177BF"/>
    <w:rsid w:val="00242FD9"/>
    <w:rsid w:val="002F6373"/>
    <w:rsid w:val="003C0CD6"/>
    <w:rsid w:val="003E042F"/>
    <w:rsid w:val="00473661"/>
    <w:rsid w:val="00524AC3"/>
    <w:rsid w:val="00533E13"/>
    <w:rsid w:val="00593B06"/>
    <w:rsid w:val="00636E9A"/>
    <w:rsid w:val="00645170"/>
    <w:rsid w:val="006E28AA"/>
    <w:rsid w:val="00720954"/>
    <w:rsid w:val="007B5F6E"/>
    <w:rsid w:val="007C4AA0"/>
    <w:rsid w:val="007E2762"/>
    <w:rsid w:val="007F4737"/>
    <w:rsid w:val="00800D54"/>
    <w:rsid w:val="00803F1D"/>
    <w:rsid w:val="008C26F8"/>
    <w:rsid w:val="008E1674"/>
    <w:rsid w:val="008E7DA5"/>
    <w:rsid w:val="009079BC"/>
    <w:rsid w:val="00914BCD"/>
    <w:rsid w:val="0093797B"/>
    <w:rsid w:val="009873EB"/>
    <w:rsid w:val="009A60D3"/>
    <w:rsid w:val="00A141EE"/>
    <w:rsid w:val="00A751C3"/>
    <w:rsid w:val="00A8038C"/>
    <w:rsid w:val="00B03514"/>
    <w:rsid w:val="00B07527"/>
    <w:rsid w:val="00B43CBA"/>
    <w:rsid w:val="00B51DE0"/>
    <w:rsid w:val="00C04FA2"/>
    <w:rsid w:val="00C07C79"/>
    <w:rsid w:val="00C24BAF"/>
    <w:rsid w:val="00C27BAA"/>
    <w:rsid w:val="00C96CB1"/>
    <w:rsid w:val="00CB22B7"/>
    <w:rsid w:val="00CC7C4C"/>
    <w:rsid w:val="00D22B7F"/>
    <w:rsid w:val="00D26876"/>
    <w:rsid w:val="00D81C1C"/>
    <w:rsid w:val="00DC612A"/>
    <w:rsid w:val="00E42887"/>
    <w:rsid w:val="00E46AC2"/>
    <w:rsid w:val="00EA1081"/>
    <w:rsid w:val="00F320A5"/>
    <w:rsid w:val="00F635C2"/>
    <w:rsid w:val="00FA2551"/>
    <w:rsid w:val="00FE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5097F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7BF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2177BF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77BF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2177BF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Footer">
    <w:name w:val="footer"/>
    <w:basedOn w:val="Normal"/>
    <w:rsid w:val="002177BF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paragraph" w:styleId="MessageHeader">
    <w:name w:val="Message Header"/>
    <w:basedOn w:val="BodyText"/>
    <w:rsid w:val="002177BF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2177BF"/>
    <w:pPr>
      <w:spacing w:before="220"/>
    </w:pPr>
  </w:style>
  <w:style w:type="character" w:customStyle="1" w:styleId="MessageHeaderLabel">
    <w:name w:val="Message Header Label"/>
    <w:rsid w:val="002177BF"/>
    <w:rPr>
      <w:rFonts w:ascii="Arial Black" w:hAnsi="Arial Black"/>
      <w:spacing w:val="-10"/>
      <w:sz w:val="18"/>
    </w:rPr>
  </w:style>
  <w:style w:type="character" w:styleId="PageNumber">
    <w:name w:val="page number"/>
    <w:rsid w:val="002177BF"/>
    <w:rPr>
      <w:sz w:val="18"/>
    </w:rPr>
  </w:style>
  <w:style w:type="character" w:styleId="Strong">
    <w:name w:val="Strong"/>
    <w:basedOn w:val="DefaultParagraphFont"/>
    <w:qFormat/>
    <w:rsid w:val="002177BF"/>
    <w:rPr>
      <w:b/>
      <w:bCs/>
    </w:rPr>
  </w:style>
  <w:style w:type="paragraph" w:styleId="NormalWeb">
    <w:name w:val="Normal (Web)"/>
    <w:basedOn w:val="Normal"/>
    <w:rsid w:val="002177BF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styleId="Header">
    <w:name w:val="header"/>
    <w:basedOn w:val="Normal"/>
    <w:rsid w:val="002177B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4D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9248D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C7C4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C7C4C"/>
    <w:rPr>
      <w:rFonts w:ascii="Arial" w:hAnsi="Arial"/>
      <w:spacing w:val="-5"/>
      <w:sz w:val="24"/>
      <w:szCs w:val="24"/>
    </w:rPr>
  </w:style>
  <w:style w:type="character" w:styleId="FootnoteReference">
    <w:name w:val="footnote reference"/>
    <w:basedOn w:val="DefaultParagraphFont"/>
    <w:rsid w:val="00CC7C4C"/>
    <w:rPr>
      <w:vertAlign w:val="superscript"/>
    </w:rPr>
  </w:style>
  <w:style w:type="paragraph" w:styleId="Revision">
    <w:name w:val="Revision"/>
    <w:hidden/>
    <w:uiPriority w:val="99"/>
    <w:semiHidden/>
    <w:rsid w:val="00720954"/>
    <w:rPr>
      <w:rFonts w:ascii="Arial" w:hAnsi="Arial"/>
      <w:spacing w:val="-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7BF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2177BF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77BF"/>
    <w:pPr>
      <w:spacing w:after="220" w:line="180" w:lineRule="atLeast"/>
      <w:jc w:val="both"/>
    </w:pPr>
  </w:style>
  <w:style w:type="paragraph" w:customStyle="1" w:styleId="DocumentLabel">
    <w:name w:val="Document Label"/>
    <w:basedOn w:val="Normal"/>
    <w:next w:val="Normal"/>
    <w:rsid w:val="002177BF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styleId="Footer">
    <w:name w:val="footer"/>
    <w:basedOn w:val="Normal"/>
    <w:rsid w:val="002177BF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paragraph" w:styleId="MessageHeader">
    <w:name w:val="Message Header"/>
    <w:basedOn w:val="BodyText"/>
    <w:rsid w:val="002177BF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2177BF"/>
    <w:pPr>
      <w:spacing w:before="220"/>
    </w:pPr>
  </w:style>
  <w:style w:type="character" w:customStyle="1" w:styleId="MessageHeaderLabel">
    <w:name w:val="Message Header Label"/>
    <w:rsid w:val="002177BF"/>
    <w:rPr>
      <w:rFonts w:ascii="Arial Black" w:hAnsi="Arial Black"/>
      <w:spacing w:val="-10"/>
      <w:sz w:val="18"/>
    </w:rPr>
  </w:style>
  <w:style w:type="character" w:styleId="PageNumber">
    <w:name w:val="page number"/>
    <w:rsid w:val="002177BF"/>
    <w:rPr>
      <w:sz w:val="18"/>
    </w:rPr>
  </w:style>
  <w:style w:type="character" w:styleId="Strong">
    <w:name w:val="Strong"/>
    <w:basedOn w:val="DefaultParagraphFont"/>
    <w:qFormat/>
    <w:rsid w:val="002177BF"/>
    <w:rPr>
      <w:b/>
      <w:bCs/>
    </w:rPr>
  </w:style>
  <w:style w:type="paragraph" w:styleId="NormalWeb">
    <w:name w:val="Normal (Web)"/>
    <w:basedOn w:val="Normal"/>
    <w:rsid w:val="002177BF"/>
    <w:pPr>
      <w:spacing w:before="100" w:beforeAutospacing="1" w:after="100" w:afterAutospacing="1"/>
      <w:ind w:left="0"/>
    </w:pPr>
    <w:rPr>
      <w:rFonts w:ascii="Times New Roman" w:hAnsi="Times New Roman"/>
      <w:spacing w:val="0"/>
      <w:sz w:val="24"/>
      <w:szCs w:val="24"/>
    </w:rPr>
  </w:style>
  <w:style w:type="paragraph" w:styleId="Header">
    <w:name w:val="header"/>
    <w:basedOn w:val="Normal"/>
    <w:rsid w:val="002177B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4D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9248D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C7C4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C7C4C"/>
    <w:rPr>
      <w:rFonts w:ascii="Arial" w:hAnsi="Arial"/>
      <w:spacing w:val="-5"/>
      <w:sz w:val="24"/>
      <w:szCs w:val="24"/>
    </w:rPr>
  </w:style>
  <w:style w:type="character" w:styleId="FootnoteReference">
    <w:name w:val="footnote reference"/>
    <w:basedOn w:val="DefaultParagraphFont"/>
    <w:rsid w:val="00CC7C4C"/>
    <w:rPr>
      <w:vertAlign w:val="superscript"/>
    </w:rPr>
  </w:style>
  <w:style w:type="paragraph" w:styleId="Revision">
    <w:name w:val="Revision"/>
    <w:hidden/>
    <w:uiPriority w:val="99"/>
    <w:semiHidden/>
    <w:rsid w:val="00720954"/>
    <w:rPr>
      <w:rFonts w:ascii="Arial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consolidated.com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consolidat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B74EABA246794AB78562EE05A9FA6F" ma:contentTypeVersion="0" ma:contentTypeDescription="Create a new document." ma:contentTypeScope="" ma:versionID="a226529ab8aab3c1c2e0a15536c3b3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1903-F77D-451A-A40E-11CBC2F6F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ED6AE-17A0-4824-8813-F7EDF830B5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1FBA4D6-1CE2-40EA-A006-E9BF29037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DEA130-297C-46AA-B856-FDC9B1EFC372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2F6E556-8987-4456-BA03-941348D5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>Hill | Holliday Advertising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Emily Powers</dc:creator>
  <cp:lastModifiedBy>Galardo, Barbara  (Portland, ME)</cp:lastModifiedBy>
  <cp:revision>2</cp:revision>
  <cp:lastPrinted>2017-08-07T13:53:00Z</cp:lastPrinted>
  <dcterms:created xsi:type="dcterms:W3CDTF">2018-06-27T19:40:00Z</dcterms:created>
  <dcterms:modified xsi:type="dcterms:W3CDTF">2018-06-27T19:40:00Z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isplay_urn:schemas-microsoft-com:office:office#Editor">
    <vt:lpwstr>FAIRPOINT\trowell</vt:lpwstr>
  </property>
  <property fmtid="{D5CDD505-2E9C-101B-9397-08002B2CF9AE}" pid="4" name="xd_Signature">
    <vt:lpwstr/>
  </property>
  <property fmtid="{D5CDD505-2E9C-101B-9397-08002B2CF9AE}" pid="5" name="display_urn:schemas-microsoft-com:office:office#Author">
    <vt:lpwstr>FAIRPOINT\trowell</vt:lpwstr>
  </property>
  <property fmtid="{D5CDD505-2E9C-101B-9397-08002B2CF9AE}" pid="6" name="TemplateUrl">
    <vt:lpwstr/>
  </property>
  <property fmtid="{D5CDD505-2E9C-101B-9397-08002B2CF9AE}" pid="7" name="xd_ProgID">
    <vt:lpwstr/>
  </property>
</Properties>
</file>