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053" w:rsidRDefault="00903053" w:rsidP="00A43090">
      <w:r>
        <w:t xml:space="preserve">Two points – First and foremost ceding control of my speeds to the likes of ATT, TimeWarner and Charter, is terrifying. I already have enough issues with the treatment of their customers and we have limited options given the monopoly power in this space to choose other providers. These providers are consistently ranked among the least trustworthy and least reliable among fortune 500 companies. If you’ve ever had to deal with your local telecommunications </w:t>
      </w:r>
      <w:r w:rsidR="00CF4F39">
        <w:t xml:space="preserve">(which is what they are and should be regulated as such) </w:t>
      </w:r>
      <w:r>
        <w:t>firm, it’s a nightmare and something I wouldn’t wish on my worst enemy. We are essentially chained to our ISP, which leads me to my second point…</w:t>
      </w:r>
    </w:p>
    <w:p w:rsidR="000C63F5" w:rsidRDefault="00903053" w:rsidP="00A43090">
      <w:r>
        <w:br/>
        <w:t xml:space="preserve">I enjoy doing a lot of things on the internet – such as gaming, streaming, shopping, etc. In a world where my ISP can control or charge me for doing what I want to do online, its highly like that Electronic Arts may offer my ISP a deal to provide faster services for its inferior games, limited my enjoyment of games I enjoy, though my indie developers don’t have the funds to openly bribe (which is what the FCC is apparently advocating) an ISP to give its game the same treatment as Electronic Arts. If I use Google instead of Bing,or want to stream on another website – all of these situations could be impacted. If the FCC finds the contributions from the telecommunication companies who are saying they aren’t in the telecommunications business sufficient to pass this regulation, I strongly implore the FTC and the DOJ to use their enforce with viciousness any company that can acquire a large enough block of customers to leave the choices at one or two ISPs per customer. This is the world I live in already – my choices are TimeWarner or ATT – both </w:t>
      </w:r>
      <w:r w:rsidR="00CF4F39">
        <w:t>have horrible reviews and both would gladly find another way to shake me out of a few more bucks.</w:t>
      </w:r>
    </w:p>
    <w:p w:rsidR="00CF4F39" w:rsidRDefault="00CF4F39" w:rsidP="00A43090"/>
    <w:p w:rsidR="00CF4F39" w:rsidRPr="00A43090" w:rsidRDefault="00CF4F39" w:rsidP="00A43090">
      <w:r>
        <w:t xml:space="preserve">Please leave the current rules in place, which protect all internet users, providing the freedom to choose what they want to view and when, while paying the isp’s to provide an end to end system – the telecommunications - </w:t>
      </w:r>
      <w:r>
        <w:t xml:space="preserve">to do </w:t>
      </w:r>
      <w:r>
        <w:t xml:space="preserve">just </w:t>
      </w:r>
      <w:r>
        <w:t>that</w:t>
      </w:r>
      <w:r>
        <w:t xml:space="preserve">. Imagine if your telecommunications provide limited the amount of words you could say on your call, or who you could call? </w:t>
      </w:r>
      <w:bookmarkStart w:id="0" w:name="_GoBack"/>
      <w:bookmarkEnd w:id="0"/>
    </w:p>
    <w:sectPr w:rsidR="00CF4F39" w:rsidRPr="00A4309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053" w:rsidRDefault="00903053" w:rsidP="00850D93">
      <w:r>
        <w:separator/>
      </w:r>
    </w:p>
  </w:endnote>
  <w:endnote w:type="continuationSeparator" w:id="0">
    <w:p w:rsidR="00903053" w:rsidRDefault="00903053" w:rsidP="00850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053" w:rsidRDefault="00903053" w:rsidP="00850D93">
      <w:r>
        <w:separator/>
      </w:r>
    </w:p>
  </w:footnote>
  <w:footnote w:type="continuationSeparator" w:id="0">
    <w:p w:rsidR="00903053" w:rsidRDefault="00903053" w:rsidP="00850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DAE0A2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3A6171"/>
    <w:multiLevelType w:val="hybridMultilevel"/>
    <w:tmpl w:val="9D763A90"/>
    <w:lvl w:ilvl="0" w:tplc="2662C06A">
      <w:start w:val="1"/>
      <w:numFmt w:val="bullet"/>
      <w:pStyle w:val="BulletedText"/>
      <w:lvlText w:val=""/>
      <w:lvlJc w:val="left"/>
      <w:pPr>
        <w:tabs>
          <w:tab w:val="num" w:pos="180"/>
        </w:tabs>
        <w:ind w:left="180" w:hanging="180"/>
      </w:pPr>
      <w:rPr>
        <w:rFonts w:ascii="Symbol" w:hAnsi="Symbol" w:hint="default"/>
        <w:strike w:val="0"/>
        <w:dstrike w:val="0"/>
        <w:color w:val="255282"/>
        <w:sz w:val="18"/>
      </w:rPr>
    </w:lvl>
    <w:lvl w:ilvl="1" w:tplc="53988646" w:tentative="1">
      <w:start w:val="1"/>
      <w:numFmt w:val="bullet"/>
      <w:lvlText w:val="o"/>
      <w:lvlJc w:val="left"/>
      <w:pPr>
        <w:tabs>
          <w:tab w:val="num" w:pos="1440"/>
        </w:tabs>
        <w:ind w:left="1440" w:hanging="360"/>
      </w:pPr>
      <w:rPr>
        <w:rFonts w:ascii="Courier New" w:hAnsi="Courier New" w:hint="default"/>
      </w:rPr>
    </w:lvl>
    <w:lvl w:ilvl="2" w:tplc="8B085CFE" w:tentative="1">
      <w:start w:val="1"/>
      <w:numFmt w:val="bullet"/>
      <w:lvlText w:val=""/>
      <w:lvlJc w:val="left"/>
      <w:pPr>
        <w:tabs>
          <w:tab w:val="num" w:pos="2160"/>
        </w:tabs>
        <w:ind w:left="2160" w:hanging="360"/>
      </w:pPr>
      <w:rPr>
        <w:rFonts w:ascii="Wingdings" w:hAnsi="Wingdings" w:hint="default"/>
      </w:rPr>
    </w:lvl>
    <w:lvl w:ilvl="3" w:tplc="FEA00D40" w:tentative="1">
      <w:start w:val="1"/>
      <w:numFmt w:val="bullet"/>
      <w:lvlText w:val=""/>
      <w:lvlJc w:val="left"/>
      <w:pPr>
        <w:tabs>
          <w:tab w:val="num" w:pos="2880"/>
        </w:tabs>
        <w:ind w:left="2880" w:hanging="360"/>
      </w:pPr>
      <w:rPr>
        <w:rFonts w:ascii="Symbol" w:hAnsi="Symbol" w:hint="default"/>
      </w:rPr>
    </w:lvl>
    <w:lvl w:ilvl="4" w:tplc="BFFA5ACC" w:tentative="1">
      <w:start w:val="1"/>
      <w:numFmt w:val="bullet"/>
      <w:lvlText w:val="o"/>
      <w:lvlJc w:val="left"/>
      <w:pPr>
        <w:tabs>
          <w:tab w:val="num" w:pos="3600"/>
        </w:tabs>
        <w:ind w:left="3600" w:hanging="360"/>
      </w:pPr>
      <w:rPr>
        <w:rFonts w:ascii="Courier New" w:hAnsi="Courier New" w:hint="default"/>
      </w:rPr>
    </w:lvl>
    <w:lvl w:ilvl="5" w:tplc="C5EC9F3C" w:tentative="1">
      <w:start w:val="1"/>
      <w:numFmt w:val="bullet"/>
      <w:lvlText w:val=""/>
      <w:lvlJc w:val="left"/>
      <w:pPr>
        <w:tabs>
          <w:tab w:val="num" w:pos="4320"/>
        </w:tabs>
        <w:ind w:left="4320" w:hanging="360"/>
      </w:pPr>
      <w:rPr>
        <w:rFonts w:ascii="Wingdings" w:hAnsi="Wingdings" w:hint="default"/>
      </w:rPr>
    </w:lvl>
    <w:lvl w:ilvl="6" w:tplc="42C04B3A" w:tentative="1">
      <w:start w:val="1"/>
      <w:numFmt w:val="bullet"/>
      <w:lvlText w:val=""/>
      <w:lvlJc w:val="left"/>
      <w:pPr>
        <w:tabs>
          <w:tab w:val="num" w:pos="5040"/>
        </w:tabs>
        <w:ind w:left="5040" w:hanging="360"/>
      </w:pPr>
      <w:rPr>
        <w:rFonts w:ascii="Symbol" w:hAnsi="Symbol" w:hint="default"/>
      </w:rPr>
    </w:lvl>
    <w:lvl w:ilvl="7" w:tplc="4CD05916" w:tentative="1">
      <w:start w:val="1"/>
      <w:numFmt w:val="bullet"/>
      <w:lvlText w:val="o"/>
      <w:lvlJc w:val="left"/>
      <w:pPr>
        <w:tabs>
          <w:tab w:val="num" w:pos="5760"/>
        </w:tabs>
        <w:ind w:left="5760" w:hanging="360"/>
      </w:pPr>
      <w:rPr>
        <w:rFonts w:ascii="Courier New" w:hAnsi="Courier New" w:hint="default"/>
      </w:rPr>
    </w:lvl>
    <w:lvl w:ilvl="8" w:tplc="265E6F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B90A08"/>
    <w:multiLevelType w:val="hybridMultilevel"/>
    <w:tmpl w:val="C3FC4554"/>
    <w:lvl w:ilvl="0" w:tplc="03F634D8">
      <w:start w:val="1"/>
      <w:numFmt w:val="bullet"/>
      <w:pStyle w:val="BlueBullets"/>
      <w:lvlText w:val=""/>
      <w:lvlJc w:val="left"/>
      <w:pPr>
        <w:tabs>
          <w:tab w:val="num" w:pos="180"/>
        </w:tabs>
        <w:ind w:left="180" w:hanging="180"/>
      </w:pPr>
      <w:rPr>
        <w:rFonts w:ascii="Symbol" w:hAnsi="Symbol" w:hint="default"/>
        <w:strike w:val="0"/>
        <w:dstrike w:val="0"/>
        <w:color w:val="5F9BCF"/>
        <w:sz w:val="18"/>
      </w:rPr>
    </w:lvl>
    <w:lvl w:ilvl="1" w:tplc="9AA8CFD0" w:tentative="1">
      <w:start w:val="1"/>
      <w:numFmt w:val="bullet"/>
      <w:lvlText w:val="o"/>
      <w:lvlJc w:val="left"/>
      <w:pPr>
        <w:tabs>
          <w:tab w:val="num" w:pos="1440"/>
        </w:tabs>
        <w:ind w:left="1440" w:hanging="360"/>
      </w:pPr>
      <w:rPr>
        <w:rFonts w:ascii="Courier New" w:hAnsi="Courier New" w:hint="default"/>
      </w:rPr>
    </w:lvl>
    <w:lvl w:ilvl="2" w:tplc="0204911A" w:tentative="1">
      <w:start w:val="1"/>
      <w:numFmt w:val="bullet"/>
      <w:lvlText w:val=""/>
      <w:lvlJc w:val="left"/>
      <w:pPr>
        <w:tabs>
          <w:tab w:val="num" w:pos="2160"/>
        </w:tabs>
        <w:ind w:left="2160" w:hanging="360"/>
      </w:pPr>
      <w:rPr>
        <w:rFonts w:ascii="Wingdings" w:hAnsi="Wingdings" w:hint="default"/>
      </w:rPr>
    </w:lvl>
    <w:lvl w:ilvl="3" w:tplc="4058D496" w:tentative="1">
      <w:start w:val="1"/>
      <w:numFmt w:val="bullet"/>
      <w:lvlText w:val=""/>
      <w:lvlJc w:val="left"/>
      <w:pPr>
        <w:tabs>
          <w:tab w:val="num" w:pos="2880"/>
        </w:tabs>
        <w:ind w:left="2880" w:hanging="360"/>
      </w:pPr>
      <w:rPr>
        <w:rFonts w:ascii="Symbol" w:hAnsi="Symbol" w:hint="default"/>
      </w:rPr>
    </w:lvl>
    <w:lvl w:ilvl="4" w:tplc="4086B234" w:tentative="1">
      <w:start w:val="1"/>
      <w:numFmt w:val="bullet"/>
      <w:lvlText w:val="o"/>
      <w:lvlJc w:val="left"/>
      <w:pPr>
        <w:tabs>
          <w:tab w:val="num" w:pos="3600"/>
        </w:tabs>
        <w:ind w:left="3600" w:hanging="360"/>
      </w:pPr>
      <w:rPr>
        <w:rFonts w:ascii="Courier New" w:hAnsi="Courier New" w:hint="default"/>
      </w:rPr>
    </w:lvl>
    <w:lvl w:ilvl="5" w:tplc="050C00B2" w:tentative="1">
      <w:start w:val="1"/>
      <w:numFmt w:val="bullet"/>
      <w:lvlText w:val=""/>
      <w:lvlJc w:val="left"/>
      <w:pPr>
        <w:tabs>
          <w:tab w:val="num" w:pos="4320"/>
        </w:tabs>
        <w:ind w:left="4320" w:hanging="360"/>
      </w:pPr>
      <w:rPr>
        <w:rFonts w:ascii="Wingdings" w:hAnsi="Wingdings" w:hint="default"/>
      </w:rPr>
    </w:lvl>
    <w:lvl w:ilvl="6" w:tplc="0CC06D5E" w:tentative="1">
      <w:start w:val="1"/>
      <w:numFmt w:val="bullet"/>
      <w:lvlText w:val=""/>
      <w:lvlJc w:val="left"/>
      <w:pPr>
        <w:tabs>
          <w:tab w:val="num" w:pos="5040"/>
        </w:tabs>
        <w:ind w:left="5040" w:hanging="360"/>
      </w:pPr>
      <w:rPr>
        <w:rFonts w:ascii="Symbol" w:hAnsi="Symbol" w:hint="default"/>
      </w:rPr>
    </w:lvl>
    <w:lvl w:ilvl="7" w:tplc="2FA66970" w:tentative="1">
      <w:start w:val="1"/>
      <w:numFmt w:val="bullet"/>
      <w:lvlText w:val="o"/>
      <w:lvlJc w:val="left"/>
      <w:pPr>
        <w:tabs>
          <w:tab w:val="num" w:pos="5760"/>
        </w:tabs>
        <w:ind w:left="5760" w:hanging="360"/>
      </w:pPr>
      <w:rPr>
        <w:rFonts w:ascii="Courier New" w:hAnsi="Courier New" w:hint="default"/>
      </w:rPr>
    </w:lvl>
    <w:lvl w:ilvl="8" w:tplc="7A5C8D92"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053"/>
    <w:rsid w:val="000A4FBC"/>
    <w:rsid w:val="000C63F5"/>
    <w:rsid w:val="00174EBA"/>
    <w:rsid w:val="0029262F"/>
    <w:rsid w:val="003E5122"/>
    <w:rsid w:val="003E7FE2"/>
    <w:rsid w:val="005A3BD1"/>
    <w:rsid w:val="007A45D0"/>
    <w:rsid w:val="00850D93"/>
    <w:rsid w:val="008F7C7C"/>
    <w:rsid w:val="00903053"/>
    <w:rsid w:val="009E6E8E"/>
    <w:rsid w:val="009F6913"/>
    <w:rsid w:val="00A43090"/>
    <w:rsid w:val="00B978A6"/>
    <w:rsid w:val="00CB5902"/>
    <w:rsid w:val="00CF4F39"/>
    <w:rsid w:val="00D90F36"/>
    <w:rsid w:val="00DB0AA8"/>
    <w:rsid w:val="00DF15A2"/>
    <w:rsid w:val="00DF7704"/>
    <w:rsid w:val="00E44330"/>
    <w:rsid w:val="00FC3BF4"/>
    <w:rsid w:val="00FF7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18538B-90CB-477C-B8E1-2259391F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D93"/>
    <w:rPr>
      <w:rFonts w:asciiTheme="minorHAnsi" w:hAnsiTheme="minorHAnsi"/>
      <w:sz w:val="21"/>
      <w:szCs w:val="24"/>
      <w:lang w:eastAsia="ja-JP"/>
    </w:rPr>
  </w:style>
  <w:style w:type="paragraph" w:styleId="Heading1">
    <w:name w:val="heading 1"/>
    <w:basedOn w:val="Normal"/>
    <w:next w:val="Normal"/>
    <w:qFormat/>
    <w:pPr>
      <w:keepNext/>
      <w:tabs>
        <w:tab w:val="left" w:pos="6284"/>
      </w:tabs>
      <w:spacing w:line="240" w:lineRule="exact"/>
      <w:outlineLvl w:val="0"/>
    </w:pPr>
    <w:rPr>
      <w:b/>
      <w:sz w:val="28"/>
      <w:szCs w:val="20"/>
    </w:rPr>
  </w:style>
  <w:style w:type="paragraph" w:styleId="Heading2">
    <w:name w:val="heading 2"/>
    <w:basedOn w:val="Normal"/>
    <w:next w:val="Normal"/>
    <w:qFormat/>
    <w:pPr>
      <w:keepNext/>
      <w:tabs>
        <w:tab w:val="left" w:pos="6284"/>
      </w:tabs>
      <w:spacing w:before="100" w:line="220" w:lineRule="exact"/>
      <w:outlineLvl w:val="1"/>
    </w:pPr>
    <w:rPr>
      <w:b/>
      <w:noProof/>
      <w:szCs w:val="20"/>
    </w:rPr>
  </w:style>
  <w:style w:type="paragraph" w:styleId="Heading3">
    <w:name w:val="heading 3"/>
    <w:basedOn w:val="Normal"/>
    <w:next w:val="Normal"/>
    <w:qFormat/>
    <w:pPr>
      <w:keepNext/>
      <w:tabs>
        <w:tab w:val="left" w:pos="6284"/>
      </w:tabs>
      <w:spacing w:after="120"/>
      <w:outlineLvl w:val="2"/>
    </w:pPr>
    <w:rPr>
      <w:b/>
      <w:noProof/>
      <w:color w:val="000000"/>
      <w:sz w:val="16"/>
      <w:szCs w:val="20"/>
    </w:rPr>
  </w:style>
  <w:style w:type="paragraph" w:styleId="Heading4">
    <w:name w:val="heading 4"/>
    <w:basedOn w:val="Normal"/>
    <w:next w:val="Normal"/>
    <w:qFormat/>
    <w:pPr>
      <w:keepNext/>
      <w:tabs>
        <w:tab w:val="left" w:pos="6284"/>
      </w:tabs>
      <w:spacing w:after="120"/>
      <w:jc w:val="right"/>
      <w:outlineLvl w:val="3"/>
    </w:pPr>
    <w:rPr>
      <w:b/>
      <w:noProof/>
      <w:color w:val="000000"/>
      <w:sz w:val="16"/>
      <w:szCs w:val="20"/>
    </w:rPr>
  </w:style>
  <w:style w:type="paragraph" w:styleId="Heading5">
    <w:name w:val="heading 5"/>
    <w:basedOn w:val="Normal"/>
    <w:next w:val="Normal"/>
    <w:qFormat/>
    <w:pPr>
      <w:keepNext/>
      <w:outlineLvl w:val="4"/>
    </w:pPr>
    <w:rPr>
      <w:color w:val="5F9BCF"/>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pPr>
      <w:spacing w:after="110" w:line="220" w:lineRule="exact"/>
      <w:jc w:val="both"/>
    </w:pPr>
    <w:rPr>
      <w:sz w:val="18"/>
      <w:szCs w:val="20"/>
    </w:rPr>
  </w:style>
  <w:style w:type="paragraph" w:customStyle="1" w:styleId="Address">
    <w:name w:val="Address"/>
    <w:basedOn w:val="BodyCopy"/>
    <w:pPr>
      <w:tabs>
        <w:tab w:val="left" w:pos="2880"/>
      </w:tabs>
      <w:jc w:val="left"/>
    </w:pPr>
  </w:style>
  <w:style w:type="paragraph" w:customStyle="1" w:styleId="BlueBullets">
    <w:name w:val="Blue Bullets"/>
    <w:basedOn w:val="Normal"/>
    <w:pPr>
      <w:numPr>
        <w:numId w:val="1"/>
      </w:numPr>
      <w:tabs>
        <w:tab w:val="left" w:pos="6284"/>
      </w:tabs>
      <w:spacing w:before="100" w:line="220" w:lineRule="exact"/>
    </w:pPr>
    <w:rPr>
      <w:noProof/>
      <w:color w:val="5F9BCF"/>
      <w:sz w:val="18"/>
      <w:szCs w:val="20"/>
    </w:rPr>
  </w:style>
  <w:style w:type="character" w:customStyle="1" w:styleId="BulletHighlight">
    <w:name w:val="Bullet Highlight"/>
    <w:basedOn w:val="DefaultParagraphFont"/>
    <w:rPr>
      <w:rFonts w:ascii="Trebuchet MS" w:hAnsi="Trebuchet MS"/>
      <w:color w:val="5F9BCF"/>
      <w:sz w:val="18"/>
    </w:rPr>
  </w:style>
  <w:style w:type="paragraph" w:customStyle="1" w:styleId="BulletedText">
    <w:name w:val="Bulleted Text"/>
    <w:basedOn w:val="Normal"/>
    <w:pPr>
      <w:numPr>
        <w:numId w:val="2"/>
      </w:numPr>
      <w:tabs>
        <w:tab w:val="left" w:pos="6284"/>
      </w:tabs>
      <w:spacing w:before="100" w:line="220" w:lineRule="exact"/>
    </w:pPr>
    <w:rPr>
      <w:noProof/>
      <w:sz w:val="18"/>
      <w:szCs w:val="20"/>
    </w:rPr>
  </w:style>
  <w:style w:type="paragraph" w:customStyle="1" w:styleId="ChartHeadline">
    <w:name w:val="Chart Headline"/>
    <w:basedOn w:val="Normal"/>
    <w:autoRedefine/>
    <w:rPr>
      <w:color w:val="FFFFFF"/>
      <w:sz w:val="18"/>
      <w:szCs w:val="20"/>
    </w:rPr>
  </w:style>
  <w:style w:type="paragraph" w:styleId="Footer">
    <w:name w:val="footer"/>
    <w:basedOn w:val="Normal"/>
    <w:pPr>
      <w:tabs>
        <w:tab w:val="center" w:pos="4320"/>
        <w:tab w:val="right" w:pos="8640"/>
      </w:tabs>
    </w:pPr>
    <w:rPr>
      <w:szCs w:val="20"/>
    </w:rPr>
  </w:style>
  <w:style w:type="paragraph" w:styleId="Header">
    <w:name w:val="header"/>
    <w:basedOn w:val="Normal"/>
    <w:rsid w:val="00850D93"/>
    <w:pPr>
      <w:tabs>
        <w:tab w:val="center" w:pos="4320"/>
        <w:tab w:val="right" w:pos="8640"/>
      </w:tabs>
    </w:pPr>
    <w:rPr>
      <w:szCs w:val="20"/>
    </w:rPr>
  </w:style>
  <w:style w:type="paragraph" w:styleId="ListBullet">
    <w:name w:val="List Bullet"/>
    <w:basedOn w:val="Normal"/>
    <w:autoRedefine/>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Updated Default PPT Template">
  <a:themeElements>
    <a:clrScheme name="BLK 2016">
      <a:dk1>
        <a:srgbClr val="000000"/>
      </a:dk1>
      <a:lt1>
        <a:srgbClr val="FFFFFF"/>
      </a:lt1>
      <a:dk2>
        <a:srgbClr val="4F4E50"/>
      </a:dk2>
      <a:lt2>
        <a:srgbClr val="FFFFFF"/>
      </a:lt2>
      <a:accent1>
        <a:srgbClr val="003594"/>
      </a:accent1>
      <a:accent2>
        <a:srgbClr val="82BC00"/>
      </a:accent2>
      <a:accent3>
        <a:srgbClr val="27AFAF"/>
      </a:accent3>
      <a:accent4>
        <a:srgbClr val="F8971D"/>
      </a:accent4>
      <a:accent5>
        <a:srgbClr val="13B5EA"/>
      </a:accent5>
      <a:accent6>
        <a:srgbClr val="6C207E"/>
      </a:accent6>
      <a:hlink>
        <a:srgbClr val="003594"/>
      </a:hlink>
      <a:folHlink>
        <a:srgbClr val="82BC00"/>
      </a:folHlink>
    </a:clrScheme>
    <a:fontScheme name="BlackRoc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w="9525" cap="flat" cmpd="sng" algn="ctr">
          <a:noFill/>
          <a:prstDash val="solid"/>
        </a:ln>
        <a:effectLst/>
      </a:spPr>
      <a:bodyPr rot="0" spcFirstLastPara="0" vertOverflow="overflow" horzOverflow="overflow" vert="horz" wrap="square" lIns="72000" tIns="36000" rIns="72000" bIns="36000" numCol="1" spcCol="0" rtlCol="0" fromWordArt="0" anchor="ctr" anchorCtr="1" forceAA="0" compatLnSpc="1">
        <a:prstTxWarp prst="textNoShape">
          <a:avLst/>
        </a:prstTxWarp>
        <a:noAutofit/>
      </a:bodyPr>
      <a:lstStyle>
        <a:defPPr algn="ctr">
          <a:buClr>
            <a:schemeClr val="tx2"/>
          </a:buClr>
          <a:buSzPct val="110000"/>
          <a:defRPr sz="1000" b="1" kern="0">
            <a:solidFill>
              <a:schemeClr val="tx2"/>
            </a:solidFill>
          </a:defRPr>
        </a:defPPr>
      </a:lstStyle>
    </a:spDef>
    <a:lnDef>
      <a:spPr>
        <a:ln>
          <a:solidFill>
            <a:srgbClr val="D9D9D9"/>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rtlCol="0">
        <a:spAutoFit/>
      </a:bodyPr>
      <a:lstStyle>
        <a:defPPr marL="164592" indent="-164592">
          <a:buClr>
            <a:schemeClr val="tx2"/>
          </a:buClr>
          <a:buSzPct val="110000"/>
          <a:buFont typeface="Arial" panose="020B0604020202020204" pitchFamily="34" charset="0"/>
          <a:buChar char="•"/>
          <a:defRPr sz="1200">
            <a:solidFill>
              <a:schemeClr val="tx2"/>
            </a:solidFill>
          </a:defRPr>
        </a:defPPr>
      </a:lstStyle>
    </a:txDef>
  </a:objectDefaults>
  <a:extraClrSchemeLst/>
  <a:custClrLst>
    <a:custClr name="blank">
      <a:srgbClr val="FFFFFF"/>
    </a:custClr>
    <a:custClr name="blank">
      <a:srgbClr val="FFFFFF"/>
    </a:custClr>
    <a:custClr name="blank">
      <a:srgbClr val="FFFFFF"/>
    </a:custClr>
    <a:custClr name="G1">
      <a:srgbClr val="7F7F7F"/>
    </a:custClr>
    <a:custClr name="661-TINT1">
      <a:srgbClr val="6686BF"/>
    </a:custClr>
    <a:custClr name="376-TINT1">
      <a:srgbClr val="B4D766"/>
    </a:custClr>
    <a:custClr name="7466-TINT1">
      <a:srgbClr val="7DCFCF"/>
    </a:custClr>
    <a:custClr name="144-TINT1">
      <a:srgbClr val="FBC177"/>
    </a:custClr>
    <a:custClr name="298-TINT1">
      <a:srgbClr val="71D3F2"/>
    </a:custClr>
    <a:custClr name="2613-TINT1">
      <a:srgbClr val="A779B2"/>
    </a:custClr>
    <a:custClr name="blank">
      <a:srgbClr val="FFFFFF"/>
    </a:custClr>
    <a:custClr name="blank">
      <a:srgbClr val="FFFFFF"/>
    </a:custClr>
    <a:custClr name="blank">
      <a:srgbClr val="FFFFFF"/>
    </a:custClr>
    <a:custClr name="G2">
      <a:srgbClr val="D9D9D9"/>
    </a:custClr>
    <a:custClr name="661-TINT2">
      <a:srgbClr val="CCD7EA"/>
    </a:custClr>
    <a:custClr name="376-TINT2">
      <a:srgbClr val="E6F2CC"/>
    </a:custClr>
    <a:custClr name="7466-TINT2">
      <a:srgbClr val="D4EFEF"/>
    </a:custClr>
    <a:custClr name="144-TINT2">
      <a:srgbClr val="FEEAD2"/>
    </a:custClr>
    <a:custClr name="298-TINT2">
      <a:srgbClr val="D0F0FB"/>
    </a:custClr>
    <a:custClr name="2613-TINT2">
      <a:srgbClr val="E2D2E5"/>
    </a:custClr>
    <a:custClr name="BLK8-1797">
      <a:srgbClr val="E31B23"/>
    </a:custClr>
    <a:custClr name="IS7-233">
      <a:srgbClr val="C50084"/>
    </a:custClr>
    <a:custClr name="300">
      <a:srgbClr val="0079C1"/>
    </a:custClr>
    <a:custClr name="355">
      <a:srgbClr val="00A94F"/>
    </a:custClr>
    <a:custClr name="3135">
      <a:srgbClr val="117C8E"/>
    </a:custClr>
    <a:custClr name="654">
      <a:srgbClr val="002C5F"/>
    </a:custClr>
    <a:custClr name="115">
      <a:srgbClr val="FCD015"/>
    </a:custClr>
    <a:custClr name="342">
      <a:srgbClr val="006F51"/>
    </a:custClr>
  </a:custClrLst>
  <a:extLst>
    <a:ext uri="{05A4C25C-085E-4340-85A3-A5531E510DB2}">
      <thm15:themeFamily xmlns:thm15="http://schemas.microsoft.com/office/thememl/2012/main" name="Updated Default PPT Template" id="{F5BF1277-1173-44EC-8CFA-7F08D143120A}" vid="{A3545DDA-D709-483B-83D0-91FC41E6EFD7}"/>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381</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Montoya, Daniel</dc:creator>
  <cp:keywords/>
  <dc:description/>
  <cp:lastModifiedBy>Montoya, Daniel</cp:lastModifiedBy>
  <cp:revision>1</cp:revision>
  <dcterms:created xsi:type="dcterms:W3CDTF">2017-07-17T18:50:00Z</dcterms:created>
  <dcterms:modified xsi:type="dcterms:W3CDTF">2017-07-17T19:05:00Z</dcterms:modified>
</cp:coreProperties>
</file>