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6E4" w:rsidRDefault="004536E4" w:rsidP="004536E4">
      <w:pPr>
        <w:spacing w:after="0" w:line="240" w:lineRule="auto"/>
        <w:jc w:val="center"/>
      </w:pPr>
      <w:r>
        <w:t>Before the</w:t>
      </w:r>
    </w:p>
    <w:p w:rsidR="004536E4" w:rsidRDefault="004536E4" w:rsidP="004536E4">
      <w:pPr>
        <w:spacing w:after="0" w:line="240" w:lineRule="auto"/>
        <w:jc w:val="center"/>
      </w:pPr>
      <w:r>
        <w:t>FEDERAL COMMUNICATIONS COMMISSION</w:t>
      </w:r>
    </w:p>
    <w:p w:rsidR="004536E4" w:rsidRDefault="004536E4" w:rsidP="004536E4">
      <w:pPr>
        <w:spacing w:after="0" w:line="240" w:lineRule="auto"/>
        <w:jc w:val="center"/>
      </w:pPr>
      <w:r>
        <w:t>Washington, DC 20554</w:t>
      </w:r>
    </w:p>
    <w:p w:rsidR="004536E4" w:rsidRDefault="004536E4" w:rsidP="004536E4">
      <w:pPr>
        <w:spacing w:after="0" w:line="240" w:lineRule="auto"/>
        <w:jc w:val="center"/>
      </w:pPr>
    </w:p>
    <w:p w:rsidR="004536E4" w:rsidRDefault="004536E4" w:rsidP="004536E4">
      <w:pPr>
        <w:spacing w:after="0" w:line="240" w:lineRule="auto"/>
        <w:jc w:val="center"/>
      </w:pPr>
    </w:p>
    <w:p w:rsidR="004536E4" w:rsidRDefault="004536E4" w:rsidP="004536E4">
      <w:pPr>
        <w:spacing w:after="0" w:line="240" w:lineRule="auto"/>
        <w:jc w:val="center"/>
      </w:pPr>
    </w:p>
    <w:p w:rsidR="004536E4" w:rsidRDefault="004536E4" w:rsidP="004536E4">
      <w:pPr>
        <w:spacing w:after="0" w:line="240" w:lineRule="auto"/>
        <w:jc w:val="center"/>
      </w:pPr>
    </w:p>
    <w:p w:rsidR="004536E4" w:rsidRDefault="004536E4" w:rsidP="004536E4">
      <w:pPr>
        <w:spacing w:after="0" w:line="240" w:lineRule="auto"/>
      </w:pPr>
      <w:r>
        <w:t>In the Matter of</w:t>
      </w:r>
      <w:r>
        <w:tab/>
      </w:r>
      <w:r>
        <w:tab/>
      </w:r>
      <w:r>
        <w:tab/>
      </w:r>
      <w:r>
        <w:tab/>
        <w:t>)</w:t>
      </w:r>
    </w:p>
    <w:p w:rsidR="004536E4" w:rsidRDefault="004536E4" w:rsidP="004536E4">
      <w:pPr>
        <w:spacing w:after="0" w:line="240" w:lineRule="auto"/>
      </w:pPr>
      <w:r>
        <w:tab/>
      </w:r>
      <w:r>
        <w:tab/>
      </w:r>
      <w:r>
        <w:tab/>
      </w:r>
      <w:r>
        <w:tab/>
      </w:r>
      <w:r>
        <w:tab/>
      </w:r>
      <w:r>
        <w:tab/>
        <w:t>)</w:t>
      </w:r>
    </w:p>
    <w:p w:rsidR="004536E4" w:rsidRDefault="004536E4" w:rsidP="004536E4">
      <w:pPr>
        <w:spacing w:after="0" w:line="240" w:lineRule="auto"/>
      </w:pPr>
      <w:r>
        <w:t>Restoring Internet Freedom</w:t>
      </w:r>
      <w:r>
        <w:tab/>
      </w:r>
      <w:r>
        <w:tab/>
      </w:r>
      <w:r>
        <w:tab/>
        <w:t>)</w:t>
      </w:r>
      <w:r>
        <w:tab/>
        <w:t>WC Docket No. 17-108</w:t>
      </w:r>
    </w:p>
    <w:p w:rsidR="004536E4" w:rsidRDefault="004536E4" w:rsidP="004536E4">
      <w:pPr>
        <w:spacing w:after="0" w:line="240" w:lineRule="auto"/>
      </w:pPr>
      <w:r>
        <w:tab/>
      </w:r>
      <w:r>
        <w:tab/>
      </w:r>
      <w:r>
        <w:tab/>
      </w:r>
    </w:p>
    <w:p w:rsidR="004536E4" w:rsidRDefault="004536E4" w:rsidP="004536E4">
      <w:pPr>
        <w:spacing w:after="0" w:line="240" w:lineRule="auto"/>
      </w:pPr>
    </w:p>
    <w:p w:rsidR="004536E4" w:rsidRDefault="004536E4" w:rsidP="004536E4">
      <w:pPr>
        <w:spacing w:after="0" w:line="240" w:lineRule="auto"/>
      </w:pPr>
      <w:r>
        <w:t>To:</w:t>
      </w:r>
      <w:r>
        <w:tab/>
        <w:t>The Commission</w:t>
      </w:r>
    </w:p>
    <w:p w:rsidR="004536E4" w:rsidRDefault="004536E4" w:rsidP="009E7D1F">
      <w:pPr>
        <w:spacing w:after="0" w:line="240" w:lineRule="auto"/>
        <w:jc w:val="center"/>
      </w:pPr>
    </w:p>
    <w:p w:rsidR="004536E4" w:rsidRDefault="004536E4" w:rsidP="009E7D1F">
      <w:pPr>
        <w:spacing w:after="0" w:line="240" w:lineRule="auto"/>
        <w:jc w:val="center"/>
      </w:pPr>
    </w:p>
    <w:p w:rsidR="004536E4" w:rsidRDefault="004536E4" w:rsidP="009E7D1F">
      <w:pPr>
        <w:spacing w:after="0" w:line="240" w:lineRule="auto"/>
        <w:jc w:val="center"/>
      </w:pPr>
    </w:p>
    <w:p w:rsidR="004536E4" w:rsidRDefault="004536E4" w:rsidP="009E7D1F">
      <w:pPr>
        <w:spacing w:after="0" w:line="240" w:lineRule="auto"/>
        <w:jc w:val="center"/>
      </w:pPr>
    </w:p>
    <w:p w:rsidR="004536E4" w:rsidRPr="009E7D1F" w:rsidRDefault="004536E4" w:rsidP="004536E4">
      <w:pPr>
        <w:spacing w:line="240" w:lineRule="auto"/>
        <w:jc w:val="center"/>
        <w:rPr>
          <w:b/>
        </w:rPr>
      </w:pPr>
      <w:r w:rsidRPr="009E7D1F">
        <w:rPr>
          <w:b/>
        </w:rPr>
        <w:t xml:space="preserve">JOINT COMMENTS OF NTCH, INC. </w:t>
      </w:r>
    </w:p>
    <w:p w:rsidR="004536E4" w:rsidRPr="009E7D1F" w:rsidRDefault="004536E4" w:rsidP="004536E4">
      <w:pPr>
        <w:spacing w:line="240" w:lineRule="auto"/>
        <w:jc w:val="center"/>
        <w:rPr>
          <w:b/>
        </w:rPr>
      </w:pPr>
      <w:r w:rsidRPr="009E7D1F">
        <w:rPr>
          <w:b/>
        </w:rPr>
        <w:t>AND</w:t>
      </w:r>
    </w:p>
    <w:p w:rsidR="004536E4" w:rsidRPr="009E7D1F" w:rsidRDefault="004536E4" w:rsidP="004536E4">
      <w:pPr>
        <w:spacing w:line="240" w:lineRule="auto"/>
        <w:jc w:val="center"/>
        <w:rPr>
          <w:b/>
        </w:rPr>
      </w:pPr>
      <w:r w:rsidRPr="009E7D1F">
        <w:rPr>
          <w:b/>
        </w:rPr>
        <w:t>FLAT WIRELESS, LLC</w:t>
      </w:r>
    </w:p>
    <w:p w:rsidR="004536E4" w:rsidRDefault="004536E4" w:rsidP="004536E4">
      <w:pPr>
        <w:jc w:val="center"/>
      </w:pPr>
    </w:p>
    <w:p w:rsidR="004536E4" w:rsidRDefault="004536E4" w:rsidP="004536E4">
      <w:pPr>
        <w:spacing w:after="0" w:line="240" w:lineRule="auto"/>
      </w:pPr>
    </w:p>
    <w:p w:rsidR="004536E4" w:rsidRDefault="004536E4" w:rsidP="004536E4">
      <w:pPr>
        <w:spacing w:after="0" w:line="240" w:lineRule="auto"/>
      </w:pPr>
    </w:p>
    <w:p w:rsidR="004536E4" w:rsidRDefault="004536E4" w:rsidP="004536E4">
      <w:pPr>
        <w:spacing w:after="0" w:line="240" w:lineRule="auto"/>
      </w:pPr>
    </w:p>
    <w:p w:rsidR="004536E4" w:rsidRDefault="004536E4" w:rsidP="004536E4">
      <w:pPr>
        <w:spacing w:after="0" w:line="240" w:lineRule="auto"/>
        <w:ind w:left="5040"/>
      </w:pPr>
      <w:r>
        <w:t>Donald J. Evans</w:t>
      </w:r>
    </w:p>
    <w:p w:rsidR="004536E4" w:rsidRPr="004536E4" w:rsidRDefault="004536E4" w:rsidP="004536E4">
      <w:pPr>
        <w:spacing w:after="0" w:line="240" w:lineRule="auto"/>
        <w:ind w:left="5040"/>
        <w:rPr>
          <w:i/>
        </w:rPr>
      </w:pPr>
      <w:r w:rsidRPr="004536E4">
        <w:rPr>
          <w:i/>
        </w:rPr>
        <w:t>Counsel for NTCH, Inc. and</w:t>
      </w:r>
    </w:p>
    <w:p w:rsidR="004536E4" w:rsidRDefault="004536E4" w:rsidP="004536E4">
      <w:pPr>
        <w:spacing w:after="0" w:line="240" w:lineRule="auto"/>
        <w:ind w:left="5040"/>
      </w:pPr>
      <w:r w:rsidRPr="004536E4">
        <w:rPr>
          <w:i/>
        </w:rPr>
        <w:t>Flat Wireless, LLC</w:t>
      </w:r>
    </w:p>
    <w:p w:rsidR="004536E4" w:rsidRDefault="004536E4" w:rsidP="004536E4">
      <w:pPr>
        <w:spacing w:after="0" w:line="240" w:lineRule="auto"/>
      </w:pPr>
    </w:p>
    <w:p w:rsidR="004536E4" w:rsidRDefault="004536E4" w:rsidP="004536E4">
      <w:pPr>
        <w:spacing w:after="0" w:line="240" w:lineRule="auto"/>
      </w:pPr>
    </w:p>
    <w:p w:rsidR="004536E4" w:rsidRDefault="004536E4" w:rsidP="004536E4">
      <w:pPr>
        <w:spacing w:after="0" w:line="240" w:lineRule="auto"/>
      </w:pPr>
    </w:p>
    <w:p w:rsidR="004536E4" w:rsidRDefault="004536E4" w:rsidP="004536E4">
      <w:pPr>
        <w:spacing w:after="0" w:line="240" w:lineRule="auto"/>
      </w:pPr>
      <w:r>
        <w:t>FLETCHER, HEALD &amp; HILDRETH, PLC</w:t>
      </w:r>
    </w:p>
    <w:p w:rsidR="004536E4" w:rsidRDefault="004536E4" w:rsidP="004536E4">
      <w:pPr>
        <w:spacing w:after="0" w:line="240" w:lineRule="auto"/>
      </w:pPr>
      <w:r>
        <w:t>1300 North 17</w:t>
      </w:r>
      <w:r w:rsidRPr="00C57A25">
        <w:t>th</w:t>
      </w:r>
      <w:r>
        <w:t xml:space="preserve"> Street, 11</w:t>
      </w:r>
      <w:r w:rsidRPr="00C57A25">
        <w:t>th</w:t>
      </w:r>
      <w:r>
        <w:t xml:space="preserve"> Floor</w:t>
      </w:r>
    </w:p>
    <w:p w:rsidR="004536E4" w:rsidRDefault="004536E4" w:rsidP="004536E4">
      <w:pPr>
        <w:spacing w:after="0" w:line="240" w:lineRule="auto"/>
      </w:pPr>
      <w:r>
        <w:t>Arlington, VA  22209</w:t>
      </w:r>
    </w:p>
    <w:p w:rsidR="004536E4" w:rsidRDefault="004536E4" w:rsidP="004536E4">
      <w:pPr>
        <w:spacing w:after="0" w:line="240" w:lineRule="auto"/>
      </w:pPr>
      <w:r>
        <w:t>Phone: (703) 812-0400</w:t>
      </w:r>
    </w:p>
    <w:p w:rsidR="004536E4" w:rsidRDefault="004536E4" w:rsidP="004536E4">
      <w:pPr>
        <w:spacing w:after="0" w:line="240" w:lineRule="auto"/>
      </w:pPr>
    </w:p>
    <w:p w:rsidR="004536E4" w:rsidRDefault="004536E4" w:rsidP="004536E4">
      <w:pPr>
        <w:spacing w:after="0" w:line="240" w:lineRule="auto"/>
      </w:pPr>
    </w:p>
    <w:p w:rsidR="004536E4" w:rsidRDefault="004536E4" w:rsidP="004536E4">
      <w:pPr>
        <w:spacing w:after="0" w:line="240" w:lineRule="auto"/>
      </w:pPr>
    </w:p>
    <w:p w:rsidR="004536E4" w:rsidRDefault="004536E4" w:rsidP="004536E4">
      <w:pPr>
        <w:spacing w:after="0" w:line="240" w:lineRule="auto"/>
      </w:pPr>
    </w:p>
    <w:p w:rsidR="004536E4" w:rsidRDefault="004536E4" w:rsidP="004536E4">
      <w:pPr>
        <w:spacing w:after="0" w:line="240" w:lineRule="auto"/>
      </w:pPr>
      <w:r>
        <w:t>July 17, 2017</w:t>
      </w:r>
    </w:p>
    <w:p w:rsidR="004536E4" w:rsidRDefault="004536E4" w:rsidP="009E7D1F">
      <w:pPr>
        <w:spacing w:after="0" w:line="240" w:lineRule="auto"/>
        <w:jc w:val="center"/>
      </w:pPr>
    </w:p>
    <w:p w:rsidR="004536E4" w:rsidRDefault="004536E4" w:rsidP="004536E4">
      <w:pPr>
        <w:spacing w:after="0" w:line="240" w:lineRule="auto"/>
      </w:pPr>
    </w:p>
    <w:p w:rsidR="004536E4" w:rsidRDefault="004536E4" w:rsidP="009E7D1F">
      <w:pPr>
        <w:spacing w:after="0" w:line="240" w:lineRule="auto"/>
        <w:jc w:val="center"/>
        <w:sectPr w:rsidR="004536E4" w:rsidSect="0028536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p>
    <w:p w:rsidR="004536E4" w:rsidRPr="004536E4" w:rsidRDefault="004536E4" w:rsidP="004536E4">
      <w:pPr>
        <w:jc w:val="center"/>
        <w:rPr>
          <w:b/>
          <w:caps/>
        </w:rPr>
      </w:pPr>
      <w:r w:rsidRPr="004536E4">
        <w:rPr>
          <w:b/>
          <w:caps/>
        </w:rPr>
        <w:lastRenderedPageBreak/>
        <w:t>Table of Contents</w:t>
      </w:r>
    </w:p>
    <w:p w:rsidR="004536E4" w:rsidRPr="00714387" w:rsidRDefault="004536E4" w:rsidP="004536E4">
      <w:pPr>
        <w:tabs>
          <w:tab w:val="right" w:leader="dot" w:pos="8640"/>
        </w:tabs>
        <w:rPr>
          <w:smallCaps/>
        </w:rPr>
      </w:pPr>
    </w:p>
    <w:p w:rsidR="004536E4" w:rsidRPr="00732835" w:rsidRDefault="004536E4" w:rsidP="004536E4">
      <w:pPr>
        <w:tabs>
          <w:tab w:val="right" w:leader="dot" w:pos="9000"/>
        </w:tabs>
        <w:spacing w:after="240"/>
      </w:pPr>
      <w:r w:rsidRPr="004536E4">
        <w:rPr>
          <w:caps/>
        </w:rPr>
        <w:t>Table of Contents</w:t>
      </w:r>
      <w:r w:rsidRPr="00732835">
        <w:tab/>
        <w:t>i</w:t>
      </w:r>
    </w:p>
    <w:p w:rsidR="004536E4" w:rsidRDefault="004536E4" w:rsidP="004536E4">
      <w:pPr>
        <w:tabs>
          <w:tab w:val="right" w:leader="dot" w:pos="9000"/>
        </w:tabs>
        <w:spacing w:after="240"/>
      </w:pPr>
      <w:r w:rsidRPr="004536E4">
        <w:rPr>
          <w:caps/>
        </w:rPr>
        <w:t>Summary</w:t>
      </w:r>
      <w:r w:rsidRPr="00732835">
        <w:tab/>
        <w:t>ii</w:t>
      </w:r>
    </w:p>
    <w:p w:rsidR="004536E4" w:rsidRDefault="00F32D78" w:rsidP="004536E4">
      <w:pPr>
        <w:tabs>
          <w:tab w:val="right" w:leader="dot" w:pos="9000"/>
        </w:tabs>
        <w:spacing w:after="240"/>
        <w:ind w:firstLine="360"/>
      </w:pPr>
      <w:r>
        <w:t>I.   Background</w:t>
      </w:r>
      <w:r w:rsidRPr="00732835">
        <w:tab/>
      </w:r>
      <w:r>
        <w:t>2</w:t>
      </w:r>
    </w:p>
    <w:p w:rsidR="004536E4" w:rsidRDefault="004536E4" w:rsidP="004536E4">
      <w:pPr>
        <w:tabs>
          <w:tab w:val="right" w:leader="dot" w:pos="9000"/>
        </w:tabs>
        <w:spacing w:after="240"/>
        <w:ind w:firstLine="360"/>
      </w:pPr>
      <w:r>
        <w:t xml:space="preserve">II.  </w:t>
      </w:r>
      <w:r w:rsidR="00257CE4">
        <w:t>Light Touch Title II Regulation is the Best Approach</w:t>
      </w:r>
      <w:r w:rsidRPr="00732835">
        <w:tab/>
      </w:r>
      <w:r w:rsidR="00257CE4">
        <w:t>4</w:t>
      </w:r>
    </w:p>
    <w:p w:rsidR="00257CE4" w:rsidRPr="00732835" w:rsidRDefault="00257CE4" w:rsidP="00257CE4">
      <w:pPr>
        <w:tabs>
          <w:tab w:val="right" w:leader="dot" w:pos="9000"/>
        </w:tabs>
        <w:spacing w:after="0" w:line="240" w:lineRule="auto"/>
        <w:ind w:left="360" w:firstLine="360"/>
      </w:pPr>
      <w:r>
        <w:t>A.  Sections 706 and 230 of the Act Are Not A Sound Basis</w:t>
      </w:r>
      <w:r w:rsidRPr="00732835">
        <w:tab/>
      </w:r>
      <w:r>
        <w:t>5</w:t>
      </w:r>
    </w:p>
    <w:p w:rsidR="00257CE4" w:rsidRDefault="00257CE4" w:rsidP="00257CE4">
      <w:pPr>
        <w:tabs>
          <w:tab w:val="left" w:pos="540"/>
          <w:tab w:val="right" w:leader="dot" w:pos="9000"/>
        </w:tabs>
        <w:spacing w:after="0" w:line="240" w:lineRule="auto"/>
        <w:ind w:left="720" w:firstLine="360"/>
      </w:pPr>
      <w:r>
        <w:t>for Regulation</w:t>
      </w:r>
    </w:p>
    <w:p w:rsidR="00257CE4" w:rsidRDefault="00257CE4" w:rsidP="00257CE4">
      <w:pPr>
        <w:tabs>
          <w:tab w:val="left" w:pos="540"/>
          <w:tab w:val="right" w:leader="dot" w:pos="9000"/>
        </w:tabs>
        <w:spacing w:after="0" w:line="240" w:lineRule="auto"/>
        <w:ind w:left="360" w:firstLine="360"/>
      </w:pPr>
    </w:p>
    <w:p w:rsidR="00257CE4" w:rsidRPr="00732835" w:rsidRDefault="00257CE4" w:rsidP="00257CE4">
      <w:pPr>
        <w:tabs>
          <w:tab w:val="right" w:leader="dot" w:pos="9000"/>
        </w:tabs>
        <w:spacing w:after="0" w:line="240" w:lineRule="auto"/>
        <w:ind w:left="360" w:firstLine="360"/>
      </w:pPr>
      <w:r>
        <w:t>B.  Absent Title II Regulation, Internet Content is Subject</w:t>
      </w:r>
      <w:r w:rsidRPr="00732835">
        <w:tab/>
      </w:r>
      <w:r>
        <w:t>6</w:t>
      </w:r>
    </w:p>
    <w:p w:rsidR="00257CE4" w:rsidRDefault="00257CE4" w:rsidP="00257CE4">
      <w:pPr>
        <w:tabs>
          <w:tab w:val="left" w:pos="540"/>
          <w:tab w:val="right" w:leader="dot" w:pos="9000"/>
        </w:tabs>
        <w:spacing w:after="0" w:line="240" w:lineRule="auto"/>
        <w:ind w:left="720" w:firstLine="360"/>
      </w:pPr>
      <w:r>
        <w:t>to Provider Control</w:t>
      </w:r>
    </w:p>
    <w:p w:rsidR="00257CE4" w:rsidRDefault="00257CE4" w:rsidP="00257CE4">
      <w:pPr>
        <w:tabs>
          <w:tab w:val="left" w:pos="540"/>
          <w:tab w:val="right" w:leader="dot" w:pos="9000"/>
        </w:tabs>
        <w:spacing w:after="0" w:line="240" w:lineRule="auto"/>
        <w:ind w:left="720" w:firstLine="360"/>
      </w:pPr>
    </w:p>
    <w:p w:rsidR="00257CE4" w:rsidRPr="00732835" w:rsidRDefault="00257CE4" w:rsidP="00257CE4">
      <w:pPr>
        <w:tabs>
          <w:tab w:val="right" w:leader="dot" w:pos="9000"/>
        </w:tabs>
        <w:spacing w:after="0" w:line="240" w:lineRule="auto"/>
        <w:ind w:left="360" w:firstLine="360"/>
      </w:pPr>
      <w:r>
        <w:t>C.  Absent Title II Regulation, Service Providers Which</w:t>
      </w:r>
      <w:r w:rsidRPr="00732835">
        <w:tab/>
      </w:r>
      <w:r>
        <w:t>9</w:t>
      </w:r>
    </w:p>
    <w:p w:rsidR="00257CE4" w:rsidRDefault="00257CE4" w:rsidP="00257CE4">
      <w:pPr>
        <w:tabs>
          <w:tab w:val="left" w:pos="540"/>
          <w:tab w:val="right" w:leader="dot" w:pos="9000"/>
        </w:tabs>
        <w:spacing w:after="0" w:line="240" w:lineRule="auto"/>
        <w:ind w:left="720" w:firstLine="360"/>
      </w:pPr>
      <w:r>
        <w:t>Hold Market Dominance Could Charge Unreasonable</w:t>
      </w:r>
      <w:r w:rsidR="0014181A">
        <w:t xml:space="preserve"> and</w:t>
      </w:r>
    </w:p>
    <w:p w:rsidR="00257CE4" w:rsidRDefault="00257CE4" w:rsidP="00257CE4">
      <w:pPr>
        <w:tabs>
          <w:tab w:val="left" w:pos="540"/>
          <w:tab w:val="right" w:leader="dot" w:pos="9000"/>
        </w:tabs>
        <w:spacing w:after="0" w:line="240" w:lineRule="auto"/>
        <w:ind w:left="720" w:firstLine="360"/>
      </w:pPr>
      <w:r>
        <w:t>Discriminatory Rates and Impose Unreasonable Conditions</w:t>
      </w:r>
    </w:p>
    <w:p w:rsidR="00257CE4" w:rsidRDefault="00257CE4" w:rsidP="00257CE4">
      <w:pPr>
        <w:tabs>
          <w:tab w:val="left" w:pos="540"/>
          <w:tab w:val="right" w:leader="dot" w:pos="9000"/>
        </w:tabs>
        <w:spacing w:after="0" w:line="240" w:lineRule="auto"/>
        <w:ind w:left="360" w:firstLine="360"/>
      </w:pPr>
    </w:p>
    <w:p w:rsidR="00FC4ACF" w:rsidRPr="00732835" w:rsidRDefault="00FC4ACF" w:rsidP="00FC4ACF">
      <w:pPr>
        <w:tabs>
          <w:tab w:val="right" w:leader="dot" w:pos="9000"/>
        </w:tabs>
        <w:spacing w:after="0" w:line="240" w:lineRule="auto"/>
        <w:ind w:left="360" w:firstLine="360"/>
      </w:pPr>
      <w:r>
        <w:t>D.  The CMRS Regulatory Model Should Apply</w:t>
      </w:r>
      <w:r w:rsidRPr="00732835">
        <w:tab/>
      </w:r>
      <w:r>
        <w:t>12</w:t>
      </w:r>
    </w:p>
    <w:p w:rsidR="00257CE4" w:rsidRDefault="00257CE4" w:rsidP="00257CE4">
      <w:pPr>
        <w:tabs>
          <w:tab w:val="left" w:pos="540"/>
          <w:tab w:val="right" w:leader="dot" w:pos="9000"/>
        </w:tabs>
        <w:spacing w:after="0" w:line="240" w:lineRule="auto"/>
        <w:ind w:left="360" w:firstLine="360"/>
      </w:pPr>
    </w:p>
    <w:p w:rsidR="00FC4ACF" w:rsidRPr="00732835" w:rsidRDefault="00FC4ACF" w:rsidP="00FC4ACF">
      <w:pPr>
        <w:tabs>
          <w:tab w:val="right" w:leader="dot" w:pos="9000"/>
        </w:tabs>
        <w:spacing w:after="0" w:line="240" w:lineRule="auto"/>
        <w:ind w:left="360" w:firstLine="360"/>
      </w:pPr>
      <w:r>
        <w:t xml:space="preserve">E.  </w:t>
      </w:r>
      <w:r w:rsidR="00E357B3">
        <w:t>Investment Will Not Be Discouraged by Title II Status</w:t>
      </w:r>
      <w:r w:rsidRPr="00732835">
        <w:tab/>
      </w:r>
      <w:r>
        <w:t>13</w:t>
      </w:r>
    </w:p>
    <w:p w:rsidR="00FC4ACF" w:rsidRDefault="00FC4ACF" w:rsidP="00257CE4">
      <w:pPr>
        <w:tabs>
          <w:tab w:val="left" w:pos="540"/>
          <w:tab w:val="right" w:leader="dot" w:pos="9000"/>
        </w:tabs>
        <w:spacing w:after="0" w:line="240" w:lineRule="auto"/>
        <w:ind w:left="360" w:firstLine="360"/>
      </w:pPr>
    </w:p>
    <w:p w:rsidR="00FC4ACF" w:rsidRPr="00732835" w:rsidRDefault="00E357B3" w:rsidP="00FC4ACF">
      <w:pPr>
        <w:tabs>
          <w:tab w:val="right" w:leader="dot" w:pos="9000"/>
        </w:tabs>
        <w:spacing w:after="0" w:line="240" w:lineRule="auto"/>
        <w:ind w:left="360" w:firstLine="360"/>
      </w:pPr>
      <w:r>
        <w:t>F</w:t>
      </w:r>
      <w:r w:rsidR="00FC4ACF">
        <w:t xml:space="preserve">.  </w:t>
      </w:r>
      <w:r>
        <w:t>Support for Broadband Lifeline is Threatened by its</w:t>
      </w:r>
      <w:r w:rsidR="00FC4ACF" w:rsidRPr="00732835">
        <w:tab/>
      </w:r>
      <w:r>
        <w:t>14</w:t>
      </w:r>
    </w:p>
    <w:p w:rsidR="00FC4ACF" w:rsidRDefault="00E357B3" w:rsidP="00FC4ACF">
      <w:pPr>
        <w:tabs>
          <w:tab w:val="left" w:pos="540"/>
          <w:tab w:val="right" w:leader="dot" w:pos="9000"/>
        </w:tabs>
        <w:spacing w:after="0" w:line="240" w:lineRule="auto"/>
        <w:ind w:left="720" w:firstLine="360"/>
      </w:pPr>
      <w:r>
        <w:t>Conversion to an Information Service</w:t>
      </w:r>
    </w:p>
    <w:p w:rsidR="00FC4ACF" w:rsidRDefault="00FC4ACF" w:rsidP="00257CE4">
      <w:pPr>
        <w:tabs>
          <w:tab w:val="left" w:pos="540"/>
          <w:tab w:val="right" w:leader="dot" w:pos="9000"/>
        </w:tabs>
        <w:spacing w:after="0" w:line="240" w:lineRule="auto"/>
        <w:ind w:left="360" w:firstLine="360"/>
      </w:pPr>
    </w:p>
    <w:p w:rsidR="00FC4ACF" w:rsidRPr="00732835" w:rsidRDefault="003865C3" w:rsidP="00FC4ACF">
      <w:pPr>
        <w:tabs>
          <w:tab w:val="right" w:leader="dot" w:pos="9000"/>
        </w:tabs>
        <w:spacing w:after="0" w:line="240" w:lineRule="auto"/>
        <w:ind w:left="360" w:firstLine="360"/>
      </w:pPr>
      <w:r>
        <w:t>G</w:t>
      </w:r>
      <w:r w:rsidR="00FC4ACF">
        <w:t xml:space="preserve">.  </w:t>
      </w:r>
      <w:r>
        <w:t>Privacy</w:t>
      </w:r>
      <w:r w:rsidR="00FC4ACF" w:rsidRPr="00732835">
        <w:tab/>
      </w:r>
      <w:r>
        <w:t>1</w:t>
      </w:r>
      <w:r w:rsidR="0014181A">
        <w:t>5</w:t>
      </w:r>
    </w:p>
    <w:p w:rsidR="00FC4ACF" w:rsidRDefault="00FC4ACF" w:rsidP="00257CE4">
      <w:pPr>
        <w:tabs>
          <w:tab w:val="left" w:pos="540"/>
          <w:tab w:val="right" w:leader="dot" w:pos="9000"/>
        </w:tabs>
        <w:spacing w:after="0" w:line="240" w:lineRule="auto"/>
        <w:ind w:left="360" w:firstLine="360"/>
      </w:pPr>
    </w:p>
    <w:p w:rsidR="00FC4ACF" w:rsidRPr="00732835" w:rsidRDefault="003865C3" w:rsidP="00FC4ACF">
      <w:pPr>
        <w:tabs>
          <w:tab w:val="right" w:leader="dot" w:pos="9000"/>
        </w:tabs>
        <w:spacing w:after="0" w:line="240" w:lineRule="auto"/>
        <w:ind w:left="360" w:firstLine="360"/>
      </w:pPr>
      <w:r>
        <w:t>H</w:t>
      </w:r>
      <w:r w:rsidR="00FC4ACF">
        <w:t xml:space="preserve">.  </w:t>
      </w:r>
      <w:r>
        <w:t>Converting CMRS to a Private Mobile Service is Unlawful</w:t>
      </w:r>
      <w:r w:rsidR="00FC4ACF" w:rsidRPr="00732835">
        <w:tab/>
      </w:r>
      <w:r>
        <w:t>1</w:t>
      </w:r>
      <w:r w:rsidR="0014181A">
        <w:t>5</w:t>
      </w:r>
    </w:p>
    <w:p w:rsidR="00FC4ACF" w:rsidRDefault="003865C3" w:rsidP="00FC4ACF">
      <w:pPr>
        <w:tabs>
          <w:tab w:val="left" w:pos="540"/>
          <w:tab w:val="right" w:leader="dot" w:pos="9000"/>
        </w:tabs>
        <w:spacing w:after="0" w:line="240" w:lineRule="auto"/>
        <w:ind w:left="720" w:firstLine="360"/>
      </w:pPr>
      <w:r>
        <w:t>And Bad Policy</w:t>
      </w:r>
    </w:p>
    <w:p w:rsidR="00FC4ACF" w:rsidRDefault="00FC4ACF" w:rsidP="00257CE4">
      <w:pPr>
        <w:tabs>
          <w:tab w:val="left" w:pos="540"/>
          <w:tab w:val="right" w:leader="dot" w:pos="9000"/>
        </w:tabs>
        <w:spacing w:after="0" w:line="240" w:lineRule="auto"/>
        <w:ind w:left="360" w:firstLine="360"/>
      </w:pPr>
    </w:p>
    <w:p w:rsidR="004536E4" w:rsidRDefault="00F32D78" w:rsidP="004536E4">
      <w:pPr>
        <w:tabs>
          <w:tab w:val="left" w:pos="540"/>
          <w:tab w:val="right" w:leader="dot" w:pos="9000"/>
        </w:tabs>
        <w:spacing w:after="0" w:line="240" w:lineRule="auto"/>
        <w:ind w:firstLine="360"/>
      </w:pPr>
      <w:r>
        <w:t>III.   CONCLUSION</w:t>
      </w:r>
      <w:r w:rsidRPr="00732835">
        <w:tab/>
      </w:r>
      <w:r>
        <w:t>17</w:t>
      </w:r>
    </w:p>
    <w:p w:rsidR="00FC4ACF" w:rsidRDefault="00FC4ACF" w:rsidP="004536E4">
      <w:pPr>
        <w:tabs>
          <w:tab w:val="left" w:pos="540"/>
          <w:tab w:val="right" w:leader="dot" w:pos="9000"/>
        </w:tabs>
        <w:spacing w:after="0" w:line="240" w:lineRule="auto"/>
        <w:ind w:firstLine="360"/>
      </w:pPr>
    </w:p>
    <w:p w:rsidR="00257CE4" w:rsidRDefault="00257CE4" w:rsidP="004536E4">
      <w:pPr>
        <w:spacing w:after="0" w:line="240" w:lineRule="auto"/>
      </w:pPr>
    </w:p>
    <w:p w:rsidR="004536E4" w:rsidRDefault="004536E4" w:rsidP="004536E4">
      <w:pPr>
        <w:spacing w:after="0" w:line="240" w:lineRule="auto"/>
      </w:pPr>
    </w:p>
    <w:p w:rsidR="004536E4" w:rsidRPr="00A72B20" w:rsidRDefault="004536E4" w:rsidP="004536E4">
      <w:pPr>
        <w:spacing w:after="0" w:line="240" w:lineRule="auto"/>
      </w:pPr>
    </w:p>
    <w:p w:rsidR="004536E4" w:rsidRDefault="004536E4" w:rsidP="004536E4">
      <w:pPr>
        <w:spacing w:after="0" w:line="240" w:lineRule="auto"/>
        <w:jc w:val="center"/>
        <w:sectPr w:rsidR="004536E4" w:rsidSect="00597FE9">
          <w:footerReference w:type="first" r:id="rId14"/>
          <w:pgSz w:w="12240" w:h="15840"/>
          <w:pgMar w:top="1440" w:right="1440" w:bottom="1440" w:left="1440" w:header="720" w:footer="720" w:gutter="0"/>
          <w:pgNumType w:fmt="lowerRoman" w:start="1"/>
          <w:cols w:space="720"/>
          <w:titlePg/>
          <w:docGrid w:linePitch="360"/>
        </w:sectPr>
      </w:pPr>
    </w:p>
    <w:p w:rsidR="004536E4" w:rsidRPr="004536E4" w:rsidRDefault="004536E4" w:rsidP="004536E4">
      <w:pPr>
        <w:jc w:val="center"/>
        <w:rPr>
          <w:b/>
        </w:rPr>
      </w:pPr>
      <w:r w:rsidRPr="004536E4">
        <w:rPr>
          <w:b/>
        </w:rPr>
        <w:lastRenderedPageBreak/>
        <w:t>SUMMARY</w:t>
      </w:r>
    </w:p>
    <w:p w:rsidR="004536E4" w:rsidRDefault="004536E4" w:rsidP="004536E4">
      <w:pPr>
        <w:spacing w:line="480" w:lineRule="auto"/>
        <w:ind w:firstLine="720"/>
      </w:pPr>
      <w:r>
        <w:t>Joint Commenters NTCH, Inc. and Flat Wireless, LLC strongly urge the Commission not to deregulate broadband Internet access completely by classifying it as an information service.   Such an action is not needed to stimulate investment in the Internet, and, indeed, may even be counter-productive by continuing the uncertainty in regulatory treatment which has left this service in regulatory limbo for decades.</w:t>
      </w:r>
    </w:p>
    <w:p w:rsidR="004536E4" w:rsidRDefault="004536E4" w:rsidP="004536E4">
      <w:pPr>
        <w:ind w:firstLine="720"/>
      </w:pPr>
      <w:r>
        <w:t>Light touch Title II regulation is by far the preferable approach for many reasons:</w:t>
      </w:r>
    </w:p>
    <w:p w:rsidR="004536E4" w:rsidRDefault="004536E4" w:rsidP="004536E4">
      <w:pPr>
        <w:pStyle w:val="ListParagraph"/>
        <w:numPr>
          <w:ilvl w:val="0"/>
          <w:numId w:val="4"/>
        </w:numPr>
        <w:spacing w:line="480" w:lineRule="auto"/>
      </w:pPr>
      <w:r>
        <w:t>Other non-Title II statutory bases for imposing any regulation on the Internet are suspect and would leave the situation subject to continual on-going judicial review as to what degree of regulation is permissible.</w:t>
      </w:r>
    </w:p>
    <w:p w:rsidR="004536E4" w:rsidRDefault="004536E4" w:rsidP="004536E4">
      <w:pPr>
        <w:pStyle w:val="ListParagraph"/>
        <w:numPr>
          <w:ilvl w:val="0"/>
          <w:numId w:val="4"/>
        </w:numPr>
        <w:spacing w:line="480" w:lineRule="auto"/>
      </w:pPr>
      <w:r>
        <w:t>If classified as information services, ISPs would be entitled to First Amendment rights to control, throttle and block content – something which most providers, regulators, and all consumers decry.</w:t>
      </w:r>
    </w:p>
    <w:p w:rsidR="004536E4" w:rsidRDefault="004536E4" w:rsidP="004536E4">
      <w:pPr>
        <w:pStyle w:val="ListParagraph"/>
        <w:numPr>
          <w:ilvl w:val="0"/>
          <w:numId w:val="4"/>
        </w:numPr>
        <w:spacing w:line="480" w:lineRule="auto"/>
      </w:pPr>
      <w:r>
        <w:t xml:space="preserve"> In key submarkets like data roaming, mobile broadband access providers are abusing their market dominance to charge unreasonable and discriminatory rates.  Without Title II, the practice would be lawful and would likely expand. </w:t>
      </w:r>
    </w:p>
    <w:p w:rsidR="004536E4" w:rsidRDefault="004536E4" w:rsidP="004536E4">
      <w:pPr>
        <w:pStyle w:val="ListParagraph"/>
        <w:numPr>
          <w:ilvl w:val="0"/>
          <w:numId w:val="4"/>
        </w:numPr>
        <w:spacing w:line="480" w:lineRule="auto"/>
      </w:pPr>
      <w:r>
        <w:t>Light touch Title II regulation has been applied for three decades to the cellular industry with no discouragement of investment.  Disputes about rates, preferred access and discrimination rarely arise, and when they do, the Title II framework is there to address the issue.</w:t>
      </w:r>
    </w:p>
    <w:p w:rsidR="004536E4" w:rsidRDefault="004536E4" w:rsidP="004536E4">
      <w:pPr>
        <w:pStyle w:val="ListParagraph"/>
        <w:numPr>
          <w:ilvl w:val="0"/>
          <w:numId w:val="4"/>
        </w:numPr>
        <w:spacing w:line="480" w:lineRule="auto"/>
      </w:pPr>
      <w:r>
        <w:t>Broadband Lifeline service would be ineligible for support if such access is not a “telecommunications service.”  This would cut off millions of low income people from access to the Internet.</w:t>
      </w:r>
    </w:p>
    <w:p w:rsidR="004536E4" w:rsidRDefault="004536E4" w:rsidP="004536E4">
      <w:pPr>
        <w:pStyle w:val="ListParagraph"/>
        <w:numPr>
          <w:ilvl w:val="0"/>
          <w:numId w:val="4"/>
        </w:numPr>
        <w:spacing w:line="480" w:lineRule="auto"/>
      </w:pPr>
      <w:r>
        <w:lastRenderedPageBreak/>
        <w:t xml:space="preserve">Privacy concerns could be addressed by coordinating the appropriate standards with the FTC so that all providers have a level playing field. </w:t>
      </w:r>
    </w:p>
    <w:p w:rsidR="004536E4" w:rsidRDefault="004536E4" w:rsidP="004536E4">
      <w:pPr>
        <w:pStyle w:val="ListParagraph"/>
        <w:numPr>
          <w:ilvl w:val="0"/>
          <w:numId w:val="4"/>
        </w:numPr>
        <w:spacing w:line="480" w:lineRule="auto"/>
      </w:pPr>
      <w:r>
        <w:t>Broadband CMRS is not as a factual matter a private mobile service.  The interconnection to the public switched network offered by VoIP applications certainly renders the service at a minimum the functional equivalent of a commercial mobile service.</w:t>
      </w:r>
    </w:p>
    <w:p w:rsidR="004536E4" w:rsidRDefault="004536E4" w:rsidP="004536E4">
      <w:pPr>
        <w:spacing w:line="480" w:lineRule="auto"/>
      </w:pPr>
    </w:p>
    <w:p w:rsidR="004536E4" w:rsidRDefault="004536E4" w:rsidP="004536E4">
      <w:pPr>
        <w:spacing w:after="0" w:line="240" w:lineRule="auto"/>
        <w:jc w:val="center"/>
        <w:sectPr w:rsidR="004536E4" w:rsidSect="00670756">
          <w:footerReference w:type="default" r:id="rId15"/>
          <w:pgSz w:w="12240" w:h="15840"/>
          <w:pgMar w:top="1440" w:right="1440" w:bottom="1440" w:left="1440" w:header="720" w:footer="720" w:gutter="0"/>
          <w:pgNumType w:fmt="lowerRoman"/>
          <w:cols w:space="720"/>
          <w:docGrid w:linePitch="360"/>
        </w:sectPr>
      </w:pPr>
    </w:p>
    <w:p w:rsidR="004536E4" w:rsidRDefault="004536E4" w:rsidP="004536E4">
      <w:pPr>
        <w:spacing w:after="0" w:line="240" w:lineRule="auto"/>
        <w:jc w:val="center"/>
      </w:pPr>
      <w:r>
        <w:t>Before the</w:t>
      </w:r>
    </w:p>
    <w:p w:rsidR="004536E4" w:rsidRDefault="004536E4" w:rsidP="004536E4">
      <w:pPr>
        <w:spacing w:after="0" w:line="240" w:lineRule="auto"/>
        <w:jc w:val="center"/>
      </w:pPr>
      <w:r>
        <w:t>FEDERAL COMMUNICATIONS COMMISSION</w:t>
      </w:r>
    </w:p>
    <w:p w:rsidR="004536E4" w:rsidRDefault="004536E4" w:rsidP="004536E4">
      <w:pPr>
        <w:spacing w:after="0" w:line="240" w:lineRule="auto"/>
        <w:jc w:val="center"/>
      </w:pPr>
      <w:r>
        <w:t>Washington, DC 20554</w:t>
      </w:r>
    </w:p>
    <w:p w:rsidR="004536E4" w:rsidRDefault="004536E4" w:rsidP="004536E4">
      <w:pPr>
        <w:spacing w:after="0" w:line="240" w:lineRule="auto"/>
        <w:jc w:val="center"/>
      </w:pPr>
    </w:p>
    <w:p w:rsidR="004536E4" w:rsidRDefault="004536E4" w:rsidP="004536E4">
      <w:pPr>
        <w:spacing w:after="0" w:line="240" w:lineRule="auto"/>
        <w:jc w:val="center"/>
      </w:pPr>
    </w:p>
    <w:p w:rsidR="004536E4" w:rsidRDefault="004536E4" w:rsidP="004536E4">
      <w:pPr>
        <w:spacing w:after="0" w:line="240" w:lineRule="auto"/>
      </w:pPr>
      <w:r>
        <w:t>In the Matter of</w:t>
      </w:r>
      <w:r>
        <w:tab/>
      </w:r>
      <w:r>
        <w:tab/>
      </w:r>
      <w:r>
        <w:tab/>
      </w:r>
      <w:r>
        <w:tab/>
        <w:t>)</w:t>
      </w:r>
    </w:p>
    <w:p w:rsidR="004536E4" w:rsidRDefault="004536E4" w:rsidP="004536E4">
      <w:pPr>
        <w:spacing w:after="0" w:line="240" w:lineRule="auto"/>
      </w:pPr>
      <w:r>
        <w:tab/>
      </w:r>
      <w:r>
        <w:tab/>
      </w:r>
      <w:r>
        <w:tab/>
      </w:r>
      <w:r>
        <w:tab/>
      </w:r>
      <w:r>
        <w:tab/>
      </w:r>
      <w:r>
        <w:tab/>
        <w:t>)</w:t>
      </w:r>
    </w:p>
    <w:p w:rsidR="004536E4" w:rsidRDefault="004536E4" w:rsidP="004536E4">
      <w:pPr>
        <w:spacing w:after="0" w:line="240" w:lineRule="auto"/>
      </w:pPr>
      <w:r>
        <w:t>Restoring Internet Freedom</w:t>
      </w:r>
      <w:r>
        <w:tab/>
      </w:r>
      <w:r>
        <w:tab/>
      </w:r>
      <w:r>
        <w:tab/>
        <w:t>)</w:t>
      </w:r>
      <w:r>
        <w:tab/>
        <w:t>WC Docket No. 17-108</w:t>
      </w:r>
    </w:p>
    <w:p w:rsidR="004536E4" w:rsidRDefault="004536E4" w:rsidP="004536E4">
      <w:pPr>
        <w:spacing w:after="0" w:line="240" w:lineRule="auto"/>
      </w:pPr>
      <w:r>
        <w:tab/>
      </w:r>
      <w:r>
        <w:tab/>
      </w:r>
      <w:r>
        <w:tab/>
      </w:r>
    </w:p>
    <w:p w:rsidR="004536E4" w:rsidRDefault="004536E4" w:rsidP="004536E4">
      <w:pPr>
        <w:spacing w:after="0" w:line="240" w:lineRule="auto"/>
      </w:pPr>
    </w:p>
    <w:p w:rsidR="004536E4" w:rsidRDefault="004536E4" w:rsidP="004536E4">
      <w:pPr>
        <w:spacing w:after="0" w:line="240" w:lineRule="auto"/>
      </w:pPr>
      <w:r>
        <w:t>To:</w:t>
      </w:r>
      <w:r>
        <w:tab/>
        <w:t>The Commission</w:t>
      </w:r>
    </w:p>
    <w:p w:rsidR="00F614CE" w:rsidRDefault="00F614CE" w:rsidP="009E7D1F">
      <w:pPr>
        <w:spacing w:after="0" w:line="240" w:lineRule="auto"/>
      </w:pPr>
    </w:p>
    <w:p w:rsidR="004536E4" w:rsidRDefault="004536E4" w:rsidP="009E7D1F">
      <w:pPr>
        <w:spacing w:after="0" w:line="240" w:lineRule="auto"/>
      </w:pPr>
    </w:p>
    <w:p w:rsidR="004536E4" w:rsidRPr="009E7D1F" w:rsidRDefault="004536E4" w:rsidP="004536E4">
      <w:pPr>
        <w:spacing w:line="240" w:lineRule="auto"/>
        <w:jc w:val="center"/>
        <w:rPr>
          <w:b/>
        </w:rPr>
      </w:pPr>
      <w:r w:rsidRPr="009E7D1F">
        <w:rPr>
          <w:b/>
        </w:rPr>
        <w:t xml:space="preserve">JOINT COMMENTS OF NTCH, INC. </w:t>
      </w:r>
    </w:p>
    <w:p w:rsidR="004536E4" w:rsidRPr="009E7D1F" w:rsidRDefault="004536E4" w:rsidP="004536E4">
      <w:pPr>
        <w:spacing w:line="240" w:lineRule="auto"/>
        <w:jc w:val="center"/>
        <w:rPr>
          <w:b/>
        </w:rPr>
      </w:pPr>
      <w:r w:rsidRPr="009E7D1F">
        <w:rPr>
          <w:b/>
        </w:rPr>
        <w:t>AND</w:t>
      </w:r>
    </w:p>
    <w:p w:rsidR="004536E4" w:rsidRDefault="004536E4" w:rsidP="004536E4">
      <w:pPr>
        <w:spacing w:line="240" w:lineRule="auto"/>
        <w:jc w:val="center"/>
        <w:rPr>
          <w:b/>
        </w:rPr>
      </w:pPr>
      <w:r w:rsidRPr="009E7D1F">
        <w:rPr>
          <w:b/>
        </w:rPr>
        <w:t>FLAT WIRELESS, LLC</w:t>
      </w:r>
    </w:p>
    <w:p w:rsidR="004536E4" w:rsidRPr="009E7D1F" w:rsidRDefault="004536E4" w:rsidP="004536E4">
      <w:pPr>
        <w:spacing w:after="0" w:line="240" w:lineRule="auto"/>
        <w:jc w:val="center"/>
        <w:rPr>
          <w:b/>
        </w:rPr>
      </w:pPr>
    </w:p>
    <w:p w:rsidR="004536E4" w:rsidRDefault="000B4A95" w:rsidP="004536E4">
      <w:pPr>
        <w:spacing w:before="120" w:after="0" w:line="480" w:lineRule="auto"/>
        <w:ind w:firstLine="720"/>
      </w:pPr>
      <w:r>
        <w:t>NTCH, Inc. and Flat Wireless, LLC, by their attorneys, offer these comments on the matters raised by the Commission in the captioned Docket.</w:t>
      </w:r>
      <w:r w:rsidR="009C42CA">
        <w:t xml:space="preserve">  As will be set forth more fully below, the Joint Commenters believe that a light touch form of Title II regulation is needed in the absence of any reform by Congress of the </w:t>
      </w:r>
      <w:r w:rsidR="00020B0A">
        <w:t>definitions</w:t>
      </w:r>
      <w:r w:rsidR="009C42CA">
        <w:t xml:space="preserve"> of “</w:t>
      </w:r>
      <w:r w:rsidR="00020B0A">
        <w:t>information</w:t>
      </w:r>
      <w:r w:rsidR="009C42CA">
        <w:t xml:space="preserve"> service” and “telecommunications service.”  Such a light touch approach would avoid the First Amendment issues that would otherwise necessarily impact the throttling, blocking or other control of </w:t>
      </w:r>
      <w:r w:rsidR="008653EF">
        <w:t>Internet</w:t>
      </w:r>
      <w:r w:rsidR="009C42CA">
        <w:t xml:space="preserve"> content.  </w:t>
      </w:r>
      <w:r w:rsidR="00E231E3">
        <w:t xml:space="preserve"> Title II intervention into pricing and discrimination </w:t>
      </w:r>
      <w:r w:rsidR="008F7C80">
        <w:t xml:space="preserve">under the light touch approach </w:t>
      </w:r>
      <w:r w:rsidR="00E231E3">
        <w:t xml:space="preserve">would not be necessary unless market abuses occur.  But when those abuses do occur, as they have in the past, the Commission must have a tool </w:t>
      </w:r>
      <w:r w:rsidR="00020B0A">
        <w:t>available</w:t>
      </w:r>
      <w:r w:rsidR="00E231E3">
        <w:t xml:space="preserve"> to redress the pro</w:t>
      </w:r>
      <w:r w:rsidR="008F7C80">
        <w:t>b</w:t>
      </w:r>
      <w:r w:rsidR="00E231E3">
        <w:t>lem.</w:t>
      </w:r>
      <w:r w:rsidR="008F7C80">
        <w:t xml:space="preserve">  Joint Commenters do not believe that the current Net </w:t>
      </w:r>
      <w:r w:rsidR="00020B0A">
        <w:t>Neutrality</w:t>
      </w:r>
      <w:r w:rsidR="008F7C80">
        <w:t xml:space="preserve"> rules have actually had a significant effect on</w:t>
      </w:r>
      <w:r w:rsidR="000031C4">
        <w:t xml:space="preserve"> investment in the </w:t>
      </w:r>
      <w:r w:rsidR="008653EF">
        <w:t>Internet</w:t>
      </w:r>
      <w:r w:rsidR="008F7C80">
        <w:t xml:space="preserve">.  In fact, it </w:t>
      </w:r>
      <w:r w:rsidR="00E947B9">
        <w:t>is more likely</w:t>
      </w:r>
      <w:r w:rsidR="008F7C80">
        <w:t xml:space="preserve"> that the </w:t>
      </w:r>
      <w:r w:rsidR="001F2FC5">
        <w:t>continuing</w:t>
      </w:r>
      <w:r w:rsidR="008F7C80">
        <w:t xml:space="preserve"> uncertainty about the </w:t>
      </w:r>
      <w:r w:rsidR="000031C4">
        <w:t xml:space="preserve">governing </w:t>
      </w:r>
      <w:r w:rsidR="008F7C80">
        <w:t>regulatory paradigm</w:t>
      </w:r>
      <w:r w:rsidR="00E231E3">
        <w:t xml:space="preserve"> </w:t>
      </w:r>
      <w:r w:rsidR="00C90B16">
        <w:t>is in itself</w:t>
      </w:r>
      <w:r w:rsidR="001F2FC5">
        <w:t xml:space="preserve"> discouraging investment.  It is high time that the Commission </w:t>
      </w:r>
      <w:r w:rsidR="00C90B16">
        <w:t>bring this matter to final</w:t>
      </w:r>
      <w:r w:rsidR="001F2FC5">
        <w:t xml:space="preserve"> clos</w:t>
      </w:r>
      <w:r w:rsidR="00C90B16">
        <w:t>ure</w:t>
      </w:r>
      <w:r w:rsidR="001F2FC5">
        <w:t>.</w:t>
      </w:r>
    </w:p>
    <w:p w:rsidR="00597FE9" w:rsidRDefault="00597FE9" w:rsidP="004536E4">
      <w:pPr>
        <w:spacing w:before="120" w:after="0" w:line="480" w:lineRule="auto"/>
        <w:ind w:firstLine="720"/>
      </w:pPr>
    </w:p>
    <w:p w:rsidR="004536E4" w:rsidRDefault="004536E4" w:rsidP="00EF6813">
      <w:pPr>
        <w:jc w:val="center"/>
        <w:sectPr w:rsidR="004536E4" w:rsidSect="0094365E">
          <w:pgSz w:w="12240" w:h="15840"/>
          <w:pgMar w:top="1440" w:right="1440" w:bottom="1440" w:left="1440" w:header="720" w:footer="720" w:gutter="0"/>
          <w:pgNumType w:start="1"/>
          <w:cols w:space="720"/>
          <w:titlePg/>
          <w:docGrid w:linePitch="360"/>
        </w:sectPr>
      </w:pPr>
    </w:p>
    <w:p w:rsidR="00C90B16" w:rsidRPr="000031C4" w:rsidRDefault="00C90B16" w:rsidP="00C90B16">
      <w:pPr>
        <w:pStyle w:val="ListParagraph"/>
        <w:numPr>
          <w:ilvl w:val="0"/>
          <w:numId w:val="1"/>
        </w:numPr>
        <w:rPr>
          <w:b/>
        </w:rPr>
      </w:pPr>
      <w:r w:rsidRPr="000031C4">
        <w:rPr>
          <w:b/>
        </w:rPr>
        <w:t>Background</w:t>
      </w:r>
    </w:p>
    <w:p w:rsidR="00C90B16" w:rsidRDefault="00C90B16" w:rsidP="00D572D6">
      <w:pPr>
        <w:spacing w:line="480" w:lineRule="auto"/>
        <w:ind w:firstLine="720"/>
      </w:pPr>
      <w:r>
        <w:t>Joint Commenters are past and present CMRS pr</w:t>
      </w:r>
      <w:r w:rsidR="000031C4">
        <w:t xml:space="preserve">oviders who have both provided </w:t>
      </w:r>
      <w:r w:rsidR="008653EF">
        <w:t>Internet</w:t>
      </w:r>
      <w:r w:rsidR="00E947B9">
        <w:t xml:space="preserve"> access services and relied</w:t>
      </w:r>
      <w:r>
        <w:t xml:space="preserve"> on other CMRS carriers for </w:t>
      </w:r>
      <w:r w:rsidR="008653EF">
        <w:t>Internet</w:t>
      </w:r>
      <w:r>
        <w:t xml:space="preserve"> access when their customers are roaming.   Both Commenters are affected by </w:t>
      </w:r>
      <w:r w:rsidR="008653EF">
        <w:t>Internet</w:t>
      </w:r>
      <w:r>
        <w:t xml:space="preserve"> transparency rules, throttling or blocking actions,</w:t>
      </w:r>
      <w:r w:rsidR="00E947B9">
        <w:t xml:space="preserve"> </w:t>
      </w:r>
      <w:r>
        <w:t>paid priority issu</w:t>
      </w:r>
      <w:r w:rsidR="000031C4">
        <w:t>es</w:t>
      </w:r>
      <w:r w:rsidR="00E947B9">
        <w:t xml:space="preserve"> and the availability of just and reasonable rates for Internet access</w:t>
      </w:r>
      <w:r w:rsidR="000031C4">
        <w:t xml:space="preserve">.  </w:t>
      </w:r>
      <w:r w:rsidR="00E947B9">
        <w:t>Whether broadband Internet access is subject to Title II will directly impact their ability to compete and survive in the years ahead</w:t>
      </w:r>
      <w:r>
        <w:t>.</w:t>
      </w:r>
    </w:p>
    <w:p w:rsidR="00F5225C" w:rsidRDefault="00C90B16" w:rsidP="00D572D6">
      <w:pPr>
        <w:spacing w:line="480" w:lineRule="auto"/>
        <w:ind w:firstLine="720"/>
      </w:pPr>
      <w:r>
        <w:t>Almost since the beginning of the information service/telecommunications servic</w:t>
      </w:r>
      <w:r w:rsidR="00E947B9">
        <w:t>e framework established by the ‘</w:t>
      </w:r>
      <w:r>
        <w:t xml:space="preserve">96 Act, the Commission, the courts and the </w:t>
      </w:r>
      <w:r w:rsidR="008653EF">
        <w:t>Internet</w:t>
      </w:r>
      <w:r>
        <w:t xml:space="preserve"> industry itself have been </w:t>
      </w:r>
      <w:r w:rsidR="00E947B9">
        <w:t>vexed</w:t>
      </w:r>
      <w:r>
        <w:t xml:space="preserve"> by the fundamental qu</w:t>
      </w:r>
      <w:r w:rsidR="00E947B9">
        <w:t>estion of how to categorize</w:t>
      </w:r>
      <w:r>
        <w:t xml:space="preserve"> </w:t>
      </w:r>
      <w:r w:rsidR="008653EF">
        <w:t>Internet</w:t>
      </w:r>
      <w:r w:rsidR="00E947B9">
        <w:t xml:space="preserve"> access.</w:t>
      </w:r>
      <w:r w:rsidR="000031C4">
        <w:t xml:space="preserve">  The breadth of the language used to characterize information services on the one hand and telecommunications </w:t>
      </w:r>
      <w:r w:rsidR="00020B0A">
        <w:t>services</w:t>
      </w:r>
      <w:r w:rsidR="000031C4">
        <w:t xml:space="preserve"> on the other is consummately </w:t>
      </w:r>
      <w:r w:rsidR="00020B0A">
        <w:t>and maddeningly imprecise.  The</w:t>
      </w:r>
      <w:r w:rsidR="000031C4">
        <w:t xml:space="preserve"> definition of telecommunications to mean “the transmission, between or among points specified by the user, of information of the user’s choosing without change in the form or content of the information as sent and received” seems straightforward enough. 47 U.S.C. Section 153 (43).  </w:t>
      </w:r>
      <w:r w:rsidR="001A6A78">
        <w:t xml:space="preserve">Phone calls, faxes, telegrams, and channels used to distribute video, audio and other data had </w:t>
      </w:r>
      <w:r w:rsidR="00020B0A">
        <w:t>always</w:t>
      </w:r>
      <w:r w:rsidR="001A6A78">
        <w:t xml:space="preserve"> been deemed to be information of a customer’s choosing sent without change in form or content and therefore </w:t>
      </w:r>
      <w:r w:rsidR="00020B0A">
        <w:t>comfortably</w:t>
      </w:r>
      <w:r w:rsidR="001A6A78">
        <w:t xml:space="preserve"> </w:t>
      </w:r>
      <w:r w:rsidR="00020B0A">
        <w:t>within</w:t>
      </w:r>
      <w:r w:rsidR="001A6A78">
        <w:t xml:space="preserve"> the “common carrier” province of telecommunications. </w:t>
      </w:r>
      <w:r w:rsidR="000031C4">
        <w:t xml:space="preserve">Yet </w:t>
      </w:r>
      <w:r w:rsidR="00870D46">
        <w:t xml:space="preserve">the Commission has opined that </w:t>
      </w:r>
      <w:r w:rsidR="000031C4">
        <w:t xml:space="preserve">email is not telecommunications but rather an information service. </w:t>
      </w:r>
      <w:r w:rsidR="00870D46" w:rsidRPr="00870D46">
        <w:rPr>
          <w:i/>
        </w:rPr>
        <w:t>In re Inquiry Concerning High-Speed Access to the Internet over Cable and Other Facilities</w:t>
      </w:r>
      <w:r w:rsidR="00870D46" w:rsidRPr="00870D46">
        <w:t>, 17 FCC Rcd 4798, 4822-23 (2002)</w:t>
      </w:r>
      <w:r w:rsidR="001A6A78">
        <w:t xml:space="preserve">  How can one distinguish an email that contains a </w:t>
      </w:r>
      <w:r w:rsidR="00E947B9">
        <w:t>written</w:t>
      </w:r>
      <w:r w:rsidR="001A6A78">
        <w:t xml:space="preserve"> verbal message to a recipient from a phone call to that same recipient in which the exact same words are spoken rather than </w:t>
      </w:r>
      <w:r w:rsidR="00020B0A">
        <w:t>typed?</w:t>
      </w:r>
      <w:r w:rsidR="00E947B9">
        <w:t xml:space="preserve">  Yet </w:t>
      </w:r>
      <w:r w:rsidR="0009097B">
        <w:t>an</w:t>
      </w:r>
      <w:r w:rsidR="001A6A78">
        <w:t xml:space="preserve"> email is not a transmission of information but r</w:t>
      </w:r>
      <w:r w:rsidR="00E947B9">
        <w:t>ather “</w:t>
      </w:r>
      <w:r w:rsidR="00020B0A">
        <w:t>the offering of a capabili</w:t>
      </w:r>
      <w:r w:rsidR="001A6A78">
        <w:t>ty of for generating, acquiring, storing, transforming</w:t>
      </w:r>
      <w:r w:rsidR="00F5225C">
        <w:t>,</w:t>
      </w:r>
      <w:r w:rsidR="001A6A78">
        <w:t xml:space="preserve"> processing, retrieving, utilizing or making available, information,</w:t>
      </w:r>
      <w:r w:rsidR="00F5225C">
        <w:t xml:space="preserve"> via communications,</w:t>
      </w:r>
      <w:r w:rsidR="00E947B9">
        <w:t>”</w:t>
      </w:r>
      <w:r w:rsidR="001A6A78">
        <w:t xml:space="preserve"> </w:t>
      </w:r>
      <w:r w:rsidR="00F5225C">
        <w:t>47 U.S.C. Section 153 (20</w:t>
      </w:r>
      <w:r w:rsidR="001A6A78">
        <w:t>)</w:t>
      </w:r>
      <w:r w:rsidR="00F5225C">
        <w:t xml:space="preserve">, and hence an information service. </w:t>
      </w:r>
    </w:p>
    <w:p w:rsidR="000C4C2F" w:rsidRDefault="00F5225C" w:rsidP="00D572D6">
      <w:pPr>
        <w:spacing w:line="480" w:lineRule="auto"/>
        <w:ind w:firstLine="720"/>
      </w:pPr>
      <w:r>
        <w:t xml:space="preserve">This makes no sense either intuitively or in the ways that users perceive their </w:t>
      </w:r>
      <w:r w:rsidR="00020B0A">
        <w:t>transmission</w:t>
      </w:r>
      <w:r>
        <w:t xml:space="preserve"> and reception of information.  While email is the easiest example, virtually any particular transmission of information (a telecom service) could just as easily and accurately </w:t>
      </w:r>
      <w:r w:rsidR="00020B0A">
        <w:t>be described</w:t>
      </w:r>
      <w:r>
        <w:t xml:space="preserve"> as “making information available,” which is an information service.  This fundamental ambiguity at the heart of the statutory construct has left courts and the FCC in a </w:t>
      </w:r>
      <w:r w:rsidR="000C4C2F">
        <w:t>hopeless</w:t>
      </w:r>
      <w:r>
        <w:t xml:space="preserve"> quandary.  Calling a service one thing or the other has enormous consequences for the provider of the service; </w:t>
      </w:r>
      <w:r w:rsidR="00020B0A">
        <w:t>sometimes</w:t>
      </w:r>
      <w:r>
        <w:t xml:space="preserve"> the difference can be as great as the difference between no regulation at all and the full panoply of monopoly-era rate regulation. </w:t>
      </w:r>
      <w:r w:rsidR="001A6A78">
        <w:t xml:space="preserve"> </w:t>
      </w:r>
      <w:r w:rsidR="000C4C2F">
        <w:t xml:space="preserve">Yet </w:t>
      </w:r>
      <w:r w:rsidR="00E947B9">
        <w:t xml:space="preserve">one can quite justifiably place any transmission of information in either category. </w:t>
      </w:r>
      <w:r w:rsidR="000C4C2F">
        <w:t xml:space="preserve"> </w:t>
      </w:r>
      <w:r>
        <w:t>At paras. 6</w:t>
      </w:r>
      <w:r w:rsidR="00870D46">
        <w:t xml:space="preserve"> </w:t>
      </w:r>
      <w:r>
        <w:t>-</w:t>
      </w:r>
      <w:r w:rsidR="00870D46">
        <w:t xml:space="preserve"> </w:t>
      </w:r>
      <w:r>
        <w:t>22 of the NPRM</w:t>
      </w:r>
      <w:r w:rsidR="000C4C2F">
        <w:t xml:space="preserve">, the Commission outlined the constant zigzagging in the legal treatment of </w:t>
      </w:r>
      <w:r w:rsidR="008653EF">
        <w:t>Internet</w:t>
      </w:r>
      <w:r w:rsidR="000C4C2F">
        <w:t xml:space="preserve"> data offerings as differently constituted Commissions, </w:t>
      </w:r>
      <w:r w:rsidR="00020B0A">
        <w:t>different</w:t>
      </w:r>
      <w:r w:rsidR="000C4C2F">
        <w:t xml:space="preserve"> Circuit Courts, and even the Supreme Court tried to make sense of the mess left by the ’96 Act.  The instant proceeding is merely the latest zig to the Wheeler </w:t>
      </w:r>
      <w:r w:rsidR="00020B0A">
        <w:t>Commission’s</w:t>
      </w:r>
      <w:r w:rsidR="000C4C2F">
        <w:t xml:space="preserve"> zag.  </w:t>
      </w:r>
    </w:p>
    <w:p w:rsidR="00C90B16" w:rsidRDefault="000C4C2F" w:rsidP="00D572D6">
      <w:pPr>
        <w:spacing w:line="480" w:lineRule="auto"/>
        <w:ind w:firstLine="720"/>
      </w:pPr>
      <w:r>
        <w:t>To adopt the proposal in the NPRM</w:t>
      </w:r>
      <w:r w:rsidR="00E947B9">
        <w:rPr>
          <w:rStyle w:val="FootnoteReference"/>
        </w:rPr>
        <w:footnoteReference w:id="1"/>
      </w:r>
      <w:r>
        <w:t xml:space="preserve"> to reclassify </w:t>
      </w:r>
      <w:r w:rsidR="008653EF">
        <w:t>Internet</w:t>
      </w:r>
      <w:r>
        <w:t xml:space="preserve"> access as an information service would simply prolong this destructive p</w:t>
      </w:r>
      <w:r w:rsidR="00566BA2">
        <w:t>attern</w:t>
      </w:r>
      <w:r>
        <w:t xml:space="preserve"> of having different Commissions </w:t>
      </w:r>
      <w:r w:rsidR="00020B0A">
        <w:t>under</w:t>
      </w:r>
      <w:r>
        <w:t xml:space="preserve"> </w:t>
      </w:r>
      <w:r w:rsidR="00020B0A">
        <w:t>different</w:t>
      </w:r>
      <w:r>
        <w:t xml:space="preserve"> chairmen reverse the determinations made by their opposite-party predecessors</w:t>
      </w:r>
      <w:r w:rsidR="00CC1048">
        <w:t xml:space="preserve">, with no principled justification for the change. </w:t>
      </w:r>
      <w:r w:rsidR="00C57A25">
        <w:t xml:space="preserve"> </w:t>
      </w:r>
      <w:r w:rsidR="00CC1048">
        <w:t xml:space="preserve">The best solution to the regulatory quagmire would, of course, be for </w:t>
      </w:r>
      <w:r w:rsidR="00020B0A">
        <w:t>Congress</w:t>
      </w:r>
      <w:r w:rsidR="00CC1048">
        <w:t xml:space="preserve"> to amend the Act to establish a regulatory regime that addresses the </w:t>
      </w:r>
      <w:r w:rsidR="008653EF">
        <w:t>Internet</w:t>
      </w:r>
      <w:r w:rsidR="00CC1048">
        <w:t xml:space="preserve"> as we know it.  It is apparent to all that while no one wants the creativity, productivity and innovation which the </w:t>
      </w:r>
      <w:r w:rsidR="008653EF">
        <w:t>Internet</w:t>
      </w:r>
      <w:r w:rsidR="00CC1048">
        <w:t xml:space="preserve"> has fostered to be stifled, there are also elements of the </w:t>
      </w:r>
      <w:r w:rsidR="008653EF">
        <w:t>Internet</w:t>
      </w:r>
      <w:r w:rsidR="00CC1048">
        <w:t xml:space="preserve"> that necessitate regulation.  These include truth-in-billing</w:t>
      </w:r>
      <w:r w:rsidR="00E947B9">
        <w:t xml:space="preserve">, </w:t>
      </w:r>
      <w:r w:rsidR="00CC1048">
        <w:t xml:space="preserve">child </w:t>
      </w:r>
      <w:r w:rsidR="00020B0A">
        <w:t>pornography</w:t>
      </w:r>
      <w:r w:rsidR="00CC1048">
        <w:t xml:space="preserve">, protections of intellectual property rights, transparency of billing, law enforcement access, and other basic elements of a civil society.  The </w:t>
      </w:r>
      <w:r w:rsidR="008653EF">
        <w:t>Internet</w:t>
      </w:r>
      <w:r w:rsidR="00CC1048">
        <w:t xml:space="preserve"> is not now, and never should be, a realm where all restraints on our normal commercial and social interactions are abandoned.   A “free and </w:t>
      </w:r>
      <w:r w:rsidR="00020B0A">
        <w:t>open</w:t>
      </w:r>
      <w:r w:rsidR="00CC1048">
        <w:t xml:space="preserve">” </w:t>
      </w:r>
      <w:r w:rsidR="008653EF">
        <w:t>Internet</w:t>
      </w:r>
      <w:r w:rsidR="00CC1048">
        <w:t xml:space="preserve"> need not </w:t>
      </w:r>
      <w:r w:rsidR="00566BA2">
        <w:t>be</w:t>
      </w:r>
      <w:r w:rsidR="00CC1048">
        <w:t xml:space="preserve"> anarchy.  The </w:t>
      </w:r>
      <w:r w:rsidR="008653EF">
        <w:t>Internet</w:t>
      </w:r>
      <w:r w:rsidR="00CC1048">
        <w:t xml:space="preserve"> has thrived </w:t>
      </w:r>
      <w:r w:rsidR="00566BA2">
        <w:t xml:space="preserve">over </w:t>
      </w:r>
      <w:r w:rsidR="00CC1048">
        <w:t xml:space="preserve">the last two decades despite the presence of such restraints, and it can and would survive the </w:t>
      </w:r>
      <w:r w:rsidR="00020B0A">
        <w:t>imposition</w:t>
      </w:r>
      <w:r w:rsidR="00CC1048">
        <w:t xml:space="preserve"> of </w:t>
      </w:r>
      <w:r w:rsidR="00566BA2">
        <w:t>broad bound</w:t>
      </w:r>
      <w:r w:rsidR="00E947B9">
        <w:t>arie</w:t>
      </w:r>
      <w:r w:rsidR="00566BA2">
        <w:t>s that define what conduct is or is not permissible.  Congress should erase the artificial and demonstrably unworkable paradigm adopted in the ’96 Act and replace it with a 21</w:t>
      </w:r>
      <w:r w:rsidR="00566BA2" w:rsidRPr="00566BA2">
        <w:rPr>
          <w:vertAlign w:val="superscript"/>
        </w:rPr>
        <w:t>st</w:t>
      </w:r>
      <w:r w:rsidR="00566BA2">
        <w:t xml:space="preserve"> Century paradigm that addresses the </w:t>
      </w:r>
      <w:r w:rsidR="008653EF">
        <w:t>Internet</w:t>
      </w:r>
      <w:r w:rsidR="00566BA2">
        <w:t xml:space="preserve"> as a unique telecommunications creation with its own hybrid nature, part </w:t>
      </w:r>
      <w:r w:rsidR="00020B0A">
        <w:t>telecommunications</w:t>
      </w:r>
      <w:r w:rsidR="00566BA2">
        <w:t xml:space="preserve">, part information service, and maybe part </w:t>
      </w:r>
      <w:r w:rsidR="000A5A98">
        <w:t>a marketplace of ideas and commerce.  It would be</w:t>
      </w:r>
      <w:r w:rsidR="00566BA2">
        <w:t xml:space="preserve"> subject to a regulatory framework that </w:t>
      </w:r>
      <w:r w:rsidR="000A5A98">
        <w:t xml:space="preserve">is not constrained by the model of 1930’s monopolies or even by 1996 views about how information can be transformed and shared, but rather by the competing imperatives of letting the best potentialities of the </w:t>
      </w:r>
      <w:r w:rsidR="008653EF">
        <w:t>Internet</w:t>
      </w:r>
      <w:r w:rsidR="000A5A98">
        <w:t xml:space="preserve"> thrive while keeping the worst abuses in check. </w:t>
      </w:r>
    </w:p>
    <w:p w:rsidR="000A5A98" w:rsidRPr="00E947B9" w:rsidRDefault="00257CE4" w:rsidP="000A5A98">
      <w:pPr>
        <w:pStyle w:val="ListParagraph"/>
        <w:numPr>
          <w:ilvl w:val="0"/>
          <w:numId w:val="1"/>
        </w:numPr>
        <w:rPr>
          <w:b/>
        </w:rPr>
      </w:pPr>
      <w:r w:rsidRPr="00E947B9">
        <w:rPr>
          <w:b/>
        </w:rPr>
        <w:t>Light Touch Title II Regulation is the Best Approach</w:t>
      </w:r>
    </w:p>
    <w:p w:rsidR="007409F9" w:rsidRDefault="00933EF3" w:rsidP="00D572D6">
      <w:pPr>
        <w:spacing w:line="480" w:lineRule="auto"/>
        <w:ind w:firstLine="720"/>
      </w:pPr>
      <w:r>
        <w:t>In the absence of relief from Congress, the Co</w:t>
      </w:r>
      <w:r w:rsidR="007409F9">
        <w:t xml:space="preserve">mmission needs to forge the best path forward with the statutory tools at its disposal. </w:t>
      </w:r>
      <w:r>
        <w:t xml:space="preserve"> </w:t>
      </w:r>
      <w:r w:rsidR="0009097B">
        <w:t xml:space="preserve">Joint Commenters </w:t>
      </w:r>
      <w:r>
        <w:t xml:space="preserve">believe that light touch Title II regulation is essential to maintaining the largely </w:t>
      </w:r>
      <w:r w:rsidR="00E947B9">
        <w:t xml:space="preserve">unfettered </w:t>
      </w:r>
      <w:r>
        <w:t xml:space="preserve">ethic of today’s </w:t>
      </w:r>
      <w:r w:rsidR="008653EF">
        <w:t>Internet</w:t>
      </w:r>
      <w:r>
        <w:t xml:space="preserve">.  </w:t>
      </w:r>
      <w:r w:rsidR="00870D46">
        <w:t xml:space="preserve">Title II should apply to all entities defined as “broadband Internet access service” under Section 8.2 of 47 C.F.R.   </w:t>
      </w:r>
      <w:r>
        <w:t xml:space="preserve">Under light touch regulation, nothing would change about the current situation, but freedom from content control and freedom from oppressive or </w:t>
      </w:r>
      <w:r w:rsidR="00020B0A">
        <w:t>discriminatory</w:t>
      </w:r>
      <w:r>
        <w:t xml:space="preserve"> pricing would be ensured.</w:t>
      </w:r>
    </w:p>
    <w:p w:rsidR="00933EF3" w:rsidRPr="00E947B9" w:rsidRDefault="00257CE4" w:rsidP="007213AF">
      <w:pPr>
        <w:pStyle w:val="ListParagraph"/>
        <w:keepNext/>
        <w:keepLines/>
        <w:numPr>
          <w:ilvl w:val="0"/>
          <w:numId w:val="3"/>
        </w:numPr>
        <w:ind w:left="1800"/>
        <w:rPr>
          <w:b/>
        </w:rPr>
      </w:pPr>
      <w:r w:rsidRPr="00E947B9">
        <w:rPr>
          <w:b/>
        </w:rPr>
        <w:t>Sections 706 and 230 of the Act Are Not a Sound Basis for Regulation</w:t>
      </w:r>
    </w:p>
    <w:p w:rsidR="003B4EC3" w:rsidRDefault="003B4EC3" w:rsidP="00D572D6">
      <w:pPr>
        <w:keepNext/>
        <w:keepLines/>
        <w:spacing w:line="480" w:lineRule="auto"/>
        <w:ind w:firstLine="720"/>
      </w:pPr>
      <w:r>
        <w:t>In examining sta</w:t>
      </w:r>
      <w:r w:rsidR="00E947B9">
        <w:t>tutory foundations for regulati</w:t>
      </w:r>
      <w:r>
        <w:t xml:space="preserve">on of the </w:t>
      </w:r>
      <w:r w:rsidR="008653EF">
        <w:t>Internet</w:t>
      </w:r>
      <w:r>
        <w:t xml:space="preserve"> outside of Title II, the Commission has in the past looked to Sections 706 (47 U.S.C. Section 1302) and 230 (47 U.S.C. Section 230) of the Act as grants of Congressional authority.  Section 706, as many commentators have recognized, is largely hortatory.  But more importantly, the section by its </w:t>
      </w:r>
      <w:r w:rsidR="00020B0A">
        <w:t>terms</w:t>
      </w:r>
      <w:r>
        <w:t xml:space="preserve"> is limited to situations where “telecommunications services” are being regulated.  </w:t>
      </w:r>
    </w:p>
    <w:p w:rsidR="003B4EC3" w:rsidRDefault="003B4EC3" w:rsidP="003B4EC3">
      <w:pPr>
        <w:ind w:left="720"/>
      </w:pPr>
      <w:r>
        <w:t xml:space="preserve">The Commission and each State commission with regulatory jurisdiction over </w:t>
      </w:r>
      <w:r w:rsidRPr="003B4EC3">
        <w:rPr>
          <w:i/>
        </w:rPr>
        <w:t>telecommunications services</w:t>
      </w:r>
      <w:r>
        <w:t xml:space="preserve"> shall encourage the deployment on a reasonable and timely basis of advanced telecommunications capability to all Americans … by utilizing, in a manner consistent with the public interest, convenience, and necessity, price cap regulation, regulatory forbearance, measures that promote competition in the local telecommunications market, or other regulating methods that remove barriers to infrastructure </w:t>
      </w:r>
      <w:r w:rsidR="00737A20">
        <w:t>inve</w:t>
      </w:r>
      <w:r>
        <w:t>stment. (Emph. added)</w:t>
      </w:r>
    </w:p>
    <w:p w:rsidR="003B4EC3" w:rsidRDefault="003B4EC3" w:rsidP="00D572D6">
      <w:pPr>
        <w:spacing w:line="480" w:lineRule="auto"/>
      </w:pPr>
      <w:r>
        <w:t>The sectio</w:t>
      </w:r>
      <w:r w:rsidR="00737A20">
        <w:t>n also gives examples of regula</w:t>
      </w:r>
      <w:r>
        <w:t>tory methods that could be applied</w:t>
      </w:r>
      <w:r w:rsidR="00737A20">
        <w:t>,</w:t>
      </w:r>
      <w:r>
        <w:t xml:space="preserve"> all</w:t>
      </w:r>
      <w:r w:rsidR="00737A20">
        <w:t xml:space="preserve"> of which are</w:t>
      </w:r>
      <w:r>
        <w:t xml:space="preserve"> forms of common </w:t>
      </w:r>
      <w:r w:rsidR="00E947B9">
        <w:t xml:space="preserve">carrier </w:t>
      </w:r>
      <w:r>
        <w:t>regulation – not abandonment of Title II regulation altogether.</w:t>
      </w:r>
      <w:r w:rsidR="00737A20">
        <w:t xml:space="preserve"> In </w:t>
      </w:r>
      <w:r w:rsidR="00E947B9">
        <w:t xml:space="preserve">Section </w:t>
      </w:r>
      <w:r w:rsidR="00737A20">
        <w:t xml:space="preserve">706, Congress plainly contemplated that Title II regulation would apply to advanced </w:t>
      </w:r>
      <w:r w:rsidR="00E947B9">
        <w:t>“</w:t>
      </w:r>
      <w:r w:rsidR="00737A20">
        <w:t xml:space="preserve">telecommunications </w:t>
      </w:r>
      <w:r w:rsidR="00E947B9">
        <w:t xml:space="preserve">services” </w:t>
      </w:r>
      <w:r w:rsidR="00737A20">
        <w:t>but that the Commission should use appropriate measures to reduce the burdens that might be created by such regulation.  That is exactly what light touch Title II regulation is intended to accomplish</w:t>
      </w:r>
      <w:r w:rsidR="00020B0A">
        <w:t>.</w:t>
      </w:r>
      <w:r w:rsidR="00737A20">
        <w:t xml:space="preserve"> Reliance on Section 706 alone for </w:t>
      </w:r>
      <w:r w:rsidR="00020B0A">
        <w:t>regulation</w:t>
      </w:r>
      <w:r w:rsidR="00737A20">
        <w:t xml:space="preserve"> of the </w:t>
      </w:r>
      <w:r w:rsidR="008653EF">
        <w:t>Internet</w:t>
      </w:r>
      <w:r w:rsidR="00737A20">
        <w:t xml:space="preserve"> without Title II backing is too slender a reed to support the kind of regulation that is needed. </w:t>
      </w:r>
    </w:p>
    <w:p w:rsidR="00083D78" w:rsidRDefault="00737A20" w:rsidP="00D572D6">
      <w:pPr>
        <w:spacing w:line="480" w:lineRule="auto"/>
      </w:pPr>
      <w:r>
        <w:tab/>
        <w:t xml:space="preserve">Similarly, Section 230 simply expresses aspirational policy objectives without giving the Commission any additional specific authority to accomplish those objectives. As will be set forth below, a light touch Title II approach best accomplishes the important polices enunciated by Congress, including maximizing user control over what is received over the </w:t>
      </w:r>
      <w:r w:rsidR="008653EF">
        <w:t>Internet</w:t>
      </w:r>
      <w:r>
        <w:t>.</w:t>
      </w:r>
      <w:r w:rsidR="00083D78">
        <w:t xml:space="preserve">  </w:t>
      </w:r>
      <w:r>
        <w:t xml:space="preserve">The Commission should simply use the tools that have been provide it by Title II but </w:t>
      </w:r>
      <w:r w:rsidR="00083D78">
        <w:t xml:space="preserve">configure them to the unique requirements of the </w:t>
      </w:r>
      <w:r w:rsidR="008653EF">
        <w:t>Internet</w:t>
      </w:r>
      <w:r w:rsidR="00083D78">
        <w:t xml:space="preserve">. </w:t>
      </w:r>
    </w:p>
    <w:p w:rsidR="00083D78" w:rsidRPr="00E947B9" w:rsidRDefault="00083D78" w:rsidP="007213AF">
      <w:pPr>
        <w:pStyle w:val="ListParagraph"/>
        <w:numPr>
          <w:ilvl w:val="0"/>
          <w:numId w:val="3"/>
        </w:numPr>
        <w:ind w:left="1800"/>
        <w:rPr>
          <w:b/>
        </w:rPr>
      </w:pPr>
      <w:r w:rsidRPr="00E947B9">
        <w:rPr>
          <w:b/>
        </w:rPr>
        <w:t xml:space="preserve">Absent Title II Regulation, </w:t>
      </w:r>
      <w:r w:rsidR="008653EF" w:rsidRPr="00E947B9">
        <w:rPr>
          <w:b/>
        </w:rPr>
        <w:t>Internet</w:t>
      </w:r>
      <w:r w:rsidRPr="00E947B9">
        <w:rPr>
          <w:b/>
        </w:rPr>
        <w:t xml:space="preserve"> Content is Subject to Provider Control</w:t>
      </w:r>
    </w:p>
    <w:p w:rsidR="00737A20" w:rsidRDefault="00083D78" w:rsidP="00D572D6">
      <w:pPr>
        <w:spacing w:line="480" w:lineRule="auto"/>
        <w:ind w:firstLine="720"/>
      </w:pPr>
      <w:r>
        <w:t>One of the essential elements of common carrier or telecommunications service</w:t>
      </w:r>
      <w:r w:rsidR="00737A20">
        <w:t xml:space="preserve"> </w:t>
      </w:r>
      <w:r>
        <w:t xml:space="preserve">provision is that the provider may not control the content of what is transmitted.  This feature of common carrier </w:t>
      </w:r>
      <w:r w:rsidR="00020B0A">
        <w:t>service</w:t>
      </w:r>
      <w:r>
        <w:t xml:space="preserve"> has two benefits: it frees users from the </w:t>
      </w:r>
      <w:r w:rsidR="00E947B9">
        <w:t>possibility that the pipeline provider could</w:t>
      </w:r>
      <w:r>
        <w:t xml:space="preserve"> control, censor, limit or deny carriage of content that the provider does not agree with.  Secondly, it relieves the </w:t>
      </w:r>
      <w:r w:rsidR="00020B0A">
        <w:t>service</w:t>
      </w:r>
      <w:r>
        <w:t xml:space="preserve"> provider from </w:t>
      </w:r>
      <w:r w:rsidR="00020B0A">
        <w:t>liability</w:t>
      </w:r>
      <w:r>
        <w:t xml:space="preserve"> for the content delivered precisely because it has no control over it. Characterization of </w:t>
      </w:r>
      <w:r w:rsidR="008653EF">
        <w:t>Internet</w:t>
      </w:r>
      <w:r>
        <w:t xml:space="preserve"> access service as an information service undermines those twin pillars o</w:t>
      </w:r>
      <w:r w:rsidR="00020B0A">
        <w:t xml:space="preserve">f the way the </w:t>
      </w:r>
      <w:r w:rsidR="008653EF">
        <w:t>Internet</w:t>
      </w:r>
      <w:r w:rsidR="00020B0A">
        <w:t xml:space="preserve"> now func</w:t>
      </w:r>
      <w:r>
        <w:t xml:space="preserve">tions. </w:t>
      </w:r>
    </w:p>
    <w:p w:rsidR="006B27F3" w:rsidRDefault="00083D78" w:rsidP="00D572D6">
      <w:pPr>
        <w:spacing w:line="480" w:lineRule="auto"/>
        <w:ind w:firstLine="720"/>
      </w:pPr>
      <w:r>
        <w:t xml:space="preserve">Virtually every party who has chimed in on the issue of content-based throttling or blocking </w:t>
      </w:r>
      <w:r w:rsidR="006B27F3">
        <w:t xml:space="preserve">has decried the </w:t>
      </w:r>
      <w:r w:rsidR="00020B0A">
        <w:t>practice</w:t>
      </w:r>
      <w:r>
        <w:t xml:space="preserve"> and </w:t>
      </w:r>
      <w:r w:rsidR="00020B0A">
        <w:t>promised</w:t>
      </w:r>
      <w:r>
        <w:t xml:space="preserve"> not to employ</w:t>
      </w:r>
      <w:r w:rsidR="006B27F3">
        <w:t xml:space="preserve"> such </w:t>
      </w:r>
      <w:r w:rsidR="00020B0A">
        <w:t>techniques</w:t>
      </w:r>
      <w:r w:rsidR="006B27F3">
        <w:t>.  Based on th</w:t>
      </w:r>
      <w:r w:rsidR="009F0708">
        <w:t xml:space="preserve">ese “nothing to </w:t>
      </w:r>
      <w:r>
        <w:t>worry</w:t>
      </w:r>
      <w:r w:rsidR="009F0708">
        <w:t xml:space="preserve"> about</w:t>
      </w:r>
      <w:r>
        <w:t xml:space="preserve">” promises, some commentators have called the current Net Neutrality rules a solution in search of a problem.  But as the </w:t>
      </w:r>
      <w:r w:rsidR="008653EF">
        <w:t>Internet</w:t>
      </w:r>
      <w:r>
        <w:t xml:space="preserve"> increasingly becomes </w:t>
      </w:r>
      <w:r w:rsidR="0009097B">
        <w:t>our</w:t>
      </w:r>
      <w:r>
        <w:t xml:space="preserve"> most important source of news and information, it is critical that </w:t>
      </w:r>
      <w:r w:rsidR="00020B0A">
        <w:t>providers</w:t>
      </w:r>
      <w:r>
        <w:t xml:space="preserve"> of </w:t>
      </w:r>
      <w:r w:rsidR="008653EF">
        <w:t>Internet</w:t>
      </w:r>
      <w:r>
        <w:t xml:space="preserve"> access not have the power to decide what their customers </w:t>
      </w:r>
      <w:r w:rsidR="007966B6">
        <w:t>see and</w:t>
      </w:r>
      <w:r>
        <w:t xml:space="preserve"> hear.</w:t>
      </w:r>
      <w:r w:rsidR="006B27F3">
        <w:t xml:space="preserve">  In this regard, it is curious that the very companies who most loudly insist that they do not need to be prevented from throttling or blocking content of a </w:t>
      </w:r>
      <w:r w:rsidR="00020B0A">
        <w:t>customer’s</w:t>
      </w:r>
      <w:r w:rsidR="006B27F3">
        <w:t xml:space="preserve"> choosing because they would never do such a thing are the ones who most loudly resist the imposition of a legal obligation not to do so.  It has to make one wonder.  If they would never do it, why not have a rule that confirms that obligation for the benefit of all concerned, inclu</w:t>
      </w:r>
      <w:r w:rsidR="00870D46">
        <w:t>ding both users and competitors?</w:t>
      </w:r>
    </w:p>
    <w:p w:rsidR="00083D78" w:rsidRDefault="006B27F3" w:rsidP="00D572D6">
      <w:pPr>
        <w:spacing w:line="480" w:lineRule="auto"/>
        <w:ind w:firstLine="720"/>
      </w:pPr>
      <w:r>
        <w:t xml:space="preserve">It has </w:t>
      </w:r>
      <w:r w:rsidR="00E947B9">
        <w:t xml:space="preserve">also </w:t>
      </w:r>
      <w:r>
        <w:t>been suggested that this issue can be handled by arm-</w:t>
      </w:r>
      <w:r w:rsidR="00E947B9">
        <w:t>twisting major ISPs to commit</w:t>
      </w:r>
      <w:r>
        <w:t xml:space="preserve"> not </w:t>
      </w:r>
      <w:r w:rsidR="00E947B9">
        <w:t>to throttle or block</w:t>
      </w:r>
      <w:r>
        <w:t xml:space="preserve"> as part of their </w:t>
      </w:r>
      <w:r w:rsidR="00020B0A">
        <w:t>terms</w:t>
      </w:r>
      <w:r>
        <w:t xml:space="preserve"> of service.  Once such terms were </w:t>
      </w:r>
      <w:r w:rsidR="00020B0A">
        <w:t>promulgated</w:t>
      </w:r>
      <w:r>
        <w:t xml:space="preserve">, users would have recourse to the FTC to complain about the breach of </w:t>
      </w:r>
      <w:r w:rsidR="00020B0A">
        <w:t>terms</w:t>
      </w:r>
      <w:r>
        <w:t xml:space="preserve"> </w:t>
      </w:r>
      <w:r w:rsidR="00020B0A">
        <w:t>o</w:t>
      </w:r>
      <w:r>
        <w:t>f service.  That cumbersome process not only assumes that</w:t>
      </w:r>
      <w:r w:rsidR="00C01DF8">
        <w:t xml:space="preserve"> all</w:t>
      </w:r>
      <w:r>
        <w:t xml:space="preserve"> ISPs will </w:t>
      </w:r>
      <w:r w:rsidR="00020B0A">
        <w:t>voluntarily</w:t>
      </w:r>
      <w:r w:rsidR="00C01DF8">
        <w:t xml:space="preserve"> </w:t>
      </w:r>
      <w:r>
        <w:t>sign on to such terms (despite their ardent opposition to a rule requiring those ter</w:t>
      </w:r>
      <w:r w:rsidR="00C01DF8">
        <w:t xml:space="preserve">ms), but also requires consumers to parse </w:t>
      </w:r>
      <w:r w:rsidR="00020B0A">
        <w:t>through</w:t>
      </w:r>
      <w:r w:rsidR="00C01DF8">
        <w:t xml:space="preserve"> the fine print of terms and conditions which may be changed at any timer by the ISP</w:t>
      </w:r>
      <w:r w:rsidR="00E947B9">
        <w:t>,</w:t>
      </w:r>
      <w:r w:rsidR="00C01DF8">
        <w:t xml:space="preserve"> and then file a complaint with the FTC when the terms are violated.  The FTC would then have to open an </w:t>
      </w:r>
      <w:r w:rsidR="00020B0A">
        <w:t>individualized</w:t>
      </w:r>
      <w:r w:rsidR="00C01DF8">
        <w:t xml:space="preserve"> investigation into the charges, hold a hearing and find the </w:t>
      </w:r>
      <w:r w:rsidR="00020B0A">
        <w:t>particular</w:t>
      </w:r>
      <w:r w:rsidR="00C01DF8">
        <w:t xml:space="preserve"> ISP guilty of no</w:t>
      </w:r>
      <w:r w:rsidR="00020B0A">
        <w:t>t heeding its own terms and conditio</w:t>
      </w:r>
      <w:r w:rsidR="00C01DF8">
        <w:t xml:space="preserve">ns.  Then it would have to do the same thing for any other ISP that also violated its terms and </w:t>
      </w:r>
      <w:r w:rsidR="00020B0A">
        <w:t>conditions</w:t>
      </w:r>
      <w:r w:rsidR="00C01DF8">
        <w:t>.  This is a clumsy, inefficient and ul</w:t>
      </w:r>
      <w:r w:rsidR="00020B0A">
        <w:t>timately ineffective way to ensur</w:t>
      </w:r>
      <w:r w:rsidR="00C01DF8">
        <w:t xml:space="preserve">e </w:t>
      </w:r>
      <w:r w:rsidR="00020B0A">
        <w:t>w</w:t>
      </w:r>
      <w:r w:rsidR="00C01DF8">
        <w:t xml:space="preserve">hat almost everyone agrees is a fundamental right of </w:t>
      </w:r>
      <w:r w:rsidR="008653EF">
        <w:t>Internet</w:t>
      </w:r>
      <w:r w:rsidR="00C01DF8">
        <w:t xml:space="preserve"> use: that one’s choice of content will not be controlled by the ISP based on the ISP’s commercial or other content </w:t>
      </w:r>
      <w:r w:rsidR="002A0A88">
        <w:t>preferences</w:t>
      </w:r>
      <w:r w:rsidR="00C01DF8">
        <w:t xml:space="preserve">.  A straightforward, bright line rule like the one now guaranteeing no throttling or blocking (other than as required by network </w:t>
      </w:r>
      <w:r w:rsidR="002A0A88">
        <w:t>considerations</w:t>
      </w:r>
      <w:r w:rsidR="00C01DF8">
        <w:t xml:space="preserve">) and full transparency of terms and conditions should remain in place.  These fundamental truths should be engraved in stone, not left to the voluntary goodwill of self-interested ISPs. </w:t>
      </w:r>
    </w:p>
    <w:p w:rsidR="008653EF" w:rsidRDefault="008653EF" w:rsidP="00D572D6">
      <w:pPr>
        <w:spacing w:line="480" w:lineRule="auto"/>
        <w:ind w:firstLine="720"/>
      </w:pPr>
      <w:r>
        <w:t xml:space="preserve">First Amendment considerations also apply to this situation.  The Court in </w:t>
      </w:r>
      <w:r w:rsidRPr="008653EF">
        <w:rPr>
          <w:i/>
        </w:rPr>
        <w:t>United States Telecom Ass’n. v. FCC</w:t>
      </w:r>
      <w:r>
        <w:t>, 825 F. 3d 674 (D.C. Cir. (2016) expressly considered arguments that classifying ISPs as common carrie</w:t>
      </w:r>
      <w:r w:rsidR="00E947B9">
        <w:t>r</w:t>
      </w:r>
      <w:r>
        <w:t xml:space="preserve">s would infringe their First Amendment rights to free speech.  The Court correctly recognized that the broadband access providers covered by the current rules are only those that hold themselves out as offering </w:t>
      </w:r>
      <w:r w:rsidRPr="008653EF">
        <w:t xml:space="preserve">a “mass-market retail service by wire or radio that provides the capability to transmit data to and receive data from all or substantially all </w:t>
      </w:r>
      <w:r>
        <w:t>Internet</w:t>
      </w:r>
      <w:r w:rsidRPr="008653EF">
        <w:t xml:space="preserve"> endpoints, including any capabilities that are incidental to and enable the operation of the communications service, but excluding dial-up </w:t>
      </w:r>
      <w:r>
        <w:t>Internet</w:t>
      </w:r>
      <w:r w:rsidRPr="008653EF">
        <w:t xml:space="preserve"> access service.”  47 C.F.R. Section 8.1</w:t>
      </w:r>
      <w:r>
        <w:t xml:space="preserve">.  Such ISPs, the Court found, have the characteristic of traditional common carriers which hold themselves out to all as conduits for information not of their own choosing.  The Commission therefore reasonably and correctly deemed such providers to be telecommunications service providers.  Once characterized in this way, ISPs assume the statutory and regulatory obligation </w:t>
      </w:r>
      <w:r w:rsidR="00E947B9">
        <w:t>to deliver inf</w:t>
      </w:r>
      <w:r>
        <w:t>ormation of the user</w:t>
      </w:r>
      <w:r w:rsidR="00E947B9">
        <w:t>’</w:t>
      </w:r>
      <w:r>
        <w:t xml:space="preserve">s choosing without editing, censoring, modifying, selecting, throttling or blocking content with which the ISP does not agree.  This feature of the Internet is </w:t>
      </w:r>
      <w:r w:rsidR="00E947B9">
        <w:t xml:space="preserve">a critical </w:t>
      </w:r>
      <w:r>
        <w:t xml:space="preserve">one for which the Commission and most commenters express full support.  </w:t>
      </w:r>
    </w:p>
    <w:p w:rsidR="007966B6" w:rsidRPr="008653EF" w:rsidRDefault="008653EF" w:rsidP="00D572D6">
      <w:pPr>
        <w:spacing w:line="480" w:lineRule="auto"/>
        <w:ind w:firstLine="720"/>
      </w:pPr>
      <w:r>
        <w:t xml:space="preserve">But if the Commission were to reclassify ISPs as “information service providers,” the First Amendment would preclude the Commission or anyone else from preventing them from using their editorial discretion to block or throttle anything they didn’t like, including content that competes with their own proprietary content.  From a First Amendment perspective, ISPs would be no different from cable operators who maintain constitutional rights to select the material (other than “must carry” TV stations) which are or are not carried on their systems. </w:t>
      </w:r>
      <w:r w:rsidRPr="008653EF">
        <w:rPr>
          <w:i/>
        </w:rPr>
        <w:t>National Cable and Teleco</w:t>
      </w:r>
      <w:r>
        <w:rPr>
          <w:i/>
        </w:rPr>
        <w:t>mmun</w:t>
      </w:r>
      <w:r w:rsidRPr="008653EF">
        <w:rPr>
          <w:i/>
        </w:rPr>
        <w:t xml:space="preserve">ications Ass’n v. Brand X </w:t>
      </w:r>
      <w:r>
        <w:rPr>
          <w:i/>
        </w:rPr>
        <w:t>Internet</w:t>
      </w:r>
      <w:r w:rsidRPr="008653EF">
        <w:rPr>
          <w:i/>
        </w:rPr>
        <w:t xml:space="preserve"> Services</w:t>
      </w:r>
      <w:r>
        <w:t>, 545 U.S. 967 (2005)</w:t>
      </w:r>
      <w:r w:rsidR="00E947B9">
        <w:t xml:space="preserve">    Simply stated, </w:t>
      </w:r>
      <w:r>
        <w:t>ISP</w:t>
      </w:r>
      <w:r w:rsidR="00E947B9">
        <w:t>s</w:t>
      </w:r>
      <w:r>
        <w:t xml:space="preserve"> cannot be subject to the non-throttling, non-blocking rules under the First Amendment if they are information service providers, i.e., speakers, rather than common carriers wh</w:t>
      </w:r>
      <w:r w:rsidR="00E947B9">
        <w:t xml:space="preserve">o </w:t>
      </w:r>
      <w:r>
        <w:t xml:space="preserve">are simply conducting the content of others.  They would all take on the character of a “curated” ISP that intentionally limits content based on its own editorial discretion, except that the public would not know whether they were curated or not. </w:t>
      </w:r>
      <w:r w:rsidRPr="00E947B9">
        <w:rPr>
          <w:i/>
        </w:rPr>
        <w:t>U.S. Telecom Ass’n</w:t>
      </w:r>
      <w:r>
        <w:t xml:space="preserve">, supra, at </w:t>
      </w:r>
      <w:r w:rsidR="0009097B">
        <w:t>743</w:t>
      </w:r>
      <w:r>
        <w:t>.</w:t>
      </w:r>
    </w:p>
    <w:p w:rsidR="007966B6" w:rsidRPr="00E947B9" w:rsidRDefault="007966B6" w:rsidP="007213AF">
      <w:pPr>
        <w:pStyle w:val="ListParagraph"/>
        <w:keepNext/>
        <w:keepLines/>
        <w:numPr>
          <w:ilvl w:val="0"/>
          <w:numId w:val="3"/>
        </w:numPr>
        <w:rPr>
          <w:b/>
        </w:rPr>
      </w:pPr>
      <w:r w:rsidRPr="00E947B9">
        <w:rPr>
          <w:b/>
        </w:rPr>
        <w:t xml:space="preserve">Absent Title II Regulation, </w:t>
      </w:r>
      <w:r w:rsidR="002A0A88" w:rsidRPr="00E947B9">
        <w:rPr>
          <w:b/>
        </w:rPr>
        <w:t>Service</w:t>
      </w:r>
      <w:r w:rsidR="008653EF" w:rsidRPr="00E947B9">
        <w:rPr>
          <w:b/>
        </w:rPr>
        <w:t xml:space="preserve"> </w:t>
      </w:r>
      <w:r w:rsidRPr="00E947B9">
        <w:rPr>
          <w:b/>
        </w:rPr>
        <w:t xml:space="preserve">Providers Which Hold Market Dominance Could Charge </w:t>
      </w:r>
      <w:r w:rsidR="002A0A88" w:rsidRPr="00E947B9">
        <w:rPr>
          <w:b/>
        </w:rPr>
        <w:t>Unreasonable</w:t>
      </w:r>
      <w:r w:rsidRPr="00E947B9">
        <w:rPr>
          <w:b/>
        </w:rPr>
        <w:t xml:space="preserve"> and Discriminatory Rates and Impose </w:t>
      </w:r>
      <w:r w:rsidR="002A0A88" w:rsidRPr="00E947B9">
        <w:rPr>
          <w:b/>
        </w:rPr>
        <w:t>Unreasonable</w:t>
      </w:r>
      <w:r w:rsidRPr="00E947B9">
        <w:rPr>
          <w:b/>
        </w:rPr>
        <w:t xml:space="preserve"> Conditions</w:t>
      </w:r>
    </w:p>
    <w:p w:rsidR="00895EBE" w:rsidRDefault="007966B6" w:rsidP="007213AF">
      <w:pPr>
        <w:keepNext/>
        <w:keepLines/>
        <w:spacing w:line="480" w:lineRule="auto"/>
        <w:ind w:firstLine="720"/>
      </w:pPr>
      <w:r>
        <w:t xml:space="preserve">While it is fashionable these days to derogate Title II of the Act as an obsolete and heavy-handed throw-back to 1930’s monopoly-era regulation, the Section continues to chug along doing its basic job in the background of the broad and complex matrix of the telecommunications marketplace.  The </w:t>
      </w:r>
      <w:r w:rsidR="002A0A88">
        <w:t>Commission</w:t>
      </w:r>
      <w:r>
        <w:t xml:space="preserve">, in our view, has rightly eschewed rate prescription, tariffs, and other forms of monopoly regulation for much of the telecommunications activity in the market.  Competitive forces </w:t>
      </w:r>
      <w:r w:rsidR="00E947B9">
        <w:t xml:space="preserve">generally </w:t>
      </w:r>
      <w:r>
        <w:t>serve to keep prices in check and to deter service provide</w:t>
      </w:r>
      <w:r w:rsidR="00E947B9">
        <w:t>r</w:t>
      </w:r>
      <w:r>
        <w:t xml:space="preserve">s from imposing harmful and </w:t>
      </w:r>
      <w:r w:rsidR="002A0A88">
        <w:t>discriminatory</w:t>
      </w:r>
      <w:r>
        <w:t xml:space="preserve"> terms and conditions.  A customer, in most cases, can simply turn to another provider to get a better rate or a less onerous condition.  The competitive market neatly and </w:t>
      </w:r>
      <w:r w:rsidR="002A0A88">
        <w:t>efficiently</w:t>
      </w:r>
      <w:r>
        <w:t xml:space="preserve"> does the work of regulation. But there are </w:t>
      </w:r>
      <w:r w:rsidR="00E947B9">
        <w:t xml:space="preserve">nevertheless </w:t>
      </w:r>
      <w:r>
        <w:t>still</w:t>
      </w:r>
      <w:r w:rsidR="00E947B9">
        <w:t xml:space="preserve"> some</w:t>
      </w:r>
      <w:r>
        <w:t xml:space="preserve"> market segments where monopoly or near-monopoly power prevails, and in those </w:t>
      </w:r>
      <w:r w:rsidR="002A0A88">
        <w:t>instances</w:t>
      </w:r>
      <w:r>
        <w:t xml:space="preserve"> there must be a regulatory mechanism to prevent or punish abuse of that power. </w:t>
      </w:r>
    </w:p>
    <w:p w:rsidR="00895EBE" w:rsidRDefault="00895EBE" w:rsidP="00D572D6">
      <w:pPr>
        <w:spacing w:line="480" w:lineRule="auto"/>
        <w:ind w:firstLine="720"/>
      </w:pPr>
      <w:r>
        <w:t>The primary example of such a situation is the submarket of data roaming.  Because this market, prior to the Net Neutrality rules,</w:t>
      </w:r>
      <w:r w:rsidR="007966B6">
        <w:t xml:space="preserve"> </w:t>
      </w:r>
      <w:r>
        <w:t>was deemed an information service, the Commission could not require the norma</w:t>
      </w:r>
      <w:r w:rsidR="002A0A88">
        <w:t>l “just and reasonable” and “not</w:t>
      </w:r>
      <w:r>
        <w:t xml:space="preserve"> unreasonably discriminatory” rates that would othe</w:t>
      </w:r>
      <w:r w:rsidR="00E947B9">
        <w:t>rwise be mandated by Section 201</w:t>
      </w:r>
      <w:r>
        <w:t xml:space="preserve"> and 202 of the Act.  It was nevertheless clear, as a host of smaller carriers pointed out to the Commission in the context of the 2011 Data Roaming proceeding,</w:t>
      </w:r>
      <w:r>
        <w:rPr>
          <w:rStyle w:val="FootnoteReference"/>
        </w:rPr>
        <w:footnoteReference w:id="2"/>
      </w:r>
      <w:r>
        <w:t xml:space="preserve"> that rates charged by some carriers for access to data </w:t>
      </w:r>
      <w:r w:rsidR="002A0A88">
        <w:t>roaming</w:t>
      </w:r>
      <w:r>
        <w:t xml:space="preserve"> were unconscionably high.  The </w:t>
      </w:r>
      <w:r w:rsidR="002A0A88">
        <w:t>Commission’s</w:t>
      </w:r>
      <w:r>
        <w:t xml:space="preserve"> solution was to impose a Title III-based standard of “commercial reasonableness” on data </w:t>
      </w:r>
      <w:r w:rsidR="002A0A88">
        <w:t>roaming</w:t>
      </w:r>
      <w:r>
        <w:t xml:space="preserve"> rates. Because the Commission had to disavow any intent to impose Title II-type regulation in defending this standard before the Court of Appeals, the Commission has effectively neutered its own ability to impose any </w:t>
      </w:r>
      <w:r w:rsidR="002A0A88">
        <w:t>restraints</w:t>
      </w:r>
      <w:r>
        <w:t xml:space="preserve"> at all on data roaming rates.  Unlike the “just and reasonable” standard that has decades of Title II jurisprudence to guide it</w:t>
      </w:r>
      <w:r w:rsidR="002A0A88">
        <w:t>, the</w:t>
      </w:r>
      <w:r>
        <w:t xml:space="preserve"> “commercially reasonable” standard has proven toothless and </w:t>
      </w:r>
      <w:r w:rsidR="008653EF">
        <w:t xml:space="preserve">ineffective as a tool for </w:t>
      </w:r>
      <w:r>
        <w:t>disciplining data roaming rates.</w:t>
      </w:r>
    </w:p>
    <w:p w:rsidR="008E0AA4" w:rsidRDefault="00895EBE" w:rsidP="00D572D6">
      <w:pPr>
        <w:spacing w:line="480" w:lineRule="auto"/>
        <w:ind w:firstLine="720"/>
      </w:pPr>
      <w:r>
        <w:t>Despite the urging of NTCH that the Commission require such rates to be made publicly available,</w:t>
      </w:r>
      <w:r w:rsidR="008E0AA4">
        <w:rPr>
          <w:rStyle w:val="FootnoteReference"/>
        </w:rPr>
        <w:footnoteReference w:id="3"/>
      </w:r>
      <w:r>
        <w:t xml:space="preserve"> these rates are </w:t>
      </w:r>
      <w:r w:rsidR="008E0AA4">
        <w:t xml:space="preserve">universally subject to confidentiality </w:t>
      </w:r>
      <w:r w:rsidR="002A0A88">
        <w:t>agreements</w:t>
      </w:r>
      <w:r w:rsidR="008E0AA4">
        <w:t xml:space="preserve"> that preclude their public disclosure.  Until recently, the Commission itself could not be aware of how seriously distorted the data roaming rate structure has become. </w:t>
      </w:r>
      <w:r>
        <w:t xml:space="preserve"> </w:t>
      </w:r>
      <w:r w:rsidR="008E0AA4">
        <w:t>The Commission currently has under</w:t>
      </w:r>
      <w:r w:rsidR="00E947B9">
        <w:t xml:space="preserve"> review, however, a complaint which</w:t>
      </w:r>
      <w:r w:rsidR="008E0AA4">
        <w:t xml:space="preserve"> de</w:t>
      </w:r>
      <w:r w:rsidR="00E947B9">
        <w:t>monstrate</w:t>
      </w:r>
      <w:r w:rsidR="008E0AA4">
        <w:t xml:space="preserve">s the huge and unjustified discrepancy between the </w:t>
      </w:r>
      <w:r w:rsidR="002A0A88">
        <w:t>data rates</w:t>
      </w:r>
      <w:r w:rsidR="008E0AA4">
        <w:t xml:space="preserve"> offered by one carrier to its own subscribers and the </w:t>
      </w:r>
      <w:r w:rsidR="002A0A88">
        <w:t>rates</w:t>
      </w:r>
      <w:r w:rsidR="008E0AA4">
        <w:t xml:space="preserve"> it offers other carriers for access to the same data roaming services.  The undisputed numbers provided </w:t>
      </w:r>
      <w:r w:rsidR="00E947B9">
        <w:t>in the record of the complaint</w:t>
      </w:r>
      <w:r w:rsidR="008E0AA4">
        <w:t xml:space="preserve"> establish that there remains a crying need for Title II regulation wh</w:t>
      </w:r>
      <w:r w:rsidR="00E947B9">
        <w:t>ere</w:t>
      </w:r>
      <w:r w:rsidR="008E0AA4">
        <w:t xml:space="preserve"> one carrier has dominant power to set rates and terms in </w:t>
      </w:r>
      <w:r w:rsidR="00E947B9">
        <w:t>a</w:t>
      </w:r>
      <w:r w:rsidR="008E0AA4">
        <w:t xml:space="preserve"> particular submarket.  </w:t>
      </w:r>
      <w:r w:rsidR="002A0A88">
        <w:t>Competition</w:t>
      </w:r>
      <w:r w:rsidR="008E0AA4">
        <w:t xml:space="preserve"> itself is harmed when there is no effective control over monopoly-like rates and terms, and indirect access by the public to data roaming is blocked.  This is the opposite of what the </w:t>
      </w:r>
      <w:r w:rsidR="002A0A88">
        <w:t>Commission</w:t>
      </w:r>
      <w:r w:rsidR="008E0AA4">
        <w:t xml:space="preserve"> professes to be trying to accomplish </w:t>
      </w:r>
      <w:r w:rsidR="002A0A88">
        <w:t>through</w:t>
      </w:r>
      <w:r w:rsidR="008E0AA4">
        <w:t xml:space="preserve"> its</w:t>
      </w:r>
      <w:r w:rsidR="004E3F19">
        <w:t xml:space="preserve"> </w:t>
      </w:r>
      <w:r w:rsidR="008653EF">
        <w:t>Internet</w:t>
      </w:r>
      <w:r w:rsidR="004E3F19">
        <w:t xml:space="preserve"> policies.  This is in no way</w:t>
      </w:r>
      <w:r w:rsidR="008E0AA4">
        <w:t xml:space="preserve"> </w:t>
      </w:r>
      <w:r w:rsidR="000F6852">
        <w:t>“</w:t>
      </w:r>
      <w:r w:rsidR="008E0AA4">
        <w:t>a solution in search of a problem;</w:t>
      </w:r>
      <w:r w:rsidR="000F6852">
        <w:t>”</w:t>
      </w:r>
      <w:r w:rsidR="008E0AA4">
        <w:t xml:space="preserve"> it is, rather, a </w:t>
      </w:r>
      <w:r w:rsidR="004E3F19">
        <w:t xml:space="preserve">vitally </w:t>
      </w:r>
      <w:r w:rsidR="008E0AA4">
        <w:t xml:space="preserve">serious </w:t>
      </w:r>
      <w:r w:rsidR="00E947B9">
        <w:t xml:space="preserve">and present </w:t>
      </w:r>
      <w:r w:rsidR="008E0AA4">
        <w:t>problem in desperate and immediate need of a solution</w:t>
      </w:r>
      <w:r w:rsidR="000F6852">
        <w:t xml:space="preserve"> which only Title II can supply.</w:t>
      </w:r>
    </w:p>
    <w:p w:rsidR="007966B6" w:rsidRDefault="008E0AA4" w:rsidP="00D572D6">
      <w:pPr>
        <w:spacing w:line="480" w:lineRule="auto"/>
        <w:ind w:firstLine="720"/>
      </w:pPr>
      <w:r>
        <w:t xml:space="preserve">Data </w:t>
      </w:r>
      <w:r w:rsidR="002A0A88">
        <w:t>roaming</w:t>
      </w:r>
      <w:r>
        <w:t xml:space="preserve"> is only one </w:t>
      </w:r>
      <w:r w:rsidR="002A0A88">
        <w:t>particularly</w:t>
      </w:r>
      <w:r>
        <w:t xml:space="preserve"> </w:t>
      </w:r>
      <w:r w:rsidR="000F6852">
        <w:t>egregious instance of circumstance</w:t>
      </w:r>
      <w:r w:rsidR="00E947B9">
        <w:t>s</w:t>
      </w:r>
      <w:r w:rsidR="000F6852">
        <w:t xml:space="preserve"> where Title II intervention is warranted.  The Commission recently </w:t>
      </w:r>
      <w:r w:rsidR="002A0A88">
        <w:t>concluded</w:t>
      </w:r>
      <w:r w:rsidR="000F6852">
        <w:t xml:space="preserve"> a far-rang</w:t>
      </w:r>
      <w:r w:rsidR="00E947B9">
        <w:t>ing inquiry into the broadband d</w:t>
      </w:r>
      <w:r w:rsidR="000F6852">
        <w:t>ata services</w:t>
      </w:r>
      <w:r>
        <w:t xml:space="preserve"> </w:t>
      </w:r>
      <w:r w:rsidR="000F6852">
        <w:t>market, ultimately determining that there are in fact submarkets in which commercial users have such limited options when it comes to broadband data links that they are at the mercy of the providers.</w:t>
      </w:r>
      <w:r w:rsidR="00E947B9">
        <w:rPr>
          <w:rStyle w:val="FootnoteReference"/>
        </w:rPr>
        <w:footnoteReference w:id="4"/>
      </w:r>
      <w:r w:rsidR="000F6852">
        <w:t xml:space="preserve">  The new Commission is revisiting some </w:t>
      </w:r>
      <w:r w:rsidR="002A0A88">
        <w:t>of</w:t>
      </w:r>
      <w:r w:rsidR="000F6852">
        <w:t xml:space="preserve"> the findings of the Wheeler Commission in this regard, but there is little </w:t>
      </w:r>
      <w:r w:rsidR="002A0A88">
        <w:t>doubt</w:t>
      </w:r>
      <w:r w:rsidR="000F6852">
        <w:t xml:space="preserve"> that there </w:t>
      </w:r>
      <w:r w:rsidR="00E947B9">
        <w:t>remain</w:t>
      </w:r>
      <w:r w:rsidR="000F6852">
        <w:t xml:space="preserve"> circumstances in which monopoly or duopoly broadband providers are in a position to, and do</w:t>
      </w:r>
      <w:r w:rsidR="002A0A88">
        <w:t>, charge</w:t>
      </w:r>
      <w:r w:rsidR="000F6852">
        <w:t xml:space="preserve"> excessive rates for </w:t>
      </w:r>
      <w:r w:rsidR="00E947B9">
        <w:t xml:space="preserve">cellular </w:t>
      </w:r>
      <w:r w:rsidR="000F6852">
        <w:t xml:space="preserve">backhaul and other purposes.  NTCH itself has been a victim of such charges. </w:t>
      </w:r>
      <w:r w:rsidR="00C57A25">
        <w:t xml:space="preserve"> </w:t>
      </w:r>
      <w:r w:rsidR="000F6852">
        <w:t xml:space="preserve">Here again, therefore, is a situation in which </w:t>
      </w:r>
      <w:r w:rsidR="002A0A88">
        <w:t>regulatory</w:t>
      </w:r>
      <w:r w:rsidR="000F6852">
        <w:t xml:space="preserve"> intervention is not only appropriate but necessary.  Again, Title II, with its </w:t>
      </w:r>
      <w:r w:rsidR="002A0A88">
        <w:t>old</w:t>
      </w:r>
      <w:r w:rsidR="000F6852">
        <w:t xml:space="preserve"> but trusty “just and reasonable” and “non-</w:t>
      </w:r>
      <w:r w:rsidR="002A0A88">
        <w:t>discrimination</w:t>
      </w:r>
      <w:r w:rsidR="000F6852">
        <w:t>” standards is there to handle the problem.</w:t>
      </w:r>
      <w:r w:rsidR="00870D46">
        <w:t xml:space="preserve">   Unfortunately, although the Commission had </w:t>
      </w:r>
      <w:r w:rsidR="009F0708">
        <w:t xml:space="preserve">expressly </w:t>
      </w:r>
      <w:r w:rsidR="00870D46">
        <w:t xml:space="preserve">disclaimed any intention to forbear from Sections 201 and 202 of the Act in </w:t>
      </w:r>
      <w:r w:rsidR="00C05EE2">
        <w:t xml:space="preserve">the </w:t>
      </w:r>
      <w:r w:rsidR="009F0708">
        <w:t>Net Neutra</w:t>
      </w:r>
      <w:r w:rsidR="00870D46">
        <w:t>lit</w:t>
      </w:r>
      <w:r w:rsidR="00C05EE2">
        <w:t>y NPRM</w:t>
      </w:r>
      <w:r w:rsidR="00C05EE2">
        <w:rPr>
          <w:rStyle w:val="FootnoteReference"/>
        </w:rPr>
        <w:footnoteReference w:id="5"/>
      </w:r>
      <w:r w:rsidR="00870D46">
        <w:t xml:space="preserve">, it did so in the case of the commercial mobile radio services.  </w:t>
      </w:r>
      <w:r w:rsidR="00C05EE2" w:rsidRPr="00C05EE2">
        <w:rPr>
          <w:i/>
        </w:rPr>
        <w:t>In re Preserving and protecting the Open Internet</w:t>
      </w:r>
      <w:r w:rsidR="00C05EE2">
        <w:t xml:space="preserve">, </w:t>
      </w:r>
      <w:r w:rsidR="00C05EE2" w:rsidRPr="00C05EE2">
        <w:t>30 FCC Rcd. 5601 (2015)</w:t>
      </w:r>
      <w:r w:rsidR="00870D46">
        <w:t xml:space="preserve"> at </w:t>
      </w:r>
      <w:r w:rsidR="00C05EE2">
        <w:t>paras. 523-526</w:t>
      </w:r>
      <w:r w:rsidR="00870D46">
        <w:t xml:space="preserve">.   And it did so without making any of the findings which are a prerequisite to forbearance.  </w:t>
      </w:r>
      <w:r w:rsidR="00870D46" w:rsidRPr="00870D46">
        <w:rPr>
          <w:i/>
        </w:rPr>
        <w:t>Id</w:t>
      </w:r>
      <w:r w:rsidR="00870D46">
        <w:t>.  This left the CMRS service in a regulatory limbo which the Wheeler Commission promised to rectify but never did.  The current Commission should not make that same mistake.</w:t>
      </w:r>
    </w:p>
    <w:p w:rsidR="000F6852" w:rsidRDefault="000F6852" w:rsidP="00D572D6">
      <w:pPr>
        <w:spacing w:line="480" w:lineRule="auto"/>
        <w:ind w:firstLine="720"/>
      </w:pPr>
      <w:r>
        <w:t xml:space="preserve">Joint Commenters emphasize that these </w:t>
      </w:r>
      <w:r w:rsidR="002A0A88">
        <w:t>circumstances</w:t>
      </w:r>
      <w:r>
        <w:t xml:space="preserve"> are </w:t>
      </w:r>
      <w:r w:rsidR="00E947B9">
        <w:t>relatively rare</w:t>
      </w:r>
      <w:r>
        <w:t xml:space="preserve"> exceptions to the </w:t>
      </w:r>
      <w:r w:rsidR="002A0A88">
        <w:t>general</w:t>
      </w:r>
      <w:r>
        <w:t xml:space="preserve"> rule that competitive forces normally serve to protect the market.  However, Title II regulation and the foundational principle that rates must be just and reasonable and nondiscriminatory stands as a necessary backdrop to the functioning of the market. </w:t>
      </w:r>
      <w:r w:rsidR="004E3F19">
        <w:t xml:space="preserve"> As long as we live in an </w:t>
      </w:r>
      <w:r w:rsidR="002A0A88">
        <w:t>imperfect world where market</w:t>
      </w:r>
      <w:r w:rsidR="004E3F19">
        <w:t xml:space="preserve">s are not perfectly competitive, we must maintain the ability of the </w:t>
      </w:r>
      <w:r w:rsidR="002A0A88">
        <w:t>Commission</w:t>
      </w:r>
      <w:r w:rsidR="004E3F19">
        <w:t xml:space="preserve"> to intervene when abuses occur.</w:t>
      </w:r>
    </w:p>
    <w:p w:rsidR="004E3F19" w:rsidRPr="00E947B9" w:rsidRDefault="00FC4ACF" w:rsidP="007213AF">
      <w:pPr>
        <w:pStyle w:val="ListParagraph"/>
        <w:numPr>
          <w:ilvl w:val="0"/>
          <w:numId w:val="3"/>
        </w:numPr>
        <w:ind w:left="1800"/>
        <w:rPr>
          <w:b/>
        </w:rPr>
      </w:pPr>
      <w:r w:rsidRPr="00E947B9">
        <w:rPr>
          <w:b/>
        </w:rPr>
        <w:t>The CMRS Regulatory Model Should Apply</w:t>
      </w:r>
    </w:p>
    <w:p w:rsidR="004E3F19" w:rsidRDefault="004E3F19" w:rsidP="00D572D6">
      <w:pPr>
        <w:spacing w:line="480" w:lineRule="auto"/>
        <w:ind w:firstLine="720"/>
      </w:pPr>
      <w:r>
        <w:t xml:space="preserve">Opponents of the </w:t>
      </w:r>
      <w:r w:rsidR="002A0A88">
        <w:t>current</w:t>
      </w:r>
      <w:r>
        <w:t xml:space="preserve"> Net </w:t>
      </w:r>
      <w:r w:rsidR="002A0A88">
        <w:t>Neutrality</w:t>
      </w:r>
      <w:r>
        <w:t xml:space="preserve"> rules repeatedly raise the straw man of heavy-handed, </w:t>
      </w:r>
      <w:r w:rsidR="002A0A88">
        <w:t>monopoly era</w:t>
      </w:r>
      <w:r>
        <w:t xml:space="preserve">, tariff-based rate regulation as an argument against imposition of Title II </w:t>
      </w:r>
      <w:r w:rsidR="002A0A88">
        <w:t>regulation</w:t>
      </w:r>
      <w:r>
        <w:t xml:space="preserve"> on </w:t>
      </w:r>
      <w:r w:rsidR="008653EF">
        <w:t>Internet</w:t>
      </w:r>
      <w:r>
        <w:t xml:space="preserve"> access.  This is, not to put too fine appoint on it, ridiculous.  No one, including the Wheeler Commission, was or is proposing or intending any such approach.  In fact</w:t>
      </w:r>
      <w:r w:rsidR="00C57A25">
        <w:t>,</w:t>
      </w:r>
      <w:r>
        <w:t xml:space="preserve"> the Wheeler Commission bent over backwards (in some cases too far) in assuring the industry that almost all Title II regulations would be forborne from.  It does a disservice to the debate about how to regulate the </w:t>
      </w:r>
      <w:r w:rsidR="008653EF">
        <w:t>Internet</w:t>
      </w:r>
      <w:r>
        <w:t xml:space="preserve"> to manufacture regulatory bogeymen that are entirely imaginary in order that limited forms of appropriate regulation can be lumped in and discarded as well. </w:t>
      </w:r>
    </w:p>
    <w:p w:rsidR="000A79BE" w:rsidRDefault="0002666C" w:rsidP="00D572D6">
      <w:pPr>
        <w:spacing w:line="480" w:lineRule="auto"/>
        <w:ind w:firstLine="720"/>
      </w:pPr>
      <w:r>
        <w:t xml:space="preserve">Rather than looking to the regulatory framework that applied to </w:t>
      </w:r>
      <w:r w:rsidR="0040303B">
        <w:t xml:space="preserve">the monolithic </w:t>
      </w:r>
      <w:r>
        <w:t xml:space="preserve">Bell </w:t>
      </w:r>
      <w:r w:rsidR="0040303B">
        <w:t xml:space="preserve">System </w:t>
      </w:r>
      <w:r>
        <w:t xml:space="preserve">in the 1930’s, a better model would be the approach taken by the </w:t>
      </w:r>
      <w:r w:rsidR="002A0A88">
        <w:t>Commission</w:t>
      </w:r>
      <w:r>
        <w:t xml:space="preserve"> to the </w:t>
      </w:r>
      <w:r w:rsidR="002A0A88">
        <w:t>cellular</w:t>
      </w:r>
      <w:r>
        <w:t xml:space="preserve"> industry.  Since its inception, the Commission has </w:t>
      </w:r>
      <w:r w:rsidR="0040303B">
        <w:t xml:space="preserve">consistently </w:t>
      </w:r>
      <w:r>
        <w:t xml:space="preserve">eschewed </w:t>
      </w:r>
      <w:r w:rsidR="0040303B">
        <w:t xml:space="preserve">almost all forms of common carrier regulation of CMRS carriers.  They have always been exempt from filing state </w:t>
      </w:r>
      <w:r w:rsidR="00C161E5">
        <w:t>and</w:t>
      </w:r>
      <w:r w:rsidR="0040303B">
        <w:t xml:space="preserve"> federal tariffs, do not file interlocking director </w:t>
      </w:r>
      <w:r w:rsidR="000A79BE">
        <w:t>repo</w:t>
      </w:r>
      <w:r w:rsidR="0040303B">
        <w:t xml:space="preserve">rts, need not file their contracts with other carriers, are </w:t>
      </w:r>
      <w:r w:rsidR="000A79BE">
        <w:t>large</w:t>
      </w:r>
      <w:r w:rsidR="0040303B">
        <w:t>ly free from most state regulation, including entry barriers, and generally conduct their day to day operation</w:t>
      </w:r>
      <w:r w:rsidR="00C161E5">
        <w:t>s</w:t>
      </w:r>
      <w:r w:rsidR="0040303B">
        <w:t xml:space="preserve"> relatively free from federal regulations as common carriers.  To be sure, they must comply with</w:t>
      </w:r>
      <w:r w:rsidR="00F01459">
        <w:t xml:space="preserve"> radio</w:t>
      </w:r>
      <w:r w:rsidR="0040303B">
        <w:t xml:space="preserve"> license-re</w:t>
      </w:r>
      <w:r w:rsidR="00F01459">
        <w:t>lated obligations such as filin</w:t>
      </w:r>
      <w:r w:rsidR="0040303B">
        <w:t>g periodic reports, offering a certain number of hearing aid compatible phones,</w:t>
      </w:r>
      <w:r w:rsidR="00F01459">
        <w:t xml:space="preserve"> offering 911 access, </w:t>
      </w:r>
      <w:r w:rsidR="0040303B">
        <w:t>and building out their licen</w:t>
      </w:r>
      <w:r w:rsidR="00F01459">
        <w:t>sed areas to prescribed levels</w:t>
      </w:r>
      <w:r w:rsidR="00E947B9">
        <w:t>, but this is a function of being a licensee, not a common carrier</w:t>
      </w:r>
      <w:r w:rsidR="00F01459">
        <w:t>.  The CMRS industry has grown spectacularly during its 35 y</w:t>
      </w:r>
      <w:r w:rsidR="00E947B9">
        <w:t>ear existence and</w:t>
      </w:r>
      <w:r w:rsidR="00F01459">
        <w:t xml:space="preserve"> has attracted hundreds of billions of dollars of capital investment for infrastructure building and license acquisition.</w:t>
      </w:r>
      <w:r w:rsidR="000A79BE">
        <w:t xml:space="preserve">  In all those years, the undersig</w:t>
      </w:r>
      <w:r w:rsidR="00F01459">
        <w:t xml:space="preserve">ned has never </w:t>
      </w:r>
      <w:r w:rsidR="000A79BE">
        <w:t xml:space="preserve">seen or </w:t>
      </w:r>
      <w:r w:rsidR="00F01459">
        <w:t xml:space="preserve">heard a single complaint from an industry participant that he or she was reluctant to invest money in </w:t>
      </w:r>
      <w:r w:rsidR="000A79BE">
        <w:t>a CMRS</w:t>
      </w:r>
      <w:r w:rsidR="00F01459">
        <w:t xml:space="preserve"> service because of its Title II status. </w:t>
      </w:r>
      <w:r w:rsidR="00C57A25">
        <w:t xml:space="preserve"> </w:t>
      </w:r>
      <w:r w:rsidR="00F01459">
        <w:t xml:space="preserve">Clearly, the burden of complying with the relatively few Title II provisions that apply to it lie lightly on the industry’s shoulders.  Complaints to the Commission under Section 208 of the Act have been rare.  Only in recent years as industry consolidation </w:t>
      </w:r>
      <w:r w:rsidR="000A79BE">
        <w:t xml:space="preserve">has eliminated many competitors from the field </w:t>
      </w:r>
      <w:r w:rsidR="00F01459">
        <w:t xml:space="preserve">have serious issues regarding roaming rates arisen, because </w:t>
      </w:r>
      <w:r w:rsidR="000A79BE">
        <w:t xml:space="preserve">previously </w:t>
      </w:r>
      <w:r w:rsidR="00F01459">
        <w:t xml:space="preserve">the competitive marketplace </w:t>
      </w:r>
      <w:r w:rsidR="000A79BE">
        <w:t xml:space="preserve">itself </w:t>
      </w:r>
      <w:r w:rsidR="00F01459">
        <w:t xml:space="preserve">obviated that problem.  In short, the CMRS industry has thrived and prospered </w:t>
      </w:r>
      <w:r w:rsidR="000A79BE">
        <w:t xml:space="preserve">beyond anyone’s wildest expectations, despite the fact that there were obligations to offer just and </w:t>
      </w:r>
      <w:r w:rsidR="002A0A88">
        <w:t>reasonable</w:t>
      </w:r>
      <w:r w:rsidR="000A79BE">
        <w:t xml:space="preserve"> rates and to not unreasonably </w:t>
      </w:r>
      <w:r w:rsidR="002A0A88">
        <w:t>discriminate</w:t>
      </w:r>
      <w:r w:rsidR="000A79BE">
        <w:t xml:space="preserve">.  There is no reason why that model cannot be equally successful at letting the </w:t>
      </w:r>
      <w:r w:rsidR="008653EF">
        <w:t>Internet</w:t>
      </w:r>
      <w:r w:rsidR="000A79BE">
        <w:t xml:space="preserve"> industry develop without </w:t>
      </w:r>
      <w:r w:rsidR="00E947B9">
        <w:t xml:space="preserve">pervasive </w:t>
      </w:r>
      <w:r w:rsidR="000A79BE">
        <w:t>government oversight while also maintaining a basic framework of reasonableness of rates and terms that will discourage abuses when market anomalies allow them to occur.</w:t>
      </w:r>
    </w:p>
    <w:p w:rsidR="000A79BE" w:rsidRPr="00E947B9" w:rsidRDefault="00FC4ACF" w:rsidP="007213AF">
      <w:pPr>
        <w:pStyle w:val="ListParagraph"/>
        <w:numPr>
          <w:ilvl w:val="0"/>
          <w:numId w:val="3"/>
        </w:numPr>
        <w:ind w:left="1800"/>
        <w:rPr>
          <w:b/>
        </w:rPr>
      </w:pPr>
      <w:r w:rsidRPr="00E947B9">
        <w:rPr>
          <w:b/>
        </w:rPr>
        <w:t>Investment Will Not Be Discouraged by Title II Status</w:t>
      </w:r>
    </w:p>
    <w:p w:rsidR="003E0AE0" w:rsidRDefault="000A79BE" w:rsidP="003E0AE0">
      <w:pPr>
        <w:spacing w:line="480" w:lineRule="auto"/>
        <w:ind w:firstLine="720"/>
      </w:pPr>
      <w:r>
        <w:t xml:space="preserve">Numerous stakeholders in the </w:t>
      </w:r>
      <w:r w:rsidR="008653EF">
        <w:t>Internet</w:t>
      </w:r>
      <w:r>
        <w:t xml:space="preserve"> ecosystem have insisted to the Commission that their investment in the </w:t>
      </w:r>
      <w:r w:rsidR="008653EF">
        <w:t>Internet</w:t>
      </w:r>
      <w:r>
        <w:t xml:space="preserve"> has been </w:t>
      </w:r>
      <w:r w:rsidR="00C45D4E">
        <w:t>stunted by the prospect of light touch Title II regulation.</w:t>
      </w:r>
      <w:r>
        <w:t xml:space="preserve"> </w:t>
      </w:r>
      <w:r w:rsidR="00C45D4E">
        <w:t xml:space="preserve"> Joint Commenters do not believe this.  Several public </w:t>
      </w:r>
      <w:r w:rsidR="002A0A88">
        <w:t>interest</w:t>
      </w:r>
      <w:r w:rsidR="00C45D4E">
        <w:t xml:space="preserve"> groups have </w:t>
      </w:r>
      <w:r w:rsidR="002A0A88">
        <w:t>gathered</w:t>
      </w:r>
      <w:r w:rsidR="00C45D4E">
        <w:t xml:space="preserve"> data showing that the same companies who say investment has been </w:t>
      </w:r>
      <w:r w:rsidR="002A0A88">
        <w:t>discouraged</w:t>
      </w:r>
      <w:r w:rsidR="00C45D4E">
        <w:t xml:space="preserve"> have in fact </w:t>
      </w:r>
      <w:r w:rsidR="00C45D4E" w:rsidRPr="00C45D4E">
        <w:rPr>
          <w:i/>
        </w:rPr>
        <w:t>increased</w:t>
      </w:r>
      <w:r w:rsidR="00C45D4E">
        <w:t xml:space="preserve"> their investment in the </w:t>
      </w:r>
      <w:r w:rsidR="008653EF">
        <w:t>Internet</w:t>
      </w:r>
      <w:r w:rsidR="00C45D4E">
        <w:t xml:space="preserve"> field since the Net Neutrality rules were adopted. </w:t>
      </w:r>
      <w:r w:rsidR="00E947B9">
        <w:t xml:space="preserve"> </w:t>
      </w:r>
      <w:r w:rsidR="00C45D4E">
        <w:t xml:space="preserve">Nor have they reported to the SEC that their investment or prospects in the </w:t>
      </w:r>
      <w:r w:rsidR="008653EF">
        <w:t>Internet</w:t>
      </w:r>
      <w:r w:rsidR="00C45D4E">
        <w:t xml:space="preserve"> have been hampered by Title II regulation.  The</w:t>
      </w:r>
      <w:r w:rsidR="00C161E5">
        <w:t>re</w:t>
      </w:r>
      <w:r w:rsidR="002A0A88">
        <w:t xml:space="preserve"> </w:t>
      </w:r>
      <w:r w:rsidR="00C161E5">
        <w:t>is</w:t>
      </w:r>
      <w:r w:rsidR="00C45D4E">
        <w:t xml:space="preserve"> </w:t>
      </w:r>
      <w:r w:rsidR="00870D46">
        <w:t>a large</w:t>
      </w:r>
      <w:r w:rsidR="00C161E5">
        <w:t xml:space="preserve"> disconnect between</w:t>
      </w:r>
      <w:r w:rsidR="00C45D4E">
        <w:t xml:space="preserve"> the</w:t>
      </w:r>
      <w:r w:rsidR="00C161E5">
        <w:t>ir</w:t>
      </w:r>
      <w:r w:rsidR="00C45D4E">
        <w:t xml:space="preserve"> money </w:t>
      </w:r>
      <w:r w:rsidR="00C161E5">
        <w:t>and</w:t>
      </w:r>
      <w:r w:rsidR="00C45D4E">
        <w:t xml:space="preserve"> their mouth</w:t>
      </w:r>
      <w:r w:rsidR="00C161E5">
        <w:t>s</w:t>
      </w:r>
      <w:r w:rsidR="00C45D4E">
        <w:t xml:space="preserve">.  This of course makes sense.  The </w:t>
      </w:r>
      <w:r w:rsidR="008653EF">
        <w:t>Internet</w:t>
      </w:r>
      <w:r w:rsidR="00C45D4E">
        <w:t xml:space="preserve"> offers one of the single greatest opportunities for growth of sales and productivity in commercial history.  For a company to stand back and refuse that opportunity because it </w:t>
      </w:r>
      <w:r w:rsidR="00C161E5">
        <w:t>would have to</w:t>
      </w:r>
      <w:r w:rsidR="00C45D4E">
        <w:t xml:space="preserve"> behave justly, reasonably and non-</w:t>
      </w:r>
      <w:r w:rsidR="002A0A88">
        <w:t>discriminatorily</w:t>
      </w:r>
      <w:r w:rsidR="00C45D4E">
        <w:t xml:space="preserve"> would be prima facie grounds to cashier the executive who took such a position.  As noted above, the cellular industry has thrived under Title II regulation, and the </w:t>
      </w:r>
      <w:r w:rsidR="008653EF">
        <w:t>Internet</w:t>
      </w:r>
      <w:r w:rsidR="00C45D4E">
        <w:t xml:space="preserve"> would thrive as </w:t>
      </w:r>
      <w:r w:rsidR="002A0A88">
        <w:t>well --</w:t>
      </w:r>
      <w:r w:rsidR="00C45D4E">
        <w:t xml:space="preserve"> as indeed it has in the two years since the Net </w:t>
      </w:r>
      <w:r w:rsidR="002A0A88">
        <w:t>Neutrality</w:t>
      </w:r>
      <w:r w:rsidR="00C45D4E">
        <w:t xml:space="preserve"> rules were adopted.  The </w:t>
      </w:r>
      <w:r w:rsidR="008653EF">
        <w:t>Internet</w:t>
      </w:r>
      <w:r w:rsidR="00C45D4E">
        <w:t xml:space="preserve"> is like a tidal wave, and </w:t>
      </w:r>
      <w:r w:rsidR="006B27F3">
        <w:t>the thought that its development could be daunted by the application of the short seawall of Title II standards is unrealistic.</w:t>
      </w:r>
    </w:p>
    <w:p w:rsidR="003E0AE0" w:rsidRPr="003E0AE0" w:rsidRDefault="00E357B3" w:rsidP="00E357B3">
      <w:pPr>
        <w:pStyle w:val="ListParagraph"/>
        <w:numPr>
          <w:ilvl w:val="0"/>
          <w:numId w:val="3"/>
        </w:numPr>
        <w:spacing w:line="240" w:lineRule="auto"/>
      </w:pPr>
      <w:r w:rsidRPr="003E0AE0">
        <w:rPr>
          <w:b/>
        </w:rPr>
        <w:t>Support for Broadband Lifeline is Threatened by its Conversion to an Information Service</w:t>
      </w:r>
    </w:p>
    <w:p w:rsidR="00C01DF8" w:rsidRDefault="00C01DF8" w:rsidP="003E0AE0">
      <w:pPr>
        <w:spacing w:line="480" w:lineRule="auto"/>
      </w:pPr>
      <w:r>
        <w:t xml:space="preserve">The NPRM </w:t>
      </w:r>
      <w:r w:rsidR="00E947B9">
        <w:t>propos</w:t>
      </w:r>
      <w:r>
        <w:t xml:space="preserve">ed at Para. </w:t>
      </w:r>
      <w:r w:rsidR="00E947B9">
        <w:t>68</w:t>
      </w:r>
      <w:r>
        <w:t xml:space="preserve"> </w:t>
      </w:r>
      <w:r w:rsidR="00E947B9">
        <w:t xml:space="preserve">to leave Lifeline service as a supported service under Section 254 of the Act </w:t>
      </w:r>
      <w:r w:rsidR="00C161E5">
        <w:t>w</w:t>
      </w:r>
      <w:r w:rsidR="00E947B9">
        <w:t xml:space="preserve">ithout even cursorily addressing </w:t>
      </w:r>
      <w:r>
        <w:t xml:space="preserve">the potential problem posed by converting broadband </w:t>
      </w:r>
      <w:r w:rsidR="00E947B9">
        <w:t>Internet access</w:t>
      </w:r>
      <w:r>
        <w:t xml:space="preserve"> </w:t>
      </w:r>
      <w:r w:rsidR="00E947B9">
        <w:t xml:space="preserve">from a telecommunications service </w:t>
      </w:r>
      <w:r>
        <w:t>back into an information service</w:t>
      </w:r>
      <w:r w:rsidR="00E81F85">
        <w:t>.  In</w:t>
      </w:r>
      <w:r>
        <w:t xml:space="preserve"> the</w:t>
      </w:r>
      <w:r w:rsidR="00E81F85">
        <w:t xml:space="preserve"> </w:t>
      </w:r>
      <w:r w:rsidR="00E947B9">
        <w:t xml:space="preserve">Lifeline </w:t>
      </w:r>
      <w:r w:rsidR="00E81F85">
        <w:t xml:space="preserve">Order extending Lifeline support to low income people needing broadband service, the Commission correctly observed that in this age, access to broadband is as </w:t>
      </w:r>
      <w:r w:rsidR="002A0A88">
        <w:t>crucially</w:t>
      </w:r>
      <w:r w:rsidR="00E81F85">
        <w:t xml:space="preserve"> important as access to voice service was twenty </w:t>
      </w:r>
      <w:r w:rsidR="002A0A88">
        <w:t>years</w:t>
      </w:r>
      <w:r w:rsidR="00E81F85">
        <w:t xml:space="preserve"> ago.</w:t>
      </w:r>
      <w:r w:rsidR="00E947B9">
        <w:rPr>
          <w:rStyle w:val="FootnoteReference"/>
        </w:rPr>
        <w:footnoteReference w:id="6"/>
      </w:r>
      <w:r>
        <w:t xml:space="preserve"> </w:t>
      </w:r>
      <w:r w:rsidR="00E947B9">
        <w:t xml:space="preserve"> </w:t>
      </w:r>
      <w:r w:rsidR="002A0A88">
        <w:t>I</w:t>
      </w:r>
      <w:r w:rsidR="00E81F85">
        <w:t xml:space="preserve">ndeed, all </w:t>
      </w:r>
      <w:r w:rsidR="002A0A88">
        <w:t>Commissioners</w:t>
      </w:r>
      <w:r w:rsidR="00E81F85">
        <w:t xml:space="preserve"> have repeatedly stressed the importance of ensuring broadband access to Indian tribes, rural areas, and low income areas as one of the basic essentials of modern life.  The Lifeline Order attempted to implement that objective by deeming broadband to be a </w:t>
      </w:r>
      <w:r w:rsidR="002A0A88">
        <w:t>telecommunications</w:t>
      </w:r>
      <w:r w:rsidR="00E81F85">
        <w:t xml:space="preserve"> service supported by the Universal Service Fund.</w:t>
      </w:r>
      <w:r w:rsidR="00E947B9">
        <w:t xml:space="preserve"> </w:t>
      </w:r>
      <w:r w:rsidR="00E81F85">
        <w:t xml:space="preserve"> Recognition of broadband </w:t>
      </w:r>
      <w:r w:rsidR="00E947B9">
        <w:t>Internet access</w:t>
      </w:r>
      <w:r w:rsidR="00E81F85">
        <w:t xml:space="preserve"> as a “telecommunications service” was a key prerequisite for taking that step.  For while the FCC has occasionally suggested that a supported service need not be a </w:t>
      </w:r>
      <w:r w:rsidR="002A0A88">
        <w:t>telecommunications</w:t>
      </w:r>
      <w:r w:rsidR="00E81F85">
        <w:t xml:space="preserve"> service, Section 254(c)(1) of the Act provides otherwise.  There the Act defines “universal service” </w:t>
      </w:r>
      <w:r w:rsidR="001A157F">
        <w:t xml:space="preserve">expressly as an “evolving level of </w:t>
      </w:r>
      <w:r w:rsidR="001A157F" w:rsidRPr="003E0AE0">
        <w:rPr>
          <w:u w:val="single"/>
        </w:rPr>
        <w:t>telecommunications service</w:t>
      </w:r>
      <w:r w:rsidR="001A157F">
        <w:t xml:space="preserve">” and provides </w:t>
      </w:r>
      <w:r w:rsidR="002A0A88">
        <w:t>that</w:t>
      </w:r>
      <w:r w:rsidR="001A157F">
        <w:t xml:space="preserve"> the Commission may revise its roster of supported “</w:t>
      </w:r>
      <w:r w:rsidR="001A157F" w:rsidRPr="003E0AE0">
        <w:rPr>
          <w:u w:val="single"/>
        </w:rPr>
        <w:t>telecommunications services</w:t>
      </w:r>
      <w:r w:rsidR="001A157F">
        <w:t>.”  The Act nowhere suggests that support may be available for non-telecommunications services other than the ones en</w:t>
      </w:r>
      <w:r w:rsidR="00E947B9">
        <w:t>umerated in Section 254(c)(3): s</w:t>
      </w:r>
      <w:r w:rsidR="001A157F">
        <w:t>chools, libraries and</w:t>
      </w:r>
      <w:r w:rsidR="007735C1">
        <w:t xml:space="preserve"> </w:t>
      </w:r>
      <w:r w:rsidR="001A157F">
        <w:t xml:space="preserve">health care providers.  Conversion of broadband </w:t>
      </w:r>
      <w:r w:rsidR="008653EF">
        <w:t>Internet</w:t>
      </w:r>
      <w:r w:rsidR="001A157F">
        <w:t xml:space="preserve"> access to an information service would wholly undercut the ability of the Commission to </w:t>
      </w:r>
      <w:r w:rsidR="007735C1">
        <w:t xml:space="preserve">ensure that this critical service is universally available. </w:t>
      </w:r>
    </w:p>
    <w:p w:rsidR="007735C1" w:rsidRPr="00E947B9" w:rsidRDefault="007735C1" w:rsidP="00C161E5">
      <w:pPr>
        <w:pStyle w:val="ListParagraph"/>
        <w:numPr>
          <w:ilvl w:val="0"/>
          <w:numId w:val="3"/>
        </w:numPr>
        <w:ind w:left="1800"/>
        <w:rPr>
          <w:b/>
        </w:rPr>
      </w:pPr>
      <w:r w:rsidRPr="00E947B9">
        <w:rPr>
          <w:b/>
        </w:rPr>
        <w:t>Privacy</w:t>
      </w:r>
    </w:p>
    <w:p w:rsidR="007735C1" w:rsidRDefault="002A0A88" w:rsidP="00C161E5">
      <w:pPr>
        <w:spacing w:line="480" w:lineRule="auto"/>
        <w:ind w:firstLine="720"/>
      </w:pPr>
      <w:r>
        <w:t>Maintaining</w:t>
      </w:r>
      <w:r w:rsidR="007735C1">
        <w:t xml:space="preserve"> broadband </w:t>
      </w:r>
      <w:r w:rsidR="008653EF">
        <w:t>Internet</w:t>
      </w:r>
      <w:r w:rsidR="007735C1">
        <w:t xml:space="preserve"> access as a telecommunications service obviously maintains the curious disconnect in privacy regulation between</w:t>
      </w:r>
      <w:r w:rsidR="008653EF">
        <w:t xml:space="preserve"> telecom</w:t>
      </w:r>
      <w:r w:rsidR="007735C1">
        <w:t xml:space="preserve"> </w:t>
      </w:r>
      <w:r w:rsidR="00D42CCA">
        <w:t>common carriers</w:t>
      </w:r>
      <w:r w:rsidR="008653EF">
        <w:t>,</w:t>
      </w:r>
      <w:r w:rsidR="00D42CCA">
        <w:t xml:space="preserve"> who are regulated by the FCC</w:t>
      </w:r>
      <w:r w:rsidR="008653EF">
        <w:t>,</w:t>
      </w:r>
      <w:r w:rsidR="00D42CCA">
        <w:t xml:space="preserve"> and everyone else</w:t>
      </w:r>
      <w:r w:rsidR="008653EF">
        <w:t>,</w:t>
      </w:r>
      <w:r w:rsidR="00D42CCA">
        <w:t xml:space="preserve"> who are regulated by the FTC.  Joint Commente</w:t>
      </w:r>
      <w:r>
        <w:t>rs agre</w:t>
      </w:r>
      <w:r w:rsidR="00D42CCA">
        <w:t>e with those who believe that there is no principled reason</w:t>
      </w:r>
      <w:r>
        <w:t xml:space="preserve"> to treat carrier-based ISPs an</w:t>
      </w:r>
      <w:r w:rsidR="00D42CCA">
        <w:t>y differently from</w:t>
      </w:r>
      <w:r>
        <w:t xml:space="preserve"> non-carrier ISPs for purpose</w:t>
      </w:r>
      <w:r w:rsidR="00D42CCA">
        <w:t xml:space="preserve">s of privacy </w:t>
      </w:r>
      <w:r>
        <w:t>protections</w:t>
      </w:r>
      <w:r w:rsidR="00D42CCA">
        <w:t xml:space="preserve">.  A level playing field is only fair.  In the absence of </w:t>
      </w:r>
      <w:r>
        <w:t>Congressional</w:t>
      </w:r>
      <w:r w:rsidR="00D42CCA">
        <w:t xml:space="preserve"> action to redress this </w:t>
      </w:r>
      <w:r>
        <w:t>regulatory</w:t>
      </w:r>
      <w:r w:rsidR="00D42CCA">
        <w:t xml:space="preserve"> anomaly (and we note that Congresswoman Blackburn has introduced a bill for just this purpose), the FCC could handle the matter by coordinating with its colleagues on the FTC.  Their object would be to reach a universal standard for privacy protections, opt-in/opt-out choices, and size categories to which these rules would apply.  The FCC and FTC would still have to retain separate </w:t>
      </w:r>
      <w:r w:rsidR="00020B0A">
        <w:t>e</w:t>
      </w:r>
      <w:r w:rsidR="00D42CCA">
        <w:t>nf</w:t>
      </w:r>
      <w:r w:rsidR="00020B0A">
        <w:t>orcement</w:t>
      </w:r>
      <w:r w:rsidR="00D42CCA">
        <w:t xml:space="preserve"> mechanisms, but at least they would be enforcing the same rules, much as they now enforce the same anti-trust laws when competitive issues arise.  </w:t>
      </w:r>
    </w:p>
    <w:p w:rsidR="008653EF" w:rsidRPr="00E947B9" w:rsidRDefault="003865C3" w:rsidP="007213AF">
      <w:pPr>
        <w:pStyle w:val="ListParagraph"/>
        <w:numPr>
          <w:ilvl w:val="0"/>
          <w:numId w:val="3"/>
        </w:numPr>
        <w:ind w:left="1800"/>
        <w:rPr>
          <w:b/>
        </w:rPr>
      </w:pPr>
      <w:r w:rsidRPr="00E947B9">
        <w:rPr>
          <w:b/>
        </w:rPr>
        <w:t>Converting CMRS to a Private Mobile Service is Unlawful and Bad Policy</w:t>
      </w:r>
    </w:p>
    <w:p w:rsidR="008653EF" w:rsidRDefault="008653EF" w:rsidP="00D572D6">
      <w:pPr>
        <w:spacing w:line="480" w:lineRule="auto"/>
        <w:ind w:firstLine="720"/>
      </w:pPr>
      <w:r>
        <w:t>The Commission’s proposal to treat mobile broadband Internet service as a private mobile service rather than CMRS raises a serious issue at the outset.  The Commission acknowledges that there have been no technological changes which would justify a reversal from the findings of the Wheeler Commission just two years ago that mobile broadband access is sufficiently like commercial mobile service as to be “functionally equivalent.”  Those findings were upheld by the Court.  The Pai Commission now proposes to reverse the Commission’s earlier findings simply on the basis that it</w:t>
      </w:r>
      <w:r w:rsidR="00E947B9">
        <w:t xml:space="preserve"> disagrees with them.  Just as c</w:t>
      </w:r>
      <w:r>
        <w:t xml:space="preserve">ourts are bound by the earlier decisions of the same court, the Commission </w:t>
      </w:r>
      <w:r w:rsidR="00E947B9">
        <w:t>cannot</w:t>
      </w:r>
      <w:r>
        <w:t xml:space="preserve"> discard its prior determinations just because it disagrees with them.   This is not to say that the law cannot change, but change must start from the principle that the existing law is entitled to </w:t>
      </w:r>
      <w:r w:rsidR="00E947B9">
        <w:t>deference,</w:t>
      </w:r>
      <w:r>
        <w:t xml:space="preserve"> and change requires more than simple disagreement. </w:t>
      </w:r>
      <w:r w:rsidR="00870D46" w:rsidRPr="00870D46">
        <w:rPr>
          <w:i/>
        </w:rPr>
        <w:t>Nat'l Cable &amp; Telecomms. Ass'n v. Brand X Internet Servs</w:t>
      </w:r>
      <w:r w:rsidR="00870D46" w:rsidRPr="00870D46">
        <w:t xml:space="preserve">., 545 U.S. 967, 981 (2005) (an agency may not change its own precedent arbitrarily and without explaining the change).  And any change in interpretation must obviously be supported by the facts of record. </w:t>
      </w:r>
      <w:r w:rsidR="00870D46" w:rsidRPr="00870D46">
        <w:rPr>
          <w:i/>
        </w:rPr>
        <w:t>Motor Vehicle Mfrs. Ass'n of U.S., Inc. v. State Farm Mut. Auto. Ins. Co</w:t>
      </w:r>
      <w:r w:rsidR="00870D46" w:rsidRPr="00870D46">
        <w:t xml:space="preserve">., 463 U.S. 29 (1983) (agencies must provide a </w:t>
      </w:r>
      <w:r w:rsidR="00870D46">
        <w:t>satisfactory explanation for their</w:t>
      </w:r>
      <w:r w:rsidR="00870D46" w:rsidRPr="00870D46">
        <w:t xml:space="preserve"> rules based on a “rational connection between the facts found and the choice made”).</w:t>
      </w:r>
    </w:p>
    <w:p w:rsidR="008653EF" w:rsidRDefault="008653EF" w:rsidP="00D572D6">
      <w:pPr>
        <w:spacing w:line="480" w:lineRule="auto"/>
        <w:ind w:firstLine="720"/>
      </w:pPr>
      <w:r>
        <w:t xml:space="preserve">Here, if anything, the vector of technology supports even more strongly the findings of the </w:t>
      </w:r>
      <w:r w:rsidR="00E947B9">
        <w:t>Wheeler Commission</w:t>
      </w:r>
      <w:r>
        <w:t xml:space="preserve">.  As the D.C. Circuit understood, a person making a phone call on her cell phone neither knows nor cares whether the call is connected through a WiFi router or a cellular network.  </w:t>
      </w:r>
      <w:r w:rsidR="00E947B9">
        <w:t>Sometimes</w:t>
      </w:r>
      <w:r>
        <w:t xml:space="preserve"> a call is carried on both.  And by using VoIP services, a user can connect to any phone in the world over the Internet.  Even wired services now use Internet protocols for delivery of their traffic.  The </w:t>
      </w:r>
      <w:r w:rsidR="00E947B9">
        <w:t xml:space="preserve">efficiency of Internet-driven </w:t>
      </w:r>
      <w:r>
        <w:t>technology is rapidly rendering virtually all</w:t>
      </w:r>
      <w:r w:rsidRPr="008653EF">
        <w:t xml:space="preserve"> </w:t>
      </w:r>
      <w:r>
        <w:t>interconnected telecommunications Internet-based.</w:t>
      </w:r>
      <w:r w:rsidR="00C57A25">
        <w:t xml:space="preserve"> </w:t>
      </w:r>
      <w:r>
        <w:t xml:space="preserve"> Not only is this the reality of interconnected service today, but the statute at 332(d)(3) expressly permits the Commission to specify that a particular service is functionally equivalent</w:t>
      </w:r>
      <w:r w:rsidR="00E947B9">
        <w:t xml:space="preserve"> to interconnected service</w:t>
      </w:r>
      <w:r>
        <w:t>.  The statute sets no bounds on the Commission’s discretion in that regard, so its findings are simply subject to the usual rational and not arbitrary and capricious</w:t>
      </w:r>
      <w:r w:rsidR="00870D46">
        <w:t xml:space="preserve"> metrics</w:t>
      </w:r>
      <w:r>
        <w:t xml:space="preserve">.  The existing rules plainly meet that test, as the Court found.  The Commission’s proposal to relegate mobile broadband Internet access to a 1950’s-style private service category flies in the face of the clear current and future direction of communications. </w:t>
      </w:r>
    </w:p>
    <w:p w:rsidR="008653EF" w:rsidRDefault="008653EF" w:rsidP="00D572D6">
      <w:pPr>
        <w:spacing w:line="480" w:lineRule="auto"/>
        <w:ind w:firstLine="720"/>
      </w:pPr>
      <w:r>
        <w:t>It also guarantees that the abuses described in Section C, above, will continue and expand.  Reclassifying CMRS as a private service would permanently authorize and validate the ability of dominant carriers to charge excessive data roaming rates to other carriers as they do now.  Rather than legitimizing this kind of highly anti-competitive activity, the Commission should act on NTCH’s long pending petition for reconsideration</w:t>
      </w:r>
      <w:r>
        <w:rPr>
          <w:rStyle w:val="FootnoteReference"/>
        </w:rPr>
        <w:footnoteReference w:id="7"/>
      </w:r>
      <w:r>
        <w:t xml:space="preserve"> which challenged the Commission’s flatly erroneous and unlawful decision to forbear from application of Sections 201 and 202 of the Act as applied to data roaming providers. </w:t>
      </w:r>
      <w:r w:rsidR="00C57A25">
        <w:t xml:space="preserve"> </w:t>
      </w:r>
      <w:r>
        <w:t xml:space="preserve">The disastrous consequences of that approach are set forth in detail in the Section 208 complaints which the Commission has chosen not to act on. </w:t>
      </w:r>
    </w:p>
    <w:p w:rsidR="00870D46" w:rsidRDefault="00870D46" w:rsidP="00870D46">
      <w:pPr>
        <w:pStyle w:val="ListParagraph"/>
        <w:numPr>
          <w:ilvl w:val="0"/>
          <w:numId w:val="1"/>
        </w:numPr>
        <w:spacing w:line="480" w:lineRule="auto"/>
        <w:rPr>
          <w:b/>
        </w:rPr>
      </w:pPr>
      <w:r w:rsidRPr="00870D46">
        <w:rPr>
          <w:b/>
        </w:rPr>
        <w:t>Conclusion</w:t>
      </w:r>
    </w:p>
    <w:p w:rsidR="00870D46" w:rsidRPr="00870D46" w:rsidRDefault="00870D46" w:rsidP="00870D46">
      <w:pPr>
        <w:spacing w:line="480" w:lineRule="auto"/>
        <w:ind w:firstLine="720"/>
      </w:pPr>
      <w:r w:rsidRPr="00870D46">
        <w:t xml:space="preserve">The Commission lop off the portions of the current rules </w:t>
      </w:r>
      <w:r>
        <w:t>that call for intrusive regulat</w:t>
      </w:r>
      <w:r w:rsidRPr="00870D46">
        <w:t xml:space="preserve">ory intervention (such as the </w:t>
      </w:r>
      <w:r>
        <w:t>Internet Conduct Standard and the procedures for getting pre-approval for Internet activity</w:t>
      </w:r>
      <w:r w:rsidR="003E0AE0">
        <w:t>)</w:t>
      </w:r>
      <w:r>
        <w:t xml:space="preserve"> and reduce Internet regulation to basic Title II principles just as CMRS has been regulated for decades.  To make this regulatory </w:t>
      </w:r>
      <w:r w:rsidR="003E0AE0">
        <w:t xml:space="preserve">regime </w:t>
      </w:r>
      <w:r>
        <w:t xml:space="preserve">effective, the Commission should not forbear from application of Sections 201, 202 and 208 of </w:t>
      </w:r>
      <w:r w:rsidR="003E0AE0">
        <w:t>the Act, because these are the necessary</w:t>
      </w:r>
      <w:r>
        <w:t xml:space="preserve"> backdrop for Title II conduct and enforcement. Specifically, the Commission should rescind the unlawful forbearance which the current rules applied to data roaming without any attempt to meet the statutory forbearance standards. </w:t>
      </w:r>
    </w:p>
    <w:p w:rsidR="008653EF" w:rsidRDefault="008653EF" w:rsidP="008653EF">
      <w:pPr>
        <w:ind w:left="720"/>
      </w:pPr>
    </w:p>
    <w:p w:rsidR="00C57A25" w:rsidRDefault="00C57A25" w:rsidP="00C57A25">
      <w:pPr>
        <w:spacing w:after="0" w:line="240" w:lineRule="auto"/>
        <w:ind w:left="3600"/>
      </w:pPr>
      <w:r>
        <w:t>Respectfully submitted,</w:t>
      </w:r>
    </w:p>
    <w:p w:rsidR="00C57A25" w:rsidRDefault="00C57A25" w:rsidP="00C57A25">
      <w:pPr>
        <w:spacing w:after="0" w:line="240" w:lineRule="auto"/>
        <w:ind w:left="3600"/>
      </w:pPr>
    </w:p>
    <w:p w:rsidR="00C57A25" w:rsidRDefault="00164498" w:rsidP="00C57A25">
      <w:pPr>
        <w:spacing w:after="0" w:line="240" w:lineRule="auto"/>
        <w:ind w:left="3600"/>
      </w:pPr>
      <w:r>
        <w:t>NTCH, INC.</w:t>
      </w:r>
    </w:p>
    <w:p w:rsidR="00164498" w:rsidRDefault="00164498" w:rsidP="00164498">
      <w:pPr>
        <w:spacing w:before="60" w:after="0" w:line="240" w:lineRule="auto"/>
        <w:ind w:left="3600"/>
      </w:pPr>
      <w:r>
        <w:t>FLAT WIRELESS, LLC</w:t>
      </w:r>
    </w:p>
    <w:p w:rsidR="00C57A25" w:rsidRDefault="00C57A25" w:rsidP="00C57A25">
      <w:pPr>
        <w:spacing w:after="0" w:line="240" w:lineRule="auto"/>
        <w:ind w:left="3600"/>
      </w:pPr>
    </w:p>
    <w:p w:rsidR="00164498" w:rsidRDefault="00164498" w:rsidP="00C57A25">
      <w:pPr>
        <w:spacing w:after="0" w:line="240" w:lineRule="auto"/>
        <w:ind w:left="3600"/>
      </w:pPr>
    </w:p>
    <w:p w:rsidR="00164498" w:rsidRDefault="00164498" w:rsidP="00C57A25">
      <w:pPr>
        <w:spacing w:after="0" w:line="240" w:lineRule="auto"/>
        <w:ind w:left="3600"/>
      </w:pPr>
    </w:p>
    <w:p w:rsidR="00C57A25" w:rsidRDefault="00C57A25" w:rsidP="00C57A25">
      <w:pPr>
        <w:spacing w:after="0" w:line="240" w:lineRule="auto"/>
        <w:ind w:left="3600"/>
      </w:pPr>
      <w:r>
        <w:t>By:</w:t>
      </w:r>
      <w:r w:rsidRPr="00C57A25">
        <w:rPr>
          <w:u w:val="single"/>
        </w:rPr>
        <w:tab/>
      </w:r>
      <w:r w:rsidRPr="00C57A25">
        <w:rPr>
          <w:u w:val="single"/>
        </w:rPr>
        <w:tab/>
      </w:r>
      <w:r w:rsidRPr="00C57A25">
        <w:rPr>
          <w:u w:val="single"/>
        </w:rPr>
        <w:tab/>
      </w:r>
      <w:r w:rsidR="003A05B3">
        <w:rPr>
          <w:u w:val="single"/>
        </w:rPr>
        <w:t>/S/</w:t>
      </w:r>
      <w:r>
        <w:rPr>
          <w:u w:val="single"/>
        </w:rPr>
        <w:tab/>
      </w:r>
    </w:p>
    <w:p w:rsidR="00C57A25" w:rsidRDefault="00C57A25" w:rsidP="00C57A25">
      <w:pPr>
        <w:spacing w:after="0" w:line="240" w:lineRule="auto"/>
        <w:ind w:left="3600"/>
      </w:pPr>
      <w:r>
        <w:tab/>
        <w:t>Donald J. Evans</w:t>
      </w:r>
    </w:p>
    <w:p w:rsidR="00C57A25" w:rsidRPr="00C57A25" w:rsidRDefault="00C57A25" w:rsidP="00C57A25">
      <w:pPr>
        <w:spacing w:after="0" w:line="240" w:lineRule="auto"/>
        <w:ind w:left="3600"/>
        <w:rPr>
          <w:i/>
        </w:rPr>
      </w:pPr>
      <w:r>
        <w:tab/>
      </w:r>
      <w:r w:rsidR="00EB369F">
        <w:rPr>
          <w:i/>
        </w:rPr>
        <w:t xml:space="preserve">Their </w:t>
      </w:r>
      <w:bookmarkStart w:id="0" w:name="_GoBack"/>
      <w:bookmarkEnd w:id="0"/>
      <w:r w:rsidR="00164498">
        <w:rPr>
          <w:i/>
        </w:rPr>
        <w:t>C</w:t>
      </w:r>
      <w:r w:rsidRPr="00C57A25">
        <w:rPr>
          <w:i/>
        </w:rPr>
        <w:t xml:space="preserve">ounsel </w:t>
      </w:r>
    </w:p>
    <w:p w:rsidR="00C57A25" w:rsidRDefault="00C57A25" w:rsidP="00C57A25">
      <w:pPr>
        <w:spacing w:after="0" w:line="240" w:lineRule="auto"/>
        <w:ind w:firstLine="720"/>
      </w:pPr>
    </w:p>
    <w:p w:rsidR="00C57A25" w:rsidRDefault="00C57A25" w:rsidP="00C57A25">
      <w:pPr>
        <w:spacing w:after="0" w:line="240" w:lineRule="auto"/>
      </w:pPr>
    </w:p>
    <w:p w:rsidR="0094365E" w:rsidRDefault="0094365E" w:rsidP="00C57A25">
      <w:pPr>
        <w:spacing w:after="0" w:line="240" w:lineRule="auto"/>
      </w:pPr>
    </w:p>
    <w:p w:rsidR="004536E4" w:rsidRDefault="004536E4" w:rsidP="004536E4">
      <w:pPr>
        <w:spacing w:after="0" w:line="240" w:lineRule="auto"/>
      </w:pPr>
      <w:r>
        <w:t>FLETCHER, HEALD &amp; HILDRETH, PLC</w:t>
      </w:r>
    </w:p>
    <w:p w:rsidR="004536E4" w:rsidRDefault="004536E4" w:rsidP="004536E4">
      <w:pPr>
        <w:spacing w:after="0" w:line="240" w:lineRule="auto"/>
      </w:pPr>
      <w:r>
        <w:t>1300 North 17</w:t>
      </w:r>
      <w:r w:rsidRPr="00C57A25">
        <w:t>th</w:t>
      </w:r>
      <w:r>
        <w:t xml:space="preserve"> Street, 11</w:t>
      </w:r>
      <w:r w:rsidRPr="00C57A25">
        <w:t>th</w:t>
      </w:r>
      <w:r>
        <w:t xml:space="preserve"> Floor</w:t>
      </w:r>
    </w:p>
    <w:p w:rsidR="004536E4" w:rsidRDefault="004536E4" w:rsidP="004536E4">
      <w:pPr>
        <w:spacing w:after="0" w:line="240" w:lineRule="auto"/>
      </w:pPr>
      <w:r>
        <w:t>Arlington, VA  22209</w:t>
      </w:r>
    </w:p>
    <w:p w:rsidR="004536E4" w:rsidRDefault="004536E4" w:rsidP="004536E4">
      <w:pPr>
        <w:spacing w:after="0" w:line="240" w:lineRule="auto"/>
      </w:pPr>
      <w:r>
        <w:t>Phone: (703) 812-0400</w:t>
      </w:r>
    </w:p>
    <w:p w:rsidR="00C57A25" w:rsidRDefault="00C57A25" w:rsidP="00C57A25">
      <w:pPr>
        <w:spacing w:after="0" w:line="240" w:lineRule="auto"/>
      </w:pPr>
    </w:p>
    <w:p w:rsidR="00C57A25" w:rsidRDefault="00C57A25" w:rsidP="00C57A25">
      <w:pPr>
        <w:spacing w:after="0" w:line="240" w:lineRule="auto"/>
      </w:pPr>
    </w:p>
    <w:p w:rsidR="00C57A25" w:rsidRDefault="00C57A25" w:rsidP="00C57A25">
      <w:pPr>
        <w:spacing w:after="0" w:line="240" w:lineRule="auto"/>
      </w:pPr>
      <w:r>
        <w:t>July 1</w:t>
      </w:r>
      <w:r w:rsidR="00164498">
        <w:t>7</w:t>
      </w:r>
      <w:r>
        <w:t>, 2017</w:t>
      </w:r>
    </w:p>
    <w:sectPr w:rsidR="00C57A25" w:rsidSect="000B788A">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1F85" w:rsidRDefault="00E81F85" w:rsidP="00B16C21">
      <w:pPr>
        <w:spacing w:after="0" w:line="240" w:lineRule="auto"/>
      </w:pPr>
      <w:r>
        <w:separator/>
      </w:r>
    </w:p>
  </w:endnote>
  <w:endnote w:type="continuationSeparator" w:id="0">
    <w:p w:rsidR="00E81F85" w:rsidRDefault="00E81F85" w:rsidP="00B16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CE4" w:rsidRDefault="00257C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F85" w:rsidRPr="0028536E" w:rsidRDefault="00EB369F" w:rsidP="0028536E">
    <w:pPr>
      <w:pStyle w:val="Footer"/>
    </w:pPr>
    <w:r w:rsidRPr="00EB369F">
      <w:rPr>
        <w:noProof/>
        <w:sz w:val="12"/>
      </w:rPr>
      <w:t>{01065194-1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88A" w:rsidRPr="000B788A" w:rsidRDefault="00670756">
    <w:pPr>
      <w:pStyle w:val="Footer"/>
    </w:pPr>
    <w:r w:rsidRPr="00670756">
      <w:rPr>
        <w:noProof/>
        <w:sz w:val="12"/>
      </w:rPr>
      <w:t>{01065194-1 }</w:t>
    </w:r>
    <w:r w:rsidR="00597FE9">
      <w:rPr>
        <w:noProof/>
        <w:sz w:val="12"/>
      </w:rPr>
      <w:tab/>
    </w:r>
    <w:r w:rsidR="00597FE9" w:rsidRPr="00597FE9">
      <w:rPr>
        <w:noProof/>
      </w:rPr>
      <w:fldChar w:fldCharType="begin"/>
    </w:r>
    <w:r w:rsidR="00597FE9" w:rsidRPr="00597FE9">
      <w:rPr>
        <w:noProof/>
      </w:rPr>
      <w:instrText xml:space="preserve"> PAGE   \* MERGEFORMAT </w:instrText>
    </w:r>
    <w:r w:rsidR="00597FE9" w:rsidRPr="00597FE9">
      <w:rPr>
        <w:noProof/>
      </w:rPr>
      <w:fldChar w:fldCharType="separate"/>
    </w:r>
    <w:r w:rsidR="0028536E">
      <w:rPr>
        <w:noProof/>
      </w:rPr>
      <w:t>1</w:t>
    </w:r>
    <w:r w:rsidR="00597FE9" w:rsidRPr="00597FE9">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65E" w:rsidRPr="000B788A" w:rsidRDefault="00EB369F">
    <w:pPr>
      <w:pStyle w:val="Footer"/>
    </w:pPr>
    <w:r w:rsidRPr="00EB369F">
      <w:rPr>
        <w:noProof/>
        <w:sz w:val="12"/>
      </w:rPr>
      <w:t>{01065194-1 }</w:t>
    </w:r>
    <w:r w:rsidR="0094365E">
      <w:rPr>
        <w:noProof/>
        <w:sz w:val="12"/>
      </w:rPr>
      <w:tab/>
    </w:r>
    <w:r w:rsidR="0028536E" w:rsidRPr="0028536E">
      <w:rPr>
        <w:noProof/>
      </w:rPr>
      <w:fldChar w:fldCharType="begin"/>
    </w:r>
    <w:r w:rsidR="0028536E" w:rsidRPr="0028536E">
      <w:rPr>
        <w:noProof/>
      </w:rPr>
      <w:instrText xml:space="preserve"> PAGE   \* MERGEFORMAT </w:instrText>
    </w:r>
    <w:r w:rsidR="0028536E" w:rsidRPr="0028536E">
      <w:rPr>
        <w:noProof/>
      </w:rPr>
      <w:fldChar w:fldCharType="separate"/>
    </w:r>
    <w:r>
      <w:rPr>
        <w:noProof/>
      </w:rPr>
      <w:t>2</w:t>
    </w:r>
    <w:r w:rsidR="0028536E" w:rsidRPr="0028536E">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36E" w:rsidRPr="0094365E" w:rsidRDefault="00EB369F">
    <w:pPr>
      <w:pStyle w:val="Footer"/>
    </w:pPr>
    <w:r w:rsidRPr="00EB369F">
      <w:rPr>
        <w:noProof/>
        <w:sz w:val="12"/>
      </w:rPr>
      <w:t>{01065194-1 }</w:t>
    </w:r>
    <w:r w:rsidR="0028536E">
      <w:rPr>
        <w:noProof/>
        <w:sz w:val="12"/>
      </w:rPr>
      <w:tab/>
    </w:r>
    <w:r w:rsidR="0028536E" w:rsidRPr="0028536E">
      <w:rPr>
        <w:noProof/>
      </w:rPr>
      <w:fldChar w:fldCharType="begin"/>
    </w:r>
    <w:r w:rsidR="0028536E" w:rsidRPr="0028536E">
      <w:rPr>
        <w:noProof/>
      </w:rPr>
      <w:instrText xml:space="preserve"> PAGE   \* MERGEFORMAT </w:instrText>
    </w:r>
    <w:r w:rsidR="0028536E" w:rsidRPr="0028536E">
      <w:rPr>
        <w:noProof/>
      </w:rPr>
      <w:fldChar w:fldCharType="separate"/>
    </w:r>
    <w:r>
      <w:rPr>
        <w:noProof/>
      </w:rPr>
      <w:t>17</w:t>
    </w:r>
    <w:r w:rsidR="0028536E" w:rsidRPr="0028536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1F85" w:rsidRDefault="00E81F85" w:rsidP="00B16C21">
      <w:pPr>
        <w:spacing w:after="0" w:line="240" w:lineRule="auto"/>
        <w:rPr>
          <w:noProof/>
        </w:rPr>
      </w:pPr>
      <w:r>
        <w:rPr>
          <w:noProof/>
        </w:rPr>
        <w:separator/>
      </w:r>
    </w:p>
  </w:footnote>
  <w:footnote w:type="continuationSeparator" w:id="0">
    <w:p w:rsidR="00E81F85" w:rsidRDefault="00E81F85" w:rsidP="00B16C21">
      <w:pPr>
        <w:spacing w:after="0" w:line="240" w:lineRule="auto"/>
      </w:pPr>
      <w:r>
        <w:continuationSeparator/>
      </w:r>
    </w:p>
  </w:footnote>
  <w:footnote w:id="1">
    <w:p w:rsidR="00E947B9" w:rsidRDefault="00E947B9">
      <w:pPr>
        <w:pStyle w:val="FootnoteText"/>
      </w:pPr>
      <w:r>
        <w:rPr>
          <w:rStyle w:val="FootnoteReference"/>
        </w:rPr>
        <w:footnoteRef/>
      </w:r>
      <w:r>
        <w:t xml:space="preserve"> In the Matter of Restoring Internet Freedom, WC Docket 17-108, rel. May 23, 2107.  (“NPRM”)</w:t>
      </w:r>
    </w:p>
  </w:footnote>
  <w:footnote w:id="2">
    <w:p w:rsidR="00E947B9" w:rsidRPr="007213AF" w:rsidRDefault="00E81F85" w:rsidP="00E947B9">
      <w:pPr>
        <w:suppressAutoHyphens/>
        <w:rPr>
          <w:spacing w:val="-2"/>
          <w:sz w:val="20"/>
        </w:rPr>
      </w:pPr>
      <w:r>
        <w:rPr>
          <w:rStyle w:val="FootnoteReference"/>
        </w:rPr>
        <w:footnoteRef/>
      </w:r>
      <w:r>
        <w:t xml:space="preserve"> </w:t>
      </w:r>
      <w:r w:rsidR="00E947B9" w:rsidRPr="007213AF">
        <w:rPr>
          <w:spacing w:val="-2"/>
          <w:sz w:val="20"/>
        </w:rPr>
        <w:t>WT Docket No. 05-265</w:t>
      </w:r>
    </w:p>
    <w:p w:rsidR="00E81F85" w:rsidRDefault="00E81F85">
      <w:pPr>
        <w:pStyle w:val="FootnoteText"/>
      </w:pPr>
    </w:p>
  </w:footnote>
  <w:footnote w:id="3">
    <w:p w:rsidR="00E81F85" w:rsidRDefault="00E81F85">
      <w:pPr>
        <w:pStyle w:val="FootnoteText"/>
      </w:pPr>
      <w:r>
        <w:rPr>
          <w:rStyle w:val="FootnoteReference"/>
        </w:rPr>
        <w:footnoteRef/>
      </w:r>
      <w:r>
        <w:t xml:space="preserve"> </w:t>
      </w:r>
      <w:r w:rsidR="00E947B9">
        <w:t>Petition to Rescind Forbearance and Initiate Rulemaking, filed July 2, 2014.</w:t>
      </w:r>
    </w:p>
  </w:footnote>
  <w:footnote w:id="4">
    <w:p w:rsidR="00E947B9" w:rsidRPr="00C161E5" w:rsidRDefault="00E947B9">
      <w:pPr>
        <w:pStyle w:val="FootnoteText"/>
      </w:pPr>
      <w:r>
        <w:rPr>
          <w:rStyle w:val="FootnoteReference"/>
        </w:rPr>
        <w:footnoteRef/>
      </w:r>
      <w:r>
        <w:t xml:space="preserve"> </w:t>
      </w:r>
      <w:r w:rsidR="00C161E5">
        <w:rPr>
          <w:u w:val="single"/>
        </w:rPr>
        <w:t>Business Data Services in an Internet Protocol Environment</w:t>
      </w:r>
      <w:r w:rsidR="00C161E5">
        <w:t>, WC Docket No. 16-143, WC Docket No. 05-25, Gen. Docket No. 13-5, RM-10593, 32 FCC Rcd. (3459</w:t>
      </w:r>
      <w:r w:rsidR="00164498">
        <w:t>) 2017</w:t>
      </w:r>
    </w:p>
  </w:footnote>
  <w:footnote w:id="5">
    <w:p w:rsidR="00C05EE2" w:rsidRDefault="00C05EE2">
      <w:pPr>
        <w:pStyle w:val="FootnoteText"/>
      </w:pPr>
      <w:r>
        <w:rPr>
          <w:rStyle w:val="FootnoteReference"/>
        </w:rPr>
        <w:footnoteRef/>
      </w:r>
      <w:r>
        <w:t xml:space="preserve"> </w:t>
      </w:r>
      <w:r w:rsidRPr="00C05EE2">
        <w:rPr>
          <w:i/>
        </w:rPr>
        <w:t>In re Preserving and Protecting the Open Internet</w:t>
      </w:r>
      <w:r>
        <w:t>, 29 FCC Rcd. 5561,  5616, para. 154. (2014)</w:t>
      </w:r>
    </w:p>
  </w:footnote>
  <w:footnote w:id="6">
    <w:p w:rsidR="00E947B9" w:rsidRDefault="00E947B9">
      <w:pPr>
        <w:pStyle w:val="FootnoteText"/>
      </w:pPr>
      <w:r>
        <w:rPr>
          <w:rStyle w:val="FootnoteReference"/>
        </w:rPr>
        <w:footnoteRef/>
      </w:r>
      <w:r>
        <w:t xml:space="preserve"> </w:t>
      </w:r>
      <w:r w:rsidR="00C161E5">
        <w:t>Lifeline and Linkup</w:t>
      </w:r>
      <w:r>
        <w:t xml:space="preserve"> </w:t>
      </w:r>
      <w:r w:rsidR="00C161E5">
        <w:t xml:space="preserve">Reform and Modernization, 31 FCC Rcd. </w:t>
      </w:r>
      <w:r w:rsidR="005E644B">
        <w:t>3</w:t>
      </w:r>
      <w:r w:rsidR="00C161E5">
        <w:t>962, Para. 39 (2016).</w:t>
      </w:r>
    </w:p>
  </w:footnote>
  <w:footnote w:id="7">
    <w:p w:rsidR="00E947B9" w:rsidRPr="00965FA6" w:rsidRDefault="008653EF" w:rsidP="00E947B9">
      <w:pPr>
        <w:tabs>
          <w:tab w:val="center" w:pos="4680"/>
        </w:tabs>
        <w:suppressAutoHyphens/>
        <w:rPr>
          <w:spacing w:val="-2"/>
        </w:rPr>
      </w:pPr>
      <w:r>
        <w:rPr>
          <w:rStyle w:val="FootnoteReference"/>
        </w:rPr>
        <w:footnoteRef/>
      </w:r>
      <w:r>
        <w:t xml:space="preserve"> </w:t>
      </w:r>
      <w:r w:rsidR="00E947B9" w:rsidRPr="007213AF">
        <w:rPr>
          <w:sz w:val="20"/>
          <w:szCs w:val="20"/>
        </w:rPr>
        <w:t xml:space="preserve">Petition for Reconsideration filed by several petitioners on May 13, 2015 in </w:t>
      </w:r>
      <w:r w:rsidR="00E947B9" w:rsidRPr="007213AF">
        <w:rPr>
          <w:spacing w:val="-2"/>
          <w:sz w:val="20"/>
          <w:szCs w:val="20"/>
        </w:rPr>
        <w:t>GN Docket No. 14-28.</w:t>
      </w:r>
    </w:p>
    <w:p w:rsidR="008653EF" w:rsidRDefault="008653EF">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CE4" w:rsidRDefault="00257C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CE4" w:rsidRDefault="00257CE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CE4" w:rsidRDefault="00257C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C74CDC"/>
    <w:multiLevelType w:val="hybridMultilevel"/>
    <w:tmpl w:val="73D2DA38"/>
    <w:lvl w:ilvl="0" w:tplc="9118CA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B2F4110"/>
    <w:multiLevelType w:val="hybridMultilevel"/>
    <w:tmpl w:val="47062C44"/>
    <w:lvl w:ilvl="0" w:tplc="7C7030F6">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32064B9"/>
    <w:multiLevelType w:val="hybridMultilevel"/>
    <w:tmpl w:val="3140D2A6"/>
    <w:lvl w:ilvl="0" w:tplc="5D70079C">
      <w:start w:val="1"/>
      <w:numFmt w:val="upperLetter"/>
      <w:lvlText w:val="%1&gt;"/>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7280D08"/>
    <w:multiLevelType w:val="hybridMultilevel"/>
    <w:tmpl w:val="722224F6"/>
    <w:lvl w:ilvl="0" w:tplc="8CB6B6E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4CE"/>
    <w:rsid w:val="000031C4"/>
    <w:rsid w:val="00020B0A"/>
    <w:rsid w:val="0002666C"/>
    <w:rsid w:val="00083D78"/>
    <w:rsid w:val="0009097B"/>
    <w:rsid w:val="000A5A98"/>
    <w:rsid w:val="000A79BE"/>
    <w:rsid w:val="000B4A95"/>
    <w:rsid w:val="000B788A"/>
    <w:rsid w:val="000C4C2F"/>
    <w:rsid w:val="000F6852"/>
    <w:rsid w:val="0014181A"/>
    <w:rsid w:val="00164498"/>
    <w:rsid w:val="001A157F"/>
    <w:rsid w:val="001A6A78"/>
    <w:rsid w:val="001F2FC5"/>
    <w:rsid w:val="00244975"/>
    <w:rsid w:val="00257CE4"/>
    <w:rsid w:val="0028536E"/>
    <w:rsid w:val="002A0A88"/>
    <w:rsid w:val="003865C3"/>
    <w:rsid w:val="003A05B3"/>
    <w:rsid w:val="003B4EC3"/>
    <w:rsid w:val="003E0AE0"/>
    <w:rsid w:val="0040303B"/>
    <w:rsid w:val="00434DEF"/>
    <w:rsid w:val="004536E4"/>
    <w:rsid w:val="00484961"/>
    <w:rsid w:val="004E3F19"/>
    <w:rsid w:val="00566BA2"/>
    <w:rsid w:val="00597FE9"/>
    <w:rsid w:val="005D3DD3"/>
    <w:rsid w:val="005E644B"/>
    <w:rsid w:val="00670756"/>
    <w:rsid w:val="00696413"/>
    <w:rsid w:val="006B27F3"/>
    <w:rsid w:val="006C4787"/>
    <w:rsid w:val="007213AF"/>
    <w:rsid w:val="00737A20"/>
    <w:rsid w:val="007409F9"/>
    <w:rsid w:val="007735C1"/>
    <w:rsid w:val="007966B6"/>
    <w:rsid w:val="00835962"/>
    <w:rsid w:val="00844DFC"/>
    <w:rsid w:val="008653EF"/>
    <w:rsid w:val="00870D46"/>
    <w:rsid w:val="00895EBE"/>
    <w:rsid w:val="008E0AA4"/>
    <w:rsid w:val="008F7C80"/>
    <w:rsid w:val="00933EF3"/>
    <w:rsid w:val="0094365E"/>
    <w:rsid w:val="0095591A"/>
    <w:rsid w:val="00986240"/>
    <w:rsid w:val="009C42CA"/>
    <w:rsid w:val="009E7D1F"/>
    <w:rsid w:val="009F0708"/>
    <w:rsid w:val="00A10D0A"/>
    <w:rsid w:val="00A156F8"/>
    <w:rsid w:val="00B16C21"/>
    <w:rsid w:val="00C01DF8"/>
    <w:rsid w:val="00C05EE2"/>
    <w:rsid w:val="00C161E5"/>
    <w:rsid w:val="00C45D4E"/>
    <w:rsid w:val="00C57A25"/>
    <w:rsid w:val="00C90B16"/>
    <w:rsid w:val="00CC1048"/>
    <w:rsid w:val="00D42CCA"/>
    <w:rsid w:val="00D572D6"/>
    <w:rsid w:val="00E231E3"/>
    <w:rsid w:val="00E357B3"/>
    <w:rsid w:val="00E81F85"/>
    <w:rsid w:val="00E947B9"/>
    <w:rsid w:val="00EB369F"/>
    <w:rsid w:val="00EF6813"/>
    <w:rsid w:val="00F01459"/>
    <w:rsid w:val="00F32D78"/>
    <w:rsid w:val="00F5225C"/>
    <w:rsid w:val="00F614CE"/>
    <w:rsid w:val="00FC4ACF"/>
    <w:rsid w:val="00FD7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4AA23939-6D8C-4211-B748-1E6534443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B16"/>
    <w:pPr>
      <w:ind w:left="720"/>
      <w:contextualSpacing/>
    </w:pPr>
  </w:style>
  <w:style w:type="paragraph" w:styleId="Header">
    <w:name w:val="header"/>
    <w:basedOn w:val="Normal"/>
    <w:link w:val="HeaderChar"/>
    <w:uiPriority w:val="99"/>
    <w:unhideWhenUsed/>
    <w:rsid w:val="00B16C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6C21"/>
  </w:style>
  <w:style w:type="paragraph" w:styleId="Footer">
    <w:name w:val="footer"/>
    <w:basedOn w:val="Normal"/>
    <w:link w:val="FooterChar"/>
    <w:uiPriority w:val="99"/>
    <w:unhideWhenUsed/>
    <w:rsid w:val="00B16C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6C21"/>
  </w:style>
  <w:style w:type="paragraph" w:styleId="FootnoteText">
    <w:name w:val="footnote text"/>
    <w:basedOn w:val="Normal"/>
    <w:link w:val="FootnoteTextChar"/>
    <w:uiPriority w:val="99"/>
    <w:semiHidden/>
    <w:unhideWhenUsed/>
    <w:rsid w:val="00895E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5EBE"/>
    <w:rPr>
      <w:sz w:val="20"/>
      <w:szCs w:val="20"/>
    </w:rPr>
  </w:style>
  <w:style w:type="character" w:styleId="FootnoteReference">
    <w:name w:val="footnote reference"/>
    <w:basedOn w:val="DefaultParagraphFont"/>
    <w:uiPriority w:val="99"/>
    <w:semiHidden/>
    <w:unhideWhenUsed/>
    <w:rsid w:val="00895E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0BCE2-EC5C-4F91-9160-846D0D297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2552</TotalTime>
  <Pages>22</Pages>
  <Words>5649</Words>
  <Characters>30443</Characters>
  <Application>Microsoft Office Word</Application>
  <DocSecurity>0</DocSecurity>
  <PresentationFormat/>
  <Lines>518</Lines>
  <Paragraphs>109</Paragraphs>
  <ScaleCrop>false</ScaleCrop>
  <HeadingPairs>
    <vt:vector size="2" baseType="variant">
      <vt:variant>
        <vt:lpstr>Title</vt:lpstr>
      </vt:variant>
      <vt:variant>
        <vt:i4>1</vt:i4>
      </vt:variant>
    </vt:vector>
  </HeadingPairs>
  <TitlesOfParts>
    <vt:vector size="1" baseType="lpstr">
      <vt:lpstr>Net Neutrality Comments (01065194).DOCX</vt:lpstr>
    </vt:vector>
  </TitlesOfParts>
  <Company>Hewlett-Packard Company</Company>
  <LinksUpToDate>false</LinksUpToDate>
  <CharactersWithSpaces>36211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 Neutrality Comments (01065194).DOCX</dc:title>
  <dc:subject>01065194-1 /font=6</dc:subject>
  <dc:creator>Donald Evans</dc:creator>
  <cp:keywords/>
  <dc:description/>
  <cp:lastModifiedBy>Donald Evans</cp:lastModifiedBy>
  <cp:revision>27</cp:revision>
  <cp:lastPrinted>2017-07-14T16:45:00Z</cp:lastPrinted>
  <dcterms:created xsi:type="dcterms:W3CDTF">2017-07-03T19:13:00Z</dcterms:created>
  <dcterms:modified xsi:type="dcterms:W3CDTF">2017-07-17T13:44:00Z</dcterms:modified>
</cp:coreProperties>
</file>