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94D" w:rsidRPr="00F2694D" w:rsidRDefault="00495E6B" w:rsidP="001455D6">
      <w:pPr>
        <w:pStyle w:val="Title"/>
        <w:jc w:val="center"/>
      </w:pPr>
      <w:r>
        <w:rPr>
          <w:noProof/>
        </w:rPr>
        <w:drawing>
          <wp:inline distT="0" distB="0" distL="0" distR="0">
            <wp:extent cx="7314565" cy="1428750"/>
            <wp:effectExtent l="0" t="0" r="635" b="0"/>
            <wp:docPr id="1" name="Picture 1" descr="California Department of Education letterhead with official seal. Tony  Thurmond State Superintendent of Public Instruction 1430 N Street, Sacramento, CA 95814-5901, 916-319-0800, www.cde.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DE Letterhead_Thurmond-2.jpg"/>
                    <pic:cNvPicPr/>
                  </pic:nvPicPr>
                  <pic:blipFill>
                    <a:blip r:embed="rId8">
                      <a:extLst>
                        <a:ext uri="{28A0092B-C50C-407E-A947-70E740481C1C}">
                          <a14:useLocalDpi xmlns:a14="http://schemas.microsoft.com/office/drawing/2010/main" val="0"/>
                        </a:ext>
                      </a:extLst>
                    </a:blip>
                    <a:stretch>
                      <a:fillRect/>
                    </a:stretch>
                  </pic:blipFill>
                  <pic:spPr>
                    <a:xfrm>
                      <a:off x="0" y="0"/>
                      <a:ext cx="7316221" cy="1429073"/>
                    </a:xfrm>
                    <a:prstGeom prst="rect">
                      <a:avLst/>
                    </a:prstGeom>
                  </pic:spPr>
                </pic:pic>
              </a:graphicData>
            </a:graphic>
          </wp:inline>
        </w:drawing>
      </w:r>
    </w:p>
    <w:p w:rsidR="0018562B" w:rsidRPr="00EB27D6" w:rsidRDefault="009D2E0C" w:rsidP="00EB27D6">
      <w:pPr>
        <w:pStyle w:val="Header"/>
        <w:spacing w:after="960"/>
        <w:jc w:val="center"/>
      </w:pPr>
      <w:r>
        <w:t>July 2</w:t>
      </w:r>
      <w:r w:rsidR="00FC72EC">
        <w:t>5</w:t>
      </w:r>
      <w:r w:rsidR="00EC53AC" w:rsidRPr="00EB27D6">
        <w:t>, 2019</w:t>
      </w:r>
    </w:p>
    <w:p w:rsidR="0018562B" w:rsidRDefault="008E7019" w:rsidP="0018562B">
      <w:pPr>
        <w:spacing w:after="0" w:line="240" w:lineRule="auto"/>
      </w:pPr>
      <w:r>
        <w:t>Commission’s Secretary</w:t>
      </w:r>
    </w:p>
    <w:p w:rsidR="008E7019" w:rsidRPr="00EB27D6" w:rsidRDefault="008E7019" w:rsidP="0018562B">
      <w:pPr>
        <w:spacing w:after="0" w:line="240" w:lineRule="auto"/>
      </w:pPr>
      <w:r>
        <w:t>Office of the Secretary</w:t>
      </w:r>
    </w:p>
    <w:p w:rsidR="00643321" w:rsidRDefault="00FC72EC" w:rsidP="0018562B">
      <w:pPr>
        <w:spacing w:after="0" w:line="240" w:lineRule="auto"/>
      </w:pPr>
      <w:r>
        <w:t>Federal Communications Commission</w:t>
      </w:r>
    </w:p>
    <w:p w:rsidR="008E7019" w:rsidRDefault="008E7019" w:rsidP="0018562B">
      <w:pPr>
        <w:spacing w:after="0" w:line="240" w:lineRule="auto"/>
      </w:pPr>
      <w:r>
        <w:t>445 12</w:t>
      </w:r>
      <w:r w:rsidRPr="008E7019">
        <w:rPr>
          <w:vertAlign w:val="superscript"/>
        </w:rPr>
        <w:t>th</w:t>
      </w:r>
      <w:r>
        <w:t xml:space="preserve"> Street, SW</w:t>
      </w:r>
    </w:p>
    <w:p w:rsidR="00FC72EC" w:rsidRPr="00EB27D6" w:rsidRDefault="00FC72EC" w:rsidP="0018562B">
      <w:pPr>
        <w:spacing w:after="0" w:line="240" w:lineRule="auto"/>
      </w:pPr>
      <w:r>
        <w:t>Washington, D.C. 20554</w:t>
      </w:r>
    </w:p>
    <w:p w:rsidR="00FC72EC" w:rsidRDefault="00FC72EC" w:rsidP="0018562B">
      <w:pPr>
        <w:spacing w:after="240" w:line="240" w:lineRule="auto"/>
      </w:pPr>
    </w:p>
    <w:p w:rsidR="0018562B" w:rsidRPr="00EB27D6" w:rsidRDefault="0018562B" w:rsidP="0018562B">
      <w:pPr>
        <w:spacing w:after="240" w:line="240" w:lineRule="auto"/>
      </w:pPr>
      <w:r w:rsidRPr="00EB27D6">
        <w:t xml:space="preserve">Dear </w:t>
      </w:r>
      <w:r w:rsidR="008E7019">
        <w:t>Federal Communications Commission</w:t>
      </w:r>
      <w:bookmarkStart w:id="0" w:name="_GoBack"/>
      <w:bookmarkEnd w:id="0"/>
      <w:r w:rsidRPr="00EB27D6">
        <w:t>:</w:t>
      </w:r>
    </w:p>
    <w:p w:rsidR="00375B91" w:rsidRDefault="00375B91" w:rsidP="00DE38C0">
      <w:pPr>
        <w:spacing w:after="0" w:line="240" w:lineRule="auto"/>
        <w:rPr>
          <w:rFonts w:eastAsia="Times"/>
        </w:rPr>
      </w:pPr>
      <w:r>
        <w:rPr>
          <w:rFonts w:eastAsia="Times"/>
        </w:rPr>
        <w:t xml:space="preserve">Subject: </w:t>
      </w:r>
      <w:r w:rsidR="00DE38C0">
        <w:rPr>
          <w:rFonts w:eastAsia="Times"/>
        </w:rPr>
        <w:t xml:space="preserve">Notice of Proposed Rulemaking: </w:t>
      </w:r>
      <w:r w:rsidR="00FC72EC">
        <w:rPr>
          <w:rFonts w:eastAsia="Times"/>
        </w:rPr>
        <w:t xml:space="preserve">WC Docket No. 06-122, </w:t>
      </w:r>
      <w:r w:rsidR="008E7019">
        <w:rPr>
          <w:rFonts w:eastAsia="Times"/>
        </w:rPr>
        <w:t xml:space="preserve">FCC 19-46, </w:t>
      </w:r>
      <w:r w:rsidR="00DE38C0">
        <w:rPr>
          <w:rFonts w:eastAsia="Times"/>
        </w:rPr>
        <w:t>Universal Serv</w:t>
      </w:r>
      <w:r w:rsidR="00FC72EC">
        <w:rPr>
          <w:rFonts w:eastAsia="Times"/>
        </w:rPr>
        <w:t>ic</w:t>
      </w:r>
      <w:r w:rsidR="00DE38C0">
        <w:rPr>
          <w:rFonts w:eastAsia="Times"/>
        </w:rPr>
        <w:t>e Contribution Methodology</w:t>
      </w:r>
    </w:p>
    <w:p w:rsidR="00DE38C0" w:rsidRDefault="00DE38C0" w:rsidP="00DE38C0">
      <w:pPr>
        <w:spacing w:after="0" w:line="240" w:lineRule="auto"/>
        <w:rPr>
          <w:rFonts w:eastAsia="Times"/>
        </w:rPr>
      </w:pPr>
    </w:p>
    <w:p w:rsidR="00DE38C0" w:rsidRDefault="00DE38C0" w:rsidP="00DE38C0">
      <w:pPr>
        <w:spacing w:after="0" w:line="240" w:lineRule="auto"/>
        <w:rPr>
          <w:rFonts w:eastAsia="Times"/>
        </w:rPr>
      </w:pPr>
    </w:p>
    <w:p w:rsidR="00DE38C0" w:rsidRPr="00DE38C0" w:rsidRDefault="00DE38C0" w:rsidP="00DE38C0">
      <w:pPr>
        <w:spacing w:after="0" w:line="240" w:lineRule="auto"/>
        <w:jc w:val="center"/>
        <w:rPr>
          <w:rFonts w:eastAsia="Times"/>
          <w:b/>
        </w:rPr>
      </w:pPr>
      <w:r w:rsidRPr="00DE38C0">
        <w:rPr>
          <w:rFonts w:eastAsia="Times"/>
          <w:b/>
        </w:rPr>
        <w:t>COMMENTS OF THE CALIFORNIA DEPARTMENT OF EDUCATION OPPOSING PROPOSED UNIVERSAL SERVICE FUND CAP CHANGES</w:t>
      </w:r>
    </w:p>
    <w:p w:rsidR="00DE38C0" w:rsidRDefault="00DE38C0" w:rsidP="00DE38C0">
      <w:pPr>
        <w:spacing w:after="0" w:line="240" w:lineRule="auto"/>
        <w:rPr>
          <w:rFonts w:eastAsia="Times"/>
        </w:rPr>
      </w:pPr>
    </w:p>
    <w:p w:rsidR="00DE38C0" w:rsidRDefault="00DE38C0" w:rsidP="00DE38C0">
      <w:pPr>
        <w:spacing w:after="0" w:line="240" w:lineRule="auto"/>
        <w:rPr>
          <w:rFonts w:eastAsia="Times"/>
        </w:rPr>
      </w:pPr>
      <w:r w:rsidRPr="00DE38C0">
        <w:rPr>
          <w:rFonts w:eastAsia="Times"/>
        </w:rPr>
        <w:t xml:space="preserve">The State of California serves over 6.2 </w:t>
      </w:r>
      <w:r>
        <w:rPr>
          <w:rFonts w:eastAsia="Times"/>
        </w:rPr>
        <w:t>million</w:t>
      </w:r>
      <w:r w:rsidRPr="00DE38C0">
        <w:rPr>
          <w:rFonts w:eastAsia="Times"/>
        </w:rPr>
        <w:t xml:space="preserve"> students in over 11,000 public schools. The California Department of Education (CDE) provides support and leadership to over 1,100 school districts, with 28</w:t>
      </w:r>
      <w:r>
        <w:rPr>
          <w:rFonts w:eastAsia="Times"/>
        </w:rPr>
        <w:t xml:space="preserve"> percent</w:t>
      </w:r>
      <w:r w:rsidRPr="00DE38C0">
        <w:rPr>
          <w:rFonts w:eastAsia="Times"/>
        </w:rPr>
        <w:t xml:space="preserve"> small schools or schools in rural areas. The CDE opposes the Federal Communications Commission’s (FCC) proposal to establish a single spending cap over the four unique Universal Service Fund (USF) programs and to merge the </w:t>
      </w:r>
      <w:r w:rsidR="00FC72EC">
        <w:rPr>
          <w:rFonts w:eastAsia="Times"/>
        </w:rPr>
        <w:t>E-Rate</w:t>
      </w:r>
      <w:r w:rsidRPr="00DE38C0">
        <w:rPr>
          <w:rFonts w:eastAsia="Times"/>
        </w:rPr>
        <w:t xml:space="preserve"> and Rural Health Care program caps. These proposed administrative changes </w:t>
      </w:r>
      <w:r w:rsidR="00890CEB">
        <w:rPr>
          <w:rFonts w:eastAsia="Times"/>
        </w:rPr>
        <w:t xml:space="preserve">conflict with the underlying </w:t>
      </w:r>
      <w:r w:rsidR="00737BE5">
        <w:rPr>
          <w:rFonts w:eastAsia="Times"/>
        </w:rPr>
        <w:t xml:space="preserve">federal </w:t>
      </w:r>
      <w:r w:rsidR="00890CEB">
        <w:rPr>
          <w:rFonts w:eastAsia="Times"/>
        </w:rPr>
        <w:t xml:space="preserve">statutes and violate </w:t>
      </w:r>
      <w:r w:rsidR="00890CEB">
        <w:t xml:space="preserve">House Amendment 483 to H.R. 3551.  </w:t>
      </w:r>
      <w:proofErr w:type="spellStart"/>
      <w:r w:rsidR="00890CEB">
        <w:t>Morevover</w:t>
      </w:r>
      <w:proofErr w:type="spellEnd"/>
      <w:r w:rsidR="00890CEB">
        <w:t xml:space="preserve">, the proposed administrative changes </w:t>
      </w:r>
      <w:r w:rsidRPr="00DE38C0">
        <w:rPr>
          <w:rFonts w:eastAsia="Times"/>
        </w:rPr>
        <w:t xml:space="preserve">will not facilitate greater broadband access, promote operational efficiencies, or otherwise serve the public interest.  </w:t>
      </w:r>
    </w:p>
    <w:p w:rsidR="00DE38C0" w:rsidRPr="00DE38C0" w:rsidRDefault="00DE38C0" w:rsidP="00DE38C0">
      <w:pPr>
        <w:spacing w:after="0" w:line="240" w:lineRule="auto"/>
        <w:ind w:firstLine="720"/>
        <w:rPr>
          <w:rFonts w:eastAsia="Times"/>
        </w:rPr>
      </w:pPr>
    </w:p>
    <w:p w:rsidR="00DE38C0" w:rsidRDefault="00DE38C0" w:rsidP="00DE38C0">
      <w:pPr>
        <w:spacing w:after="0" w:line="240" w:lineRule="auto"/>
        <w:rPr>
          <w:rFonts w:eastAsia="Times"/>
        </w:rPr>
      </w:pPr>
      <w:r w:rsidRPr="00DE38C0">
        <w:rPr>
          <w:rFonts w:eastAsia="Times"/>
        </w:rPr>
        <w:t>California Department of Education staff support</w:t>
      </w:r>
      <w:r>
        <w:rPr>
          <w:rFonts w:eastAsia="Times"/>
        </w:rPr>
        <w:t>s</w:t>
      </w:r>
      <w:r w:rsidRPr="00DE38C0">
        <w:rPr>
          <w:rFonts w:eastAsia="Times"/>
        </w:rPr>
        <w:t xml:space="preserve"> school districts that are working to promote equitable access to digital learning, including encouraging local and regional efforts to expand school and home access to high capacity broadband. The CDE works to provide advice and support to local education leaders, policymakers, and network staff to help them deliver seamless digital learning experiences to their students at school and at home. This support includes helping school districts take full advantage of the vitally important USF </w:t>
      </w:r>
      <w:r w:rsidRPr="00DE38C0">
        <w:rPr>
          <w:rFonts w:eastAsia="Times"/>
          <w:i/>
        </w:rPr>
        <w:t>Schools and Libraries Program</w:t>
      </w:r>
      <w:r w:rsidRPr="00DE38C0">
        <w:rPr>
          <w:rFonts w:eastAsia="Times"/>
        </w:rPr>
        <w:t xml:space="preserve"> (</w:t>
      </w:r>
      <w:r w:rsidR="00FC72EC">
        <w:rPr>
          <w:rFonts w:eastAsia="Times"/>
        </w:rPr>
        <w:t>E-Rate</w:t>
      </w:r>
      <w:r w:rsidRPr="00DE38C0">
        <w:rPr>
          <w:rFonts w:eastAsia="Times"/>
        </w:rPr>
        <w:t>) for delivering the high capacity broadband access required for contemporary teaching and learning.</w:t>
      </w:r>
      <w:r w:rsidRPr="00DE38C0">
        <w:rPr>
          <w:rFonts w:eastAsia="Times"/>
          <w:vertAlign w:val="superscript"/>
        </w:rPr>
        <w:footnoteReference w:id="1"/>
      </w:r>
      <w:r w:rsidRPr="00DE38C0">
        <w:rPr>
          <w:rFonts w:eastAsia="Times"/>
        </w:rPr>
        <w:t xml:space="preserve"> </w:t>
      </w:r>
    </w:p>
    <w:p w:rsidR="00DE38C0" w:rsidRPr="00DE38C0" w:rsidRDefault="00DE38C0" w:rsidP="00DE38C0">
      <w:pPr>
        <w:spacing w:after="0" w:line="240" w:lineRule="auto"/>
        <w:ind w:firstLine="720"/>
        <w:rPr>
          <w:rFonts w:eastAsia="Times"/>
        </w:rPr>
      </w:pPr>
    </w:p>
    <w:p w:rsidR="00DE38C0" w:rsidRDefault="00DE38C0" w:rsidP="00DE38C0">
      <w:pPr>
        <w:spacing w:after="0" w:line="240" w:lineRule="auto"/>
        <w:rPr>
          <w:rFonts w:eastAsia="Times"/>
        </w:rPr>
      </w:pPr>
      <w:r w:rsidRPr="00DE38C0">
        <w:rPr>
          <w:rFonts w:eastAsia="Times"/>
        </w:rPr>
        <w:t xml:space="preserve">Since 2014, the State of California has allocated over $60 </w:t>
      </w:r>
      <w:r>
        <w:rPr>
          <w:rFonts w:eastAsia="Times"/>
        </w:rPr>
        <w:t>million</w:t>
      </w:r>
      <w:r w:rsidRPr="00DE38C0">
        <w:rPr>
          <w:rFonts w:eastAsia="Times"/>
        </w:rPr>
        <w:t xml:space="preserve"> to upgrade broadband connections for the last hard to reach schools across the state. While utilizing almost $25 </w:t>
      </w:r>
      <w:r>
        <w:rPr>
          <w:rFonts w:eastAsia="Times"/>
        </w:rPr>
        <w:t>million</w:t>
      </w:r>
      <w:r w:rsidRPr="00DE38C0">
        <w:rPr>
          <w:rFonts w:eastAsia="Times"/>
        </w:rPr>
        <w:t xml:space="preserve"> of </w:t>
      </w:r>
      <w:r w:rsidR="00FC72EC">
        <w:rPr>
          <w:rFonts w:eastAsia="Times"/>
        </w:rPr>
        <w:t>E-Rate</w:t>
      </w:r>
      <w:r w:rsidRPr="00DE38C0">
        <w:rPr>
          <w:rFonts w:eastAsia="Times"/>
        </w:rPr>
        <w:t xml:space="preserve"> also, over 400 schools are now connected to high speed broadband. However</w:t>
      </w:r>
      <w:r>
        <w:rPr>
          <w:rFonts w:eastAsia="Times"/>
        </w:rPr>
        <w:t>,</w:t>
      </w:r>
      <w:r w:rsidRPr="00DE38C0">
        <w:rPr>
          <w:rFonts w:eastAsia="Times"/>
        </w:rPr>
        <w:t xml:space="preserve"> the work is not yet complete. In July 2019, </w:t>
      </w:r>
      <w:r w:rsidR="00FC72EC">
        <w:rPr>
          <w:rFonts w:eastAsia="Times"/>
        </w:rPr>
        <w:t>California’s</w:t>
      </w:r>
      <w:r w:rsidRPr="00DE38C0">
        <w:rPr>
          <w:rFonts w:eastAsia="Times"/>
        </w:rPr>
        <w:t xml:space="preserve"> </w:t>
      </w:r>
      <w:r w:rsidR="00FC72EC">
        <w:rPr>
          <w:rFonts w:eastAsia="Times"/>
        </w:rPr>
        <w:t>g</w:t>
      </w:r>
      <w:r w:rsidRPr="00DE38C0">
        <w:rPr>
          <w:rFonts w:eastAsia="Times"/>
        </w:rPr>
        <w:t xml:space="preserve">overnor allocated an additional $7.5 </w:t>
      </w:r>
      <w:r>
        <w:rPr>
          <w:rFonts w:eastAsia="Times"/>
        </w:rPr>
        <w:t>million</w:t>
      </w:r>
      <w:r w:rsidRPr="00DE38C0">
        <w:rPr>
          <w:rFonts w:eastAsia="Times"/>
        </w:rPr>
        <w:t xml:space="preserve"> to bring fiber broadband connections to under/unconnected schools. These funds are conditional on the use of </w:t>
      </w:r>
      <w:r w:rsidR="00FC72EC">
        <w:rPr>
          <w:rFonts w:eastAsia="Times"/>
        </w:rPr>
        <w:t>E-Rate</w:t>
      </w:r>
      <w:r w:rsidRPr="00DE38C0">
        <w:rPr>
          <w:rFonts w:eastAsia="Times"/>
        </w:rPr>
        <w:t xml:space="preserve"> rebates.</w:t>
      </w:r>
    </w:p>
    <w:p w:rsidR="00DE38C0" w:rsidRPr="00DE38C0" w:rsidRDefault="00DE38C0" w:rsidP="00DE38C0">
      <w:pPr>
        <w:spacing w:after="0" w:line="240" w:lineRule="auto"/>
        <w:rPr>
          <w:rFonts w:eastAsia="Times"/>
        </w:rPr>
      </w:pPr>
    </w:p>
    <w:p w:rsidR="00DE38C0" w:rsidRPr="00DE38C0" w:rsidRDefault="00DE38C0" w:rsidP="00DE38C0">
      <w:pPr>
        <w:spacing w:after="0" w:line="240" w:lineRule="auto"/>
        <w:rPr>
          <w:rFonts w:eastAsia="Times"/>
        </w:rPr>
      </w:pPr>
      <w:r w:rsidRPr="00DE38C0">
        <w:rPr>
          <w:rFonts w:eastAsia="Times"/>
        </w:rPr>
        <w:t xml:space="preserve">Sufficient </w:t>
      </w:r>
      <w:r w:rsidR="00FC72EC">
        <w:rPr>
          <w:rFonts w:eastAsia="Times"/>
        </w:rPr>
        <w:t>E-Rate</w:t>
      </w:r>
      <w:r w:rsidRPr="00DE38C0">
        <w:rPr>
          <w:rFonts w:eastAsia="Times"/>
        </w:rPr>
        <w:t xml:space="preserve"> funding must be available to help school districts address remaining broadband shortfalls. For this reason, and the reasons described below, the CDE strongly encourages the FCC to forgo establishing an aggregate cap on the Universal Service Fund’s four programs and not merge the existing program-level caps for the </w:t>
      </w:r>
      <w:r w:rsidR="00FC72EC">
        <w:rPr>
          <w:rFonts w:eastAsia="Times"/>
        </w:rPr>
        <w:t>E-Rate</w:t>
      </w:r>
      <w:r w:rsidRPr="00DE38C0">
        <w:rPr>
          <w:rFonts w:eastAsia="Times"/>
        </w:rPr>
        <w:t xml:space="preserve"> and Rural Health Care programs as proposed by the above captioned proceeding.</w:t>
      </w:r>
      <w:r w:rsidRPr="00DE38C0">
        <w:rPr>
          <w:rFonts w:eastAsia="Times"/>
          <w:vertAlign w:val="superscript"/>
        </w:rPr>
        <w:footnoteReference w:id="2"/>
      </w:r>
      <w:r w:rsidRPr="00DE38C0">
        <w:rPr>
          <w:rFonts w:eastAsia="Times"/>
          <w:vertAlign w:val="superscript"/>
        </w:rPr>
        <w:t xml:space="preserve"> </w:t>
      </w:r>
    </w:p>
    <w:p w:rsidR="00DE38C0" w:rsidRDefault="00DE38C0" w:rsidP="00DE38C0">
      <w:pPr>
        <w:spacing w:after="0" w:line="240" w:lineRule="auto"/>
        <w:rPr>
          <w:rFonts w:eastAsia="Times"/>
          <w:b/>
        </w:rPr>
      </w:pPr>
    </w:p>
    <w:p w:rsidR="00DE38C0" w:rsidRPr="00DE38C0" w:rsidRDefault="00DE38C0" w:rsidP="00DE38C0">
      <w:pPr>
        <w:spacing w:after="0" w:line="240" w:lineRule="auto"/>
        <w:rPr>
          <w:rFonts w:eastAsia="Times"/>
          <w:b/>
        </w:rPr>
      </w:pPr>
    </w:p>
    <w:p w:rsidR="00DE38C0" w:rsidRPr="00DE38C0" w:rsidRDefault="00DE38C0" w:rsidP="00DE38C0">
      <w:pPr>
        <w:spacing w:after="0" w:line="240" w:lineRule="auto"/>
        <w:rPr>
          <w:rFonts w:eastAsia="Times"/>
          <w:b/>
        </w:rPr>
      </w:pPr>
      <w:r w:rsidRPr="00DE38C0">
        <w:rPr>
          <w:rFonts w:eastAsia="Times"/>
          <w:b/>
        </w:rPr>
        <w:t>CONGRESS ESTABLISHED DISTINCT USF PROGRAMS FOR A PURPOSE AND ESTABLISHING A SINGLE USF CAP WOULD FRUSTRATE CONGRESS’S INTENT</w:t>
      </w:r>
    </w:p>
    <w:p w:rsidR="00DE38C0" w:rsidRPr="00DE38C0" w:rsidRDefault="00DE38C0" w:rsidP="00DE38C0">
      <w:pPr>
        <w:spacing w:after="0" w:line="240" w:lineRule="auto"/>
        <w:rPr>
          <w:rFonts w:eastAsia="Times"/>
        </w:rPr>
      </w:pPr>
    </w:p>
    <w:p w:rsidR="00737BE5" w:rsidRDefault="00DE38C0" w:rsidP="00737BE5">
      <w:pPr>
        <w:spacing w:after="0" w:line="240" w:lineRule="auto"/>
        <w:rPr>
          <w:rFonts w:eastAsia="Times"/>
        </w:rPr>
      </w:pPr>
      <w:r w:rsidRPr="00DE38C0">
        <w:rPr>
          <w:rFonts w:eastAsia="Times"/>
        </w:rPr>
        <w:t xml:space="preserve">The Commission’s proposal in this rulemaking </w:t>
      </w:r>
      <w:r w:rsidR="00737BE5">
        <w:rPr>
          <w:rFonts w:eastAsia="Times"/>
        </w:rPr>
        <w:t>exceeds the Commission’s</w:t>
      </w:r>
      <w:r w:rsidR="00543BCC">
        <w:rPr>
          <w:rFonts w:eastAsia="Times"/>
        </w:rPr>
        <w:t xml:space="preserve"> regulatory</w:t>
      </w:r>
      <w:r w:rsidR="00737BE5">
        <w:rPr>
          <w:rFonts w:eastAsia="Times"/>
        </w:rPr>
        <w:t xml:space="preserve"> authority as it conflicts with underlying statutes providing </w:t>
      </w:r>
      <w:r w:rsidRPr="00DE38C0">
        <w:rPr>
          <w:rFonts w:eastAsia="Times"/>
        </w:rPr>
        <w:t>that “specific, predictable and sufficient” support is needed for each of the USF programs. Establishing an aggregate USF cap and a statutorily-baseless system for measuring the relative value of the four USF programs would frustrate Congress’s intent and the programs’ vitally important and unique high-need consumer focus areas.</w:t>
      </w:r>
      <w:r w:rsidR="00737BE5" w:rsidRPr="00737BE5">
        <w:t xml:space="preserve"> </w:t>
      </w:r>
      <w:r w:rsidR="00737BE5">
        <w:t xml:space="preserve"> </w:t>
      </w:r>
      <w:r w:rsidR="002C496A">
        <w:t xml:space="preserve">Moreover, </w:t>
      </w:r>
      <w:r w:rsidR="00737BE5">
        <w:t>on June 25, 2019, the US House of Representatives unanimously adopted House Amendment 483 to H.R. 3551, the FY2020 Appropriations Act prohibiting the implementation of any rule that would effectively impose a cap on the USF or place USF programs under a shared cap.</w:t>
      </w:r>
    </w:p>
    <w:p w:rsidR="00DE38C0" w:rsidRDefault="00DE38C0" w:rsidP="00DE38C0">
      <w:pPr>
        <w:spacing w:after="0" w:line="240" w:lineRule="auto"/>
        <w:rPr>
          <w:rFonts w:eastAsia="Times"/>
        </w:rPr>
      </w:pPr>
    </w:p>
    <w:p w:rsidR="00DE38C0" w:rsidRPr="00DE38C0" w:rsidRDefault="003B566A" w:rsidP="00DE38C0">
      <w:pPr>
        <w:spacing w:after="0" w:line="240" w:lineRule="auto"/>
        <w:rPr>
          <w:rFonts w:eastAsia="Times"/>
        </w:rPr>
      </w:pPr>
      <w:r>
        <w:rPr>
          <w:rFonts w:eastAsia="Times"/>
        </w:rPr>
        <w:t xml:space="preserve">If the Commission truly desired to consolidate programs without violating Congressional intent, it could </w:t>
      </w:r>
      <w:r w:rsidR="00193591">
        <w:rPr>
          <w:rFonts w:eastAsia="Times"/>
        </w:rPr>
        <w:t xml:space="preserve">simply </w:t>
      </w:r>
      <w:r>
        <w:rPr>
          <w:rFonts w:eastAsia="Times"/>
        </w:rPr>
        <w:t xml:space="preserve">revise the rules to allow for the </w:t>
      </w:r>
      <w:r w:rsidR="00193591">
        <w:rPr>
          <w:rFonts w:eastAsia="Times"/>
        </w:rPr>
        <w:t xml:space="preserve">coordinated </w:t>
      </w:r>
      <w:r>
        <w:rPr>
          <w:rFonts w:eastAsia="Times"/>
        </w:rPr>
        <w:t>allocation of costs between the various projects and programs.</w:t>
      </w:r>
    </w:p>
    <w:p w:rsidR="00DE38C0" w:rsidRDefault="00DE38C0" w:rsidP="00DE38C0">
      <w:pPr>
        <w:spacing w:after="0" w:line="240" w:lineRule="auto"/>
        <w:rPr>
          <w:rFonts w:eastAsia="Times"/>
          <w:b/>
        </w:rPr>
      </w:pPr>
    </w:p>
    <w:p w:rsidR="00DE38C0" w:rsidRDefault="00DE38C0" w:rsidP="00DE38C0">
      <w:pPr>
        <w:spacing w:after="0" w:line="240" w:lineRule="auto"/>
        <w:rPr>
          <w:rFonts w:eastAsia="Times"/>
          <w:b/>
        </w:rPr>
      </w:pPr>
    </w:p>
    <w:p w:rsidR="00DE38C0" w:rsidRPr="00DE38C0" w:rsidRDefault="00DE38C0" w:rsidP="00DE38C0">
      <w:pPr>
        <w:spacing w:after="0" w:line="240" w:lineRule="auto"/>
        <w:rPr>
          <w:rFonts w:eastAsia="Times"/>
          <w:b/>
        </w:rPr>
      </w:pPr>
      <w:r w:rsidRPr="00DE38C0">
        <w:rPr>
          <w:rFonts w:eastAsia="Times"/>
          <w:b/>
        </w:rPr>
        <w:t xml:space="preserve">COMBINING THE </w:t>
      </w:r>
      <w:r w:rsidR="00FC72EC">
        <w:rPr>
          <w:rFonts w:eastAsia="Times"/>
          <w:b/>
        </w:rPr>
        <w:t>E-RATE</w:t>
      </w:r>
      <w:r w:rsidRPr="00DE38C0">
        <w:rPr>
          <w:rFonts w:eastAsia="Times"/>
          <w:b/>
        </w:rPr>
        <w:t xml:space="preserve"> AND RURAL HEALTH CARE PROGRAM CAPS COULD SLOW SCHOOLS’ PROGRESS TOWARD THE MODERNIZATION ORDER’S CONNECTIVITY GOALS </w:t>
      </w:r>
    </w:p>
    <w:p w:rsidR="00DE38C0" w:rsidRPr="00DE38C0" w:rsidRDefault="00DE38C0" w:rsidP="00DE38C0">
      <w:pPr>
        <w:spacing w:after="0" w:line="240" w:lineRule="auto"/>
        <w:rPr>
          <w:rFonts w:eastAsia="Times"/>
          <w:b/>
        </w:rPr>
      </w:pPr>
    </w:p>
    <w:p w:rsidR="00DE38C0" w:rsidRPr="00DE38C0" w:rsidRDefault="00DE38C0" w:rsidP="00DE38C0">
      <w:pPr>
        <w:spacing w:after="0" w:line="240" w:lineRule="auto"/>
        <w:rPr>
          <w:rFonts w:eastAsia="Times"/>
        </w:rPr>
      </w:pPr>
      <w:r w:rsidRPr="00DE38C0">
        <w:rPr>
          <w:rFonts w:eastAsia="Times"/>
        </w:rPr>
        <w:t xml:space="preserve">The FCC’S proposal to establish a single budgetary cap for the </w:t>
      </w:r>
      <w:r w:rsidR="00FC72EC">
        <w:rPr>
          <w:rFonts w:eastAsia="Times"/>
        </w:rPr>
        <w:t>E-Rate</w:t>
      </w:r>
      <w:r w:rsidRPr="00DE38C0">
        <w:rPr>
          <w:rFonts w:eastAsia="Times"/>
        </w:rPr>
        <w:t xml:space="preserve"> and Rural Health Care programs could divert needed broadband resources away from students. Sharing resources between these two unique programs could result in less available </w:t>
      </w:r>
      <w:r w:rsidR="00FC72EC">
        <w:rPr>
          <w:rFonts w:eastAsia="Times"/>
        </w:rPr>
        <w:t>E-</w:t>
      </w:r>
      <w:r w:rsidR="00FC72EC">
        <w:rPr>
          <w:rFonts w:eastAsia="Times"/>
        </w:rPr>
        <w:lastRenderedPageBreak/>
        <w:t>Rate</w:t>
      </w:r>
      <w:r w:rsidRPr="00DE38C0">
        <w:rPr>
          <w:rFonts w:eastAsia="Times"/>
        </w:rPr>
        <w:t xml:space="preserve"> funding during a</w:t>
      </w:r>
      <w:r w:rsidR="00213289">
        <w:rPr>
          <w:rFonts w:eastAsia="Times"/>
        </w:rPr>
        <w:t xml:space="preserve">ny </w:t>
      </w:r>
      <w:r w:rsidRPr="00DE38C0">
        <w:rPr>
          <w:rFonts w:eastAsia="Times"/>
        </w:rPr>
        <w:t>funding year</w:t>
      </w:r>
      <w:r w:rsidR="00213289">
        <w:rPr>
          <w:rFonts w:eastAsia="Times"/>
        </w:rPr>
        <w:t xml:space="preserve">. The threat of money diversion is real because the </w:t>
      </w:r>
      <w:r w:rsidRPr="00DE38C0">
        <w:rPr>
          <w:rFonts w:eastAsia="Times"/>
        </w:rPr>
        <w:t>Rural Health Care Program demand has “risen over the past three years with a sharp increase in demand in FY2017…”</w:t>
      </w:r>
      <w:r w:rsidRPr="00DE38C0">
        <w:rPr>
          <w:rFonts w:eastAsia="Times"/>
          <w:vertAlign w:val="superscript"/>
        </w:rPr>
        <w:footnoteReference w:id="3"/>
      </w:r>
      <w:r w:rsidRPr="00DE38C0">
        <w:rPr>
          <w:rFonts w:eastAsia="Times"/>
        </w:rPr>
        <w:t xml:space="preserve"> Although </w:t>
      </w:r>
      <w:r w:rsidR="00FC72EC">
        <w:rPr>
          <w:rFonts w:eastAsia="Times"/>
        </w:rPr>
        <w:t>E-Rate</w:t>
      </w:r>
      <w:r w:rsidRPr="00DE38C0">
        <w:rPr>
          <w:rFonts w:eastAsia="Times"/>
        </w:rPr>
        <w:t xml:space="preserve"> demand did not meet the program’s cap in the most recent funding year, </w:t>
      </w:r>
      <w:r w:rsidR="002C496A">
        <w:rPr>
          <w:rFonts w:eastAsia="Times"/>
        </w:rPr>
        <w:t xml:space="preserve">it was not because schools’ broadband needs have reduced.  Rather, </w:t>
      </w:r>
      <w:r w:rsidR="00193591">
        <w:rPr>
          <w:rFonts w:eastAsia="Times"/>
        </w:rPr>
        <w:t xml:space="preserve">they have shifted from Category one to Category two, but </w:t>
      </w:r>
      <w:r w:rsidR="002C496A">
        <w:rPr>
          <w:rFonts w:eastAsia="Times"/>
        </w:rPr>
        <w:t xml:space="preserve">the per pupil limitations on Category two funding for internal connections at schools is prohibitive.  </w:t>
      </w:r>
      <w:r w:rsidR="00193591">
        <w:rPr>
          <w:rFonts w:eastAsia="Times"/>
        </w:rPr>
        <w:t>The CDE believes that if the Category two limi</w:t>
      </w:r>
      <w:r w:rsidR="00BF079D">
        <w:rPr>
          <w:rFonts w:eastAsia="Times"/>
        </w:rPr>
        <w:t>t</w:t>
      </w:r>
      <w:r w:rsidR="00193591">
        <w:rPr>
          <w:rFonts w:eastAsia="Times"/>
        </w:rPr>
        <w:t xml:space="preserve">ations </w:t>
      </w:r>
      <w:r w:rsidR="002C496A">
        <w:rPr>
          <w:rFonts w:eastAsia="Times"/>
        </w:rPr>
        <w:t>were eased</w:t>
      </w:r>
      <w:r w:rsidR="00193591">
        <w:rPr>
          <w:rFonts w:eastAsia="Times"/>
        </w:rPr>
        <w:t xml:space="preserve"> and per pupil funding increased</w:t>
      </w:r>
      <w:r w:rsidR="002C496A">
        <w:rPr>
          <w:rFonts w:eastAsia="Times"/>
        </w:rPr>
        <w:t xml:space="preserve">, the cap </w:t>
      </w:r>
      <w:r w:rsidR="00193591">
        <w:rPr>
          <w:rFonts w:eastAsia="Times"/>
        </w:rPr>
        <w:t>w</w:t>
      </w:r>
      <w:r w:rsidR="002C496A">
        <w:rPr>
          <w:rFonts w:eastAsia="Times"/>
        </w:rPr>
        <w:t xml:space="preserve">ould be easily </w:t>
      </w:r>
      <w:r w:rsidR="00193591">
        <w:rPr>
          <w:rFonts w:eastAsia="Times"/>
        </w:rPr>
        <w:t>reached</w:t>
      </w:r>
      <w:r w:rsidR="002C496A">
        <w:rPr>
          <w:rFonts w:eastAsia="Times"/>
        </w:rPr>
        <w:t>.</w:t>
      </w:r>
    </w:p>
    <w:p w:rsidR="00DE38C0" w:rsidRDefault="00DE38C0" w:rsidP="00DE38C0">
      <w:pPr>
        <w:spacing w:after="0" w:line="240" w:lineRule="auto"/>
        <w:rPr>
          <w:rFonts w:eastAsia="Times"/>
          <w:b/>
        </w:rPr>
      </w:pPr>
    </w:p>
    <w:p w:rsidR="00DE38C0" w:rsidRDefault="00DE38C0" w:rsidP="00DE38C0">
      <w:pPr>
        <w:spacing w:after="0" w:line="240" w:lineRule="auto"/>
        <w:rPr>
          <w:rFonts w:eastAsia="Times"/>
          <w:b/>
        </w:rPr>
      </w:pPr>
    </w:p>
    <w:p w:rsidR="00DE38C0" w:rsidRPr="00DE38C0" w:rsidRDefault="00DE38C0" w:rsidP="00DE38C0">
      <w:pPr>
        <w:spacing w:after="0" w:line="240" w:lineRule="auto"/>
        <w:rPr>
          <w:rFonts w:eastAsia="Times"/>
          <w:b/>
        </w:rPr>
      </w:pPr>
      <w:r w:rsidRPr="00DE38C0">
        <w:rPr>
          <w:rFonts w:eastAsia="Times"/>
          <w:b/>
        </w:rPr>
        <w:t xml:space="preserve">CONCLUSION </w:t>
      </w:r>
    </w:p>
    <w:p w:rsidR="00DE38C0" w:rsidRDefault="00DE38C0" w:rsidP="00DE38C0">
      <w:pPr>
        <w:spacing w:after="0" w:line="240" w:lineRule="auto"/>
        <w:rPr>
          <w:rFonts w:eastAsia="Times"/>
        </w:rPr>
      </w:pPr>
    </w:p>
    <w:p w:rsidR="00DE38C0" w:rsidRPr="00DE38C0" w:rsidRDefault="00DE38C0" w:rsidP="00DE38C0">
      <w:pPr>
        <w:spacing w:after="0" w:line="240" w:lineRule="auto"/>
        <w:rPr>
          <w:rFonts w:eastAsia="Times"/>
        </w:rPr>
      </w:pPr>
      <w:r w:rsidRPr="00DE38C0">
        <w:rPr>
          <w:rFonts w:eastAsia="Times"/>
        </w:rPr>
        <w:t xml:space="preserve">The CDE appreciates the significant efforts on behalf the FCC to modernize </w:t>
      </w:r>
      <w:r w:rsidR="00FC72EC">
        <w:rPr>
          <w:rFonts w:eastAsia="Times"/>
        </w:rPr>
        <w:t>E-Rate</w:t>
      </w:r>
      <w:r w:rsidRPr="00DE38C0">
        <w:rPr>
          <w:rFonts w:eastAsia="Times"/>
        </w:rPr>
        <w:t xml:space="preserve"> and support schools. </w:t>
      </w:r>
      <w:r w:rsidR="00FC72EC">
        <w:rPr>
          <w:rFonts w:eastAsia="Times"/>
        </w:rPr>
        <w:t>E-Rate</w:t>
      </w:r>
      <w:r w:rsidRPr="00DE38C0">
        <w:rPr>
          <w:rFonts w:eastAsia="Times"/>
        </w:rPr>
        <w:t xml:space="preserve"> is an essential program that, even with its “bumps”/challenges, has connected students to the world beyond the four walls of their classroom. The CDE looks forward to continuing to work with the FCC and other states to connect all students.  </w:t>
      </w:r>
    </w:p>
    <w:p w:rsidR="00DE38C0" w:rsidRPr="00375B91" w:rsidRDefault="00DE38C0" w:rsidP="00DE38C0">
      <w:pPr>
        <w:spacing w:after="0" w:line="240" w:lineRule="auto"/>
      </w:pPr>
    </w:p>
    <w:p w:rsidR="00A24A80" w:rsidRDefault="00A24A80" w:rsidP="007D2F43">
      <w:pPr>
        <w:spacing w:after="0" w:line="240" w:lineRule="auto"/>
      </w:pPr>
      <w:r w:rsidRPr="00375B91">
        <w:t>S</w:t>
      </w:r>
      <w:r w:rsidR="00DE5389" w:rsidRPr="00375B91">
        <w:t>incerely,</w:t>
      </w:r>
    </w:p>
    <w:p w:rsidR="006657FA" w:rsidRDefault="006657FA" w:rsidP="007D2F43">
      <w:pPr>
        <w:spacing w:after="0" w:line="240" w:lineRule="auto"/>
      </w:pPr>
    </w:p>
    <w:p w:rsidR="00BA2C26" w:rsidRPr="00375B91" w:rsidRDefault="006657FA" w:rsidP="007D2F43">
      <w:pPr>
        <w:spacing w:after="0" w:line="240" w:lineRule="auto"/>
      </w:pPr>
      <w:r>
        <w:rPr>
          <w:noProof/>
        </w:rPr>
        <w:drawing>
          <wp:inline distT="0" distB="0" distL="0" distR="0" wp14:anchorId="565C6932" wp14:editId="323C9235">
            <wp:extent cx="1819656" cy="3931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19656" cy="393192"/>
                    </a:xfrm>
                    <a:prstGeom prst="rect">
                      <a:avLst/>
                    </a:prstGeom>
                  </pic:spPr>
                </pic:pic>
              </a:graphicData>
            </a:graphic>
          </wp:inline>
        </w:drawing>
      </w:r>
    </w:p>
    <w:p w:rsidR="007D2F43" w:rsidRPr="00375B91" w:rsidRDefault="007D2F43" w:rsidP="00B64370">
      <w:pPr>
        <w:spacing w:after="0" w:line="240" w:lineRule="auto"/>
        <w:ind w:left="0"/>
      </w:pPr>
    </w:p>
    <w:p w:rsidR="00A24A80" w:rsidRPr="00375B91" w:rsidRDefault="00A24A80" w:rsidP="007D2F43">
      <w:pPr>
        <w:spacing w:after="0" w:line="240" w:lineRule="auto"/>
        <w:ind w:left="720" w:firstLine="720"/>
        <w:rPr>
          <w:bCs/>
        </w:rPr>
      </w:pPr>
      <w:r w:rsidRPr="00375B91">
        <w:rPr>
          <w:bCs/>
        </w:rPr>
        <w:t>Stephanie Gregson, Ed.D., Deputy Superintendent</w:t>
      </w:r>
    </w:p>
    <w:p w:rsidR="00A24A80" w:rsidRPr="00375B91" w:rsidRDefault="007D2F43" w:rsidP="007D2F43">
      <w:pPr>
        <w:spacing w:after="0" w:line="240" w:lineRule="auto"/>
        <w:ind w:left="720" w:firstLine="720"/>
        <w:rPr>
          <w:bCs/>
        </w:rPr>
      </w:pPr>
      <w:r w:rsidRPr="00375B91">
        <w:rPr>
          <w:bCs/>
        </w:rPr>
        <w:t>Performance, Planning, and Technology Branch</w:t>
      </w:r>
    </w:p>
    <w:p w:rsidR="00DE5389" w:rsidRPr="00375B91" w:rsidRDefault="00DE5389" w:rsidP="007D2F43">
      <w:pPr>
        <w:spacing w:after="0"/>
      </w:pPr>
    </w:p>
    <w:p w:rsidR="0018562B" w:rsidRPr="00375B91" w:rsidRDefault="00DE5389" w:rsidP="007D2F43">
      <w:pPr>
        <w:spacing w:after="0"/>
      </w:pPr>
      <w:proofErr w:type="spellStart"/>
      <w:r w:rsidRPr="00375B91">
        <w:t>SG:</w:t>
      </w:r>
      <w:r w:rsidR="00375B91" w:rsidRPr="00375B91">
        <w:t>gb</w:t>
      </w:r>
      <w:proofErr w:type="spellEnd"/>
    </w:p>
    <w:sectPr w:rsidR="0018562B" w:rsidRPr="00375B91" w:rsidSect="00635FFD">
      <w:headerReference w:type="default" r:id="rId10"/>
      <w:pgSz w:w="12240" w:h="15840" w:code="1"/>
      <w:pgMar w:top="0" w:right="0" w:bottom="1440" w:left="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F17" w:rsidRDefault="002A6F17" w:rsidP="009E16EF">
      <w:r>
        <w:separator/>
      </w:r>
    </w:p>
  </w:endnote>
  <w:endnote w:type="continuationSeparator" w:id="0">
    <w:p w:rsidR="002A6F17" w:rsidRDefault="002A6F17" w:rsidP="009E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F17" w:rsidRDefault="002A6F17" w:rsidP="009E16EF">
      <w:r>
        <w:separator/>
      </w:r>
    </w:p>
  </w:footnote>
  <w:footnote w:type="continuationSeparator" w:id="0">
    <w:p w:rsidR="002A6F17" w:rsidRDefault="002A6F17" w:rsidP="009E16EF">
      <w:r>
        <w:continuationSeparator/>
      </w:r>
    </w:p>
  </w:footnote>
  <w:footnote w:id="1">
    <w:p w:rsidR="00DE38C0" w:rsidRDefault="00DE38C0" w:rsidP="00DE38C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i/>
          <w:sz w:val="20"/>
          <w:szCs w:val="20"/>
        </w:rPr>
        <w:t xml:space="preserve">See e.g., </w:t>
      </w:r>
      <w:r>
        <w:rPr>
          <w:rFonts w:ascii="Times New Roman" w:eastAsia="Times New Roman" w:hAnsi="Times New Roman" w:cs="Times New Roman"/>
          <w:i/>
          <w:sz w:val="18"/>
          <w:szCs w:val="18"/>
        </w:rPr>
        <w:t xml:space="preserve">The Broadband Imperative II: Equitable Access for Learning, </w:t>
      </w:r>
      <w:r>
        <w:rPr>
          <w:rFonts w:ascii="Times New Roman" w:eastAsia="Times New Roman" w:hAnsi="Times New Roman" w:cs="Times New Roman"/>
          <w:sz w:val="18"/>
          <w:szCs w:val="18"/>
        </w:rPr>
        <w:t xml:space="preserve">State Educational Technology Directors Association (September 2016). </w:t>
      </w:r>
    </w:p>
  </w:footnote>
  <w:footnote w:id="2">
    <w:p w:rsidR="00DE38C0" w:rsidRDefault="00DE38C0" w:rsidP="00DE38C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Federal Communications Commission, Note of Proposed Rule Making re Universal Service Fund Contribution Methodology, FCC 19-46; WC Docket No. 06-122, Federal Register p. 27571, June 13, 2019.</w:t>
      </w:r>
    </w:p>
  </w:footnote>
  <w:footnote w:id="3">
    <w:p w:rsidR="00DE38C0" w:rsidRDefault="00DE38C0" w:rsidP="00DE38C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18"/>
          <w:szCs w:val="18"/>
        </w:rPr>
        <w:t>Universal Service Administrative Company 2018 Annual Report</w:t>
      </w:r>
      <w:r>
        <w:rPr>
          <w:rFonts w:ascii="Times New Roman" w:eastAsia="Times New Roman" w:hAnsi="Times New Roman" w:cs="Times New Roman"/>
          <w:sz w:val="18"/>
          <w:szCs w:val="18"/>
        </w:rPr>
        <w:t xml:space="preserve">, p.7. Viewed online at </w:t>
      </w:r>
      <w:hyperlink r:id="rId1">
        <w:r>
          <w:rPr>
            <w:rFonts w:ascii="Times New Roman" w:eastAsia="Times New Roman" w:hAnsi="Times New Roman" w:cs="Times New Roman"/>
            <w:color w:val="0563C1"/>
            <w:sz w:val="18"/>
            <w:szCs w:val="18"/>
            <w:u w:val="single"/>
          </w:rPr>
          <w:t>www.usac.org</w:t>
        </w:r>
      </w:hyperlink>
      <w:r>
        <w:rPr>
          <w:rFonts w:ascii="Times New Roman" w:eastAsia="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3A6" w:rsidRDefault="00375B91" w:rsidP="009E16EF">
    <w:pPr>
      <w:pStyle w:val="Header"/>
    </w:pPr>
    <w:r>
      <w:t>July 2</w:t>
    </w:r>
    <w:r w:rsidR="00FC72EC">
      <w:t>5</w:t>
    </w:r>
    <w:r>
      <w:t>, 2019</w:t>
    </w:r>
  </w:p>
  <w:p w:rsidR="00CA43A6" w:rsidRDefault="00CA43A6" w:rsidP="007135B5">
    <w:pPr>
      <w:pStyle w:val="Header"/>
      <w:spacing w:after="480"/>
      <w:rPr>
        <w:noProof/>
      </w:rPr>
    </w:pPr>
    <w:r>
      <w:t xml:space="preserve">Page </w:t>
    </w:r>
    <w:r>
      <w:fldChar w:fldCharType="begin"/>
    </w:r>
    <w:r>
      <w:instrText xml:space="preserve"> PAGE   \* MERGEFORMAT </w:instrText>
    </w:r>
    <w:r>
      <w:fldChar w:fldCharType="separate"/>
    </w:r>
    <w:r w:rsidR="00543BC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F74C88"/>
    <w:multiLevelType w:val="hybridMultilevel"/>
    <w:tmpl w:val="C84C929A"/>
    <w:lvl w:ilvl="0" w:tplc="8F623E28">
      <w:start w:val="1"/>
      <w:numFmt w:val="bullet"/>
      <w:pStyle w:val="ListParagraph"/>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3AA"/>
    <w:rsid w:val="000426AE"/>
    <w:rsid w:val="00051135"/>
    <w:rsid w:val="00053404"/>
    <w:rsid w:val="00093AB8"/>
    <w:rsid w:val="000C561B"/>
    <w:rsid w:val="00133668"/>
    <w:rsid w:val="00134DB1"/>
    <w:rsid w:val="0014398C"/>
    <w:rsid w:val="001455D6"/>
    <w:rsid w:val="001736F3"/>
    <w:rsid w:val="0018562B"/>
    <w:rsid w:val="00186660"/>
    <w:rsid w:val="00193591"/>
    <w:rsid w:val="001A1422"/>
    <w:rsid w:val="001C7A53"/>
    <w:rsid w:val="001E3796"/>
    <w:rsid w:val="00213289"/>
    <w:rsid w:val="00287671"/>
    <w:rsid w:val="00294734"/>
    <w:rsid w:val="002A6CCA"/>
    <w:rsid w:val="002A6F17"/>
    <w:rsid w:val="002C496A"/>
    <w:rsid w:val="002E6B47"/>
    <w:rsid w:val="002F3C29"/>
    <w:rsid w:val="00375B91"/>
    <w:rsid w:val="00391EE9"/>
    <w:rsid w:val="003A0797"/>
    <w:rsid w:val="003B566A"/>
    <w:rsid w:val="003C34D2"/>
    <w:rsid w:val="003D24F5"/>
    <w:rsid w:val="0040786A"/>
    <w:rsid w:val="00470625"/>
    <w:rsid w:val="00495E6B"/>
    <w:rsid w:val="004A22EB"/>
    <w:rsid w:val="004C443E"/>
    <w:rsid w:val="00503654"/>
    <w:rsid w:val="00543BCC"/>
    <w:rsid w:val="0054519C"/>
    <w:rsid w:val="00552DA0"/>
    <w:rsid w:val="005561B9"/>
    <w:rsid w:val="005764C5"/>
    <w:rsid w:val="005766DA"/>
    <w:rsid w:val="005A2F15"/>
    <w:rsid w:val="005C67F1"/>
    <w:rsid w:val="005D46D7"/>
    <w:rsid w:val="00603FFF"/>
    <w:rsid w:val="00604E31"/>
    <w:rsid w:val="006235B5"/>
    <w:rsid w:val="00635FFD"/>
    <w:rsid w:val="00643321"/>
    <w:rsid w:val="00655188"/>
    <w:rsid w:val="006657FA"/>
    <w:rsid w:val="006A5E3E"/>
    <w:rsid w:val="006B2BEF"/>
    <w:rsid w:val="006C384A"/>
    <w:rsid w:val="006C4726"/>
    <w:rsid w:val="006D477D"/>
    <w:rsid w:val="007005A0"/>
    <w:rsid w:val="007135B5"/>
    <w:rsid w:val="00716465"/>
    <w:rsid w:val="00716471"/>
    <w:rsid w:val="00737BE5"/>
    <w:rsid w:val="00737D7D"/>
    <w:rsid w:val="00740FEA"/>
    <w:rsid w:val="00746B5A"/>
    <w:rsid w:val="00756562"/>
    <w:rsid w:val="00767CE5"/>
    <w:rsid w:val="00777FDA"/>
    <w:rsid w:val="007967D5"/>
    <w:rsid w:val="007B71D4"/>
    <w:rsid w:val="007D2F43"/>
    <w:rsid w:val="008657A6"/>
    <w:rsid w:val="00871CA2"/>
    <w:rsid w:val="00890CEB"/>
    <w:rsid w:val="008E7019"/>
    <w:rsid w:val="00926540"/>
    <w:rsid w:val="009A1042"/>
    <w:rsid w:val="009D184E"/>
    <w:rsid w:val="009D2E0C"/>
    <w:rsid w:val="009E16EF"/>
    <w:rsid w:val="00A24A80"/>
    <w:rsid w:val="00A253AA"/>
    <w:rsid w:val="00A652A3"/>
    <w:rsid w:val="00A84392"/>
    <w:rsid w:val="00A90076"/>
    <w:rsid w:val="00B1021A"/>
    <w:rsid w:val="00B17764"/>
    <w:rsid w:val="00B64370"/>
    <w:rsid w:val="00BA2C26"/>
    <w:rsid w:val="00BE47C3"/>
    <w:rsid w:val="00BE5C39"/>
    <w:rsid w:val="00BF079D"/>
    <w:rsid w:val="00C04B9B"/>
    <w:rsid w:val="00C2199E"/>
    <w:rsid w:val="00C3084D"/>
    <w:rsid w:val="00C455A8"/>
    <w:rsid w:val="00C54684"/>
    <w:rsid w:val="00C57FBF"/>
    <w:rsid w:val="00C62420"/>
    <w:rsid w:val="00CA1ABC"/>
    <w:rsid w:val="00CA43A6"/>
    <w:rsid w:val="00CE1713"/>
    <w:rsid w:val="00CE5FEA"/>
    <w:rsid w:val="00D220EF"/>
    <w:rsid w:val="00D404C1"/>
    <w:rsid w:val="00D653BA"/>
    <w:rsid w:val="00D94AD0"/>
    <w:rsid w:val="00DA339B"/>
    <w:rsid w:val="00DC5B8C"/>
    <w:rsid w:val="00DE09FF"/>
    <w:rsid w:val="00DE38C0"/>
    <w:rsid w:val="00DE5389"/>
    <w:rsid w:val="00DF3B80"/>
    <w:rsid w:val="00E262AC"/>
    <w:rsid w:val="00EA3134"/>
    <w:rsid w:val="00EB27D6"/>
    <w:rsid w:val="00EC53AC"/>
    <w:rsid w:val="00F1784F"/>
    <w:rsid w:val="00F23B3E"/>
    <w:rsid w:val="00F2694D"/>
    <w:rsid w:val="00F3433F"/>
    <w:rsid w:val="00F456BC"/>
    <w:rsid w:val="00F61A65"/>
    <w:rsid w:val="00F831D1"/>
    <w:rsid w:val="00F9271F"/>
    <w:rsid w:val="00F9411C"/>
    <w:rsid w:val="00FC72EC"/>
    <w:rsid w:val="00FF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0B9145D"/>
  <w15:chartTrackingRefBased/>
  <w15:docId w15:val="{A627D7EE-237A-4EEE-839E-0543245A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16EF"/>
    <w:pPr>
      <w:spacing w:after="160" w:line="259" w:lineRule="auto"/>
      <w:ind w:left="1440" w:right="1440"/>
    </w:pPr>
    <w:rPr>
      <w:rFonts w:ascii="Arial" w:hAnsi="Arial" w:cs="Arial"/>
      <w:sz w:val="24"/>
      <w:szCs w:val="24"/>
    </w:rPr>
  </w:style>
  <w:style w:type="paragraph" w:styleId="Heading1">
    <w:name w:val="heading 1"/>
    <w:basedOn w:val="Normal"/>
    <w:next w:val="Normal"/>
    <w:link w:val="Heading1Char"/>
    <w:uiPriority w:val="9"/>
    <w:qFormat/>
    <w:rsid w:val="0040786A"/>
    <w:pPr>
      <w:keepNext/>
      <w:keepLines/>
      <w:spacing w:before="240" w:after="0"/>
      <w:jc w:val="center"/>
      <w:outlineLvl w:val="0"/>
    </w:pPr>
    <w:rPr>
      <w:rFonts w:eastAsiaTheme="majorEastAsia"/>
      <w:b/>
      <w:sz w:val="32"/>
      <w:szCs w:val="36"/>
    </w:rPr>
  </w:style>
  <w:style w:type="paragraph" w:styleId="Heading2">
    <w:name w:val="heading 2"/>
    <w:basedOn w:val="Normal"/>
    <w:next w:val="Normal"/>
    <w:link w:val="Heading2Char"/>
    <w:uiPriority w:val="9"/>
    <w:unhideWhenUsed/>
    <w:qFormat/>
    <w:rsid w:val="00C57FBF"/>
    <w:pPr>
      <w:keepNext/>
      <w:keepLines/>
      <w:spacing w:before="40" w:after="0"/>
      <w:outlineLvl w:val="1"/>
    </w:pPr>
    <w:rPr>
      <w:rFonts w:eastAsiaTheme="majorEastAsia"/>
      <w:b/>
      <w:sz w:val="28"/>
      <w:szCs w:val="32"/>
    </w:rPr>
  </w:style>
  <w:style w:type="paragraph" w:styleId="Heading3">
    <w:name w:val="heading 3"/>
    <w:basedOn w:val="Normal"/>
    <w:next w:val="Normal"/>
    <w:link w:val="Heading3Char"/>
    <w:uiPriority w:val="9"/>
    <w:unhideWhenUsed/>
    <w:qFormat/>
    <w:rsid w:val="00C57FBF"/>
    <w:pPr>
      <w:keepNext/>
      <w:keepLines/>
      <w:spacing w:before="40" w:after="0"/>
      <w:outlineLvl w:val="2"/>
    </w:pPr>
    <w:rPr>
      <w:rFonts w:eastAsiaTheme="majorEastAsia"/>
      <w:b/>
      <w:szCs w:val="32"/>
    </w:rPr>
  </w:style>
  <w:style w:type="paragraph" w:styleId="Heading4">
    <w:name w:val="heading 4"/>
    <w:basedOn w:val="Normal"/>
    <w:next w:val="Normal"/>
    <w:link w:val="Heading4Char"/>
    <w:uiPriority w:val="9"/>
    <w:unhideWhenUsed/>
    <w:rsid w:val="00B1021A"/>
    <w:pPr>
      <w:keepNext/>
      <w:keepLines/>
      <w:spacing w:before="40" w:after="0"/>
      <w:outlineLvl w:val="3"/>
    </w:pPr>
    <w:rPr>
      <w:rFonts w:eastAsiaTheme="majorEastAsia"/>
      <w:b/>
      <w:iCs/>
    </w:rPr>
  </w:style>
  <w:style w:type="paragraph" w:styleId="Heading5">
    <w:name w:val="heading 5"/>
    <w:basedOn w:val="Normal"/>
    <w:next w:val="Normal"/>
    <w:link w:val="Heading5Char"/>
    <w:uiPriority w:val="9"/>
    <w:unhideWhenUsed/>
    <w:rsid w:val="00B1021A"/>
    <w:pPr>
      <w:keepNext/>
      <w:keepLines/>
      <w:spacing w:before="40" w:after="0"/>
      <w:outlineLvl w:val="4"/>
    </w:pPr>
    <w:rPr>
      <w:rFonts w:eastAsiaTheme="majorEastAsia"/>
      <w:b/>
    </w:rPr>
  </w:style>
  <w:style w:type="paragraph" w:styleId="Heading6">
    <w:name w:val="heading 6"/>
    <w:basedOn w:val="Normal"/>
    <w:next w:val="Normal"/>
    <w:link w:val="Heading6Char"/>
    <w:uiPriority w:val="9"/>
    <w:unhideWhenUsed/>
    <w:rsid w:val="00737D7D"/>
    <w:pPr>
      <w:keepNext/>
      <w:keepLines/>
      <w:spacing w:before="40" w:after="0"/>
      <w:outlineLvl w:val="5"/>
    </w:pPr>
    <w:rPr>
      <w:rFonts w:eastAsiaTheme="majorEastAsia"/>
      <w:b/>
    </w:rPr>
  </w:style>
  <w:style w:type="paragraph" w:styleId="Heading7">
    <w:name w:val="heading 7"/>
    <w:basedOn w:val="Normal"/>
    <w:next w:val="Normal"/>
    <w:link w:val="Heading7Char"/>
    <w:uiPriority w:val="9"/>
    <w:unhideWhenUsed/>
    <w:rsid w:val="00737D7D"/>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007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90076"/>
    <w:rPr>
      <w:rFonts w:ascii="Segoe UI" w:hAnsi="Segoe UI" w:cs="Segoe UI"/>
      <w:sz w:val="18"/>
      <w:szCs w:val="18"/>
    </w:rPr>
  </w:style>
  <w:style w:type="character" w:customStyle="1" w:styleId="Heading1Char">
    <w:name w:val="Heading 1 Char"/>
    <w:basedOn w:val="DefaultParagraphFont"/>
    <w:link w:val="Heading1"/>
    <w:uiPriority w:val="9"/>
    <w:rsid w:val="0040786A"/>
    <w:rPr>
      <w:rFonts w:ascii="Arial" w:eastAsiaTheme="majorEastAsia" w:hAnsi="Arial" w:cs="Arial"/>
      <w:b/>
      <w:sz w:val="32"/>
      <w:szCs w:val="36"/>
    </w:rPr>
  </w:style>
  <w:style w:type="character" w:customStyle="1" w:styleId="Heading2Char">
    <w:name w:val="Heading 2 Char"/>
    <w:basedOn w:val="DefaultParagraphFont"/>
    <w:link w:val="Heading2"/>
    <w:uiPriority w:val="9"/>
    <w:rsid w:val="00C57FBF"/>
    <w:rPr>
      <w:rFonts w:ascii="Arial" w:eastAsiaTheme="majorEastAsia" w:hAnsi="Arial" w:cs="Arial"/>
      <w:b/>
      <w:sz w:val="28"/>
      <w:szCs w:val="32"/>
    </w:rPr>
  </w:style>
  <w:style w:type="character" w:customStyle="1" w:styleId="Heading3Char">
    <w:name w:val="Heading 3 Char"/>
    <w:basedOn w:val="DefaultParagraphFont"/>
    <w:link w:val="Heading3"/>
    <w:uiPriority w:val="9"/>
    <w:rsid w:val="00C57FBF"/>
    <w:rPr>
      <w:rFonts w:ascii="Arial" w:eastAsiaTheme="majorEastAsia" w:hAnsi="Arial" w:cs="Arial"/>
      <w:b/>
      <w:sz w:val="24"/>
      <w:szCs w:val="32"/>
    </w:rPr>
  </w:style>
  <w:style w:type="character" w:customStyle="1" w:styleId="Heading4Char">
    <w:name w:val="Heading 4 Char"/>
    <w:basedOn w:val="DefaultParagraphFont"/>
    <w:link w:val="Heading4"/>
    <w:uiPriority w:val="9"/>
    <w:rsid w:val="00B1021A"/>
    <w:rPr>
      <w:rFonts w:ascii="Arial" w:eastAsiaTheme="majorEastAsia" w:hAnsi="Arial" w:cs="Arial"/>
      <w:b/>
      <w:iCs/>
      <w:sz w:val="24"/>
      <w:szCs w:val="24"/>
    </w:rPr>
  </w:style>
  <w:style w:type="character" w:customStyle="1" w:styleId="Heading5Char">
    <w:name w:val="Heading 5 Char"/>
    <w:basedOn w:val="DefaultParagraphFont"/>
    <w:link w:val="Heading5"/>
    <w:uiPriority w:val="9"/>
    <w:rsid w:val="00B1021A"/>
    <w:rPr>
      <w:rFonts w:ascii="Arial" w:eastAsiaTheme="majorEastAsia" w:hAnsi="Arial" w:cs="Arial"/>
      <w:b/>
      <w:sz w:val="24"/>
      <w:szCs w:val="24"/>
    </w:rPr>
  </w:style>
  <w:style w:type="character" w:customStyle="1" w:styleId="Heading6Char">
    <w:name w:val="Heading 6 Char"/>
    <w:basedOn w:val="DefaultParagraphFont"/>
    <w:link w:val="Heading6"/>
    <w:uiPriority w:val="9"/>
    <w:rsid w:val="00737D7D"/>
    <w:rPr>
      <w:rFonts w:ascii="Arial" w:eastAsiaTheme="majorEastAsia" w:hAnsi="Arial" w:cs="Arial"/>
      <w:b/>
      <w:sz w:val="24"/>
      <w:szCs w:val="24"/>
    </w:rPr>
  </w:style>
  <w:style w:type="character" w:customStyle="1" w:styleId="Heading7Char">
    <w:name w:val="Heading 7 Char"/>
    <w:basedOn w:val="DefaultParagraphFont"/>
    <w:link w:val="Heading7"/>
    <w:uiPriority w:val="9"/>
    <w:rsid w:val="00737D7D"/>
    <w:rPr>
      <w:rFonts w:asciiTheme="majorHAnsi" w:eastAsiaTheme="majorEastAsia" w:hAnsiTheme="majorHAnsi" w:cstheme="majorBidi"/>
      <w:i/>
      <w:iCs/>
      <w:color w:val="1F4D78" w:themeColor="accent1" w:themeShade="7F"/>
      <w:sz w:val="22"/>
      <w:szCs w:val="22"/>
    </w:rPr>
  </w:style>
  <w:style w:type="paragraph" w:styleId="Title">
    <w:name w:val="Title"/>
    <w:basedOn w:val="Normal"/>
    <w:next w:val="Normal"/>
    <w:link w:val="TitleChar"/>
    <w:uiPriority w:val="10"/>
    <w:rsid w:val="009E16EF"/>
    <w:pPr>
      <w:spacing w:after="0" w:line="240" w:lineRule="auto"/>
      <w:ind w:left="360" w:right="360"/>
      <w:contextualSpacing/>
    </w:pPr>
    <w:rPr>
      <w:rFonts w:eastAsiaTheme="majorEastAsia"/>
      <w:spacing w:val="-10"/>
      <w:kern w:val="28"/>
    </w:rPr>
  </w:style>
  <w:style w:type="character" w:customStyle="1" w:styleId="TitleChar">
    <w:name w:val="Title Char"/>
    <w:basedOn w:val="DefaultParagraphFont"/>
    <w:link w:val="Title"/>
    <w:uiPriority w:val="10"/>
    <w:rsid w:val="009E16EF"/>
    <w:rPr>
      <w:rFonts w:ascii="Arial" w:eastAsiaTheme="majorEastAsia" w:hAnsi="Arial" w:cs="Arial"/>
      <w:spacing w:val="-10"/>
      <w:kern w:val="28"/>
      <w:sz w:val="24"/>
      <w:szCs w:val="24"/>
    </w:rPr>
  </w:style>
  <w:style w:type="paragraph" w:styleId="Header">
    <w:name w:val="header"/>
    <w:basedOn w:val="Normal"/>
    <w:link w:val="HeaderChar"/>
    <w:uiPriority w:val="99"/>
    <w:unhideWhenUsed/>
    <w:rsid w:val="00635F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FFD"/>
    <w:rPr>
      <w:rFonts w:ascii="Arial" w:hAnsi="Arial" w:cs="Arial"/>
      <w:sz w:val="24"/>
      <w:szCs w:val="24"/>
    </w:rPr>
  </w:style>
  <w:style w:type="paragraph" w:styleId="Footer">
    <w:name w:val="footer"/>
    <w:basedOn w:val="Normal"/>
    <w:link w:val="FooterChar"/>
    <w:uiPriority w:val="99"/>
    <w:unhideWhenUsed/>
    <w:rsid w:val="00635F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FFD"/>
    <w:rPr>
      <w:rFonts w:ascii="Arial" w:hAnsi="Arial" w:cs="Arial"/>
      <w:sz w:val="24"/>
      <w:szCs w:val="24"/>
    </w:rPr>
  </w:style>
  <w:style w:type="character" w:styleId="Hyperlink">
    <w:name w:val="Hyperlink"/>
    <w:basedOn w:val="DefaultParagraphFont"/>
    <w:uiPriority w:val="99"/>
    <w:unhideWhenUsed/>
    <w:rsid w:val="00470625"/>
    <w:rPr>
      <w:color w:val="0000FF"/>
      <w:u w:val="single"/>
    </w:rPr>
  </w:style>
  <w:style w:type="character" w:styleId="Emphasis">
    <w:name w:val="Emphasis"/>
    <w:basedOn w:val="Strong"/>
    <w:uiPriority w:val="20"/>
    <w:rsid w:val="00B1021A"/>
  </w:style>
  <w:style w:type="character" w:styleId="Strong">
    <w:name w:val="Strong"/>
    <w:basedOn w:val="DefaultParagraphFont"/>
    <w:uiPriority w:val="22"/>
    <w:rsid w:val="00B1021A"/>
  </w:style>
  <w:style w:type="paragraph" w:styleId="IntenseQuote">
    <w:name w:val="Intense Quote"/>
    <w:basedOn w:val="Normal"/>
    <w:next w:val="Normal"/>
    <w:link w:val="IntenseQuoteChar"/>
    <w:uiPriority w:val="60"/>
    <w:rsid w:val="00B1021A"/>
    <w:pPr>
      <w:spacing w:before="360" w:after="360"/>
    </w:pPr>
    <w:rPr>
      <w:b/>
      <w:iCs/>
    </w:rPr>
  </w:style>
  <w:style w:type="character" w:customStyle="1" w:styleId="IntenseQuoteChar">
    <w:name w:val="Intense Quote Char"/>
    <w:basedOn w:val="DefaultParagraphFont"/>
    <w:link w:val="IntenseQuote"/>
    <w:uiPriority w:val="60"/>
    <w:rsid w:val="00B1021A"/>
    <w:rPr>
      <w:rFonts w:ascii="Arial" w:hAnsi="Arial" w:cs="Arial"/>
      <w:b/>
      <w:iCs/>
      <w:sz w:val="24"/>
      <w:szCs w:val="24"/>
    </w:rPr>
  </w:style>
  <w:style w:type="character" w:styleId="SubtleEmphasis">
    <w:name w:val="Subtle Emphasis"/>
    <w:uiPriority w:val="65"/>
    <w:rsid w:val="00B1021A"/>
  </w:style>
  <w:style w:type="character" w:styleId="IntenseEmphasis">
    <w:name w:val="Intense Emphasis"/>
    <w:basedOn w:val="SubtleEmphasis"/>
    <w:uiPriority w:val="66"/>
    <w:rsid w:val="00B1021A"/>
  </w:style>
  <w:style w:type="character" w:styleId="SubtleReference">
    <w:name w:val="Subtle Reference"/>
    <w:basedOn w:val="IntenseEmphasis"/>
    <w:uiPriority w:val="67"/>
    <w:rsid w:val="00B1021A"/>
  </w:style>
  <w:style w:type="character" w:styleId="IntenseReference">
    <w:name w:val="Intense Reference"/>
    <w:basedOn w:val="SubtleReference"/>
    <w:uiPriority w:val="68"/>
    <w:rsid w:val="00B1021A"/>
  </w:style>
  <w:style w:type="character" w:styleId="BookTitle">
    <w:name w:val="Book Title"/>
    <w:basedOn w:val="IntenseReference"/>
    <w:uiPriority w:val="69"/>
    <w:rsid w:val="00B1021A"/>
  </w:style>
  <w:style w:type="paragraph" w:styleId="Quote">
    <w:name w:val="Quote"/>
    <w:basedOn w:val="Normal"/>
    <w:next w:val="Normal"/>
    <w:link w:val="QuoteChar"/>
    <w:uiPriority w:val="73"/>
    <w:qFormat/>
    <w:rsid w:val="00B1021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73"/>
    <w:rsid w:val="00B1021A"/>
    <w:rPr>
      <w:rFonts w:ascii="Arial" w:hAnsi="Arial" w:cs="Arial"/>
      <w:i/>
      <w:iCs/>
      <w:color w:val="404040" w:themeColor="text1" w:themeTint="BF"/>
      <w:sz w:val="24"/>
      <w:szCs w:val="24"/>
    </w:rPr>
  </w:style>
  <w:style w:type="paragraph" w:styleId="NoSpacing">
    <w:name w:val="No Spacing"/>
    <w:uiPriority w:val="99"/>
    <w:rsid w:val="00B1021A"/>
    <w:pPr>
      <w:ind w:left="1440" w:right="1440"/>
    </w:pPr>
    <w:rPr>
      <w:rFonts w:ascii="Arial" w:hAnsi="Arial" w:cs="Arial"/>
      <w:sz w:val="24"/>
      <w:szCs w:val="24"/>
    </w:rPr>
  </w:style>
  <w:style w:type="paragraph" w:styleId="ListParagraph">
    <w:name w:val="List Paragraph"/>
    <w:basedOn w:val="Normal"/>
    <w:uiPriority w:val="72"/>
    <w:qFormat/>
    <w:rsid w:val="00B1021A"/>
    <w:pPr>
      <w:numPr>
        <w:numId w:val="1"/>
      </w:numPr>
      <w:spacing w:after="2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22721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s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2A82F-7558-4E01-A66D-17037BD4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CA Department of Education</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Carriker</dc:creator>
  <cp:keywords/>
  <dc:description/>
  <cp:lastModifiedBy>Shanine Coats</cp:lastModifiedBy>
  <cp:revision>2</cp:revision>
  <cp:lastPrinted>2019-07-24T23:30:00Z</cp:lastPrinted>
  <dcterms:created xsi:type="dcterms:W3CDTF">2019-07-25T23:30:00Z</dcterms:created>
  <dcterms:modified xsi:type="dcterms:W3CDTF">2019-07-25T23:30:00Z</dcterms:modified>
</cp:coreProperties>
</file>