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167" w:rsidRDefault="00333167">
      <w:pPr>
        <w:rPr>
          <w:rFonts w:asciiTheme="minorHAnsi" w:hAnsiTheme="minorHAnsi" w:cstheme="minorHAnsi"/>
          <w:b/>
        </w:rPr>
      </w:pPr>
    </w:p>
    <w:p w:rsidR="00A255D5" w:rsidRPr="00333167" w:rsidRDefault="00097CDE">
      <w:pPr>
        <w:rPr>
          <w:rFonts w:asciiTheme="minorHAnsi" w:hAnsiTheme="minorHAnsi" w:cstheme="minorHAnsi"/>
          <w:b/>
        </w:rPr>
      </w:pPr>
      <w:r w:rsidRPr="00333167">
        <w:rPr>
          <w:rFonts w:asciiTheme="minorHAnsi" w:hAnsiTheme="minorHAnsi" w:cstheme="minorHAnsi"/>
          <w:b/>
        </w:rPr>
        <w:t>Comments t</w:t>
      </w:r>
      <w:r w:rsidR="005F4DFB" w:rsidRPr="00333167">
        <w:rPr>
          <w:rFonts w:asciiTheme="minorHAnsi" w:hAnsiTheme="minorHAnsi" w:cstheme="minorHAnsi"/>
          <w:b/>
        </w:rPr>
        <w:t xml:space="preserve">o FCC, </w:t>
      </w:r>
      <w:r w:rsidR="008004D5" w:rsidRPr="00333167">
        <w:rPr>
          <w:rFonts w:asciiTheme="minorHAnsi" w:hAnsiTheme="minorHAnsi" w:cstheme="minorHAnsi"/>
          <w:b/>
        </w:rPr>
        <w:t>NPRM</w:t>
      </w:r>
      <w:r w:rsidR="005F4DFB" w:rsidRPr="00333167">
        <w:rPr>
          <w:rFonts w:asciiTheme="minorHAnsi" w:hAnsiTheme="minorHAnsi" w:cstheme="minorHAnsi"/>
          <w:b/>
        </w:rPr>
        <w:t>, WC Docket No. 13-184</w:t>
      </w:r>
    </w:p>
    <w:p w:rsidR="00097CDE" w:rsidRDefault="00097CDE">
      <w:pPr>
        <w:rPr>
          <w:rFonts w:asciiTheme="minorHAnsi" w:hAnsiTheme="minorHAnsi" w:cstheme="minorHAnsi"/>
          <w:b/>
        </w:rPr>
      </w:pPr>
      <w:r w:rsidRPr="00333167">
        <w:rPr>
          <w:rFonts w:asciiTheme="minorHAnsi" w:hAnsiTheme="minorHAnsi" w:cstheme="minorHAnsi"/>
          <w:b/>
        </w:rPr>
        <w:t>E-Rate program Category 2</w:t>
      </w:r>
    </w:p>
    <w:p w:rsidR="00333167" w:rsidRDefault="0033316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August 9, 2019</w:t>
      </w:r>
    </w:p>
    <w:p w:rsidR="00333167" w:rsidRPr="00333167" w:rsidRDefault="00333167">
      <w:pPr>
        <w:rPr>
          <w:rFonts w:asciiTheme="minorHAnsi" w:hAnsiTheme="minorHAnsi" w:cstheme="minorHAnsi"/>
        </w:rPr>
      </w:pPr>
    </w:p>
    <w:p w:rsidR="00097CDE" w:rsidRPr="00333167" w:rsidRDefault="00097CDE">
      <w:pPr>
        <w:rPr>
          <w:rFonts w:asciiTheme="minorHAnsi" w:hAnsiTheme="minorHAnsi" w:cstheme="minorHAnsi"/>
        </w:rPr>
      </w:pPr>
    </w:p>
    <w:p w:rsidR="00097CDE" w:rsidRPr="00333167" w:rsidRDefault="008004D5">
      <w:pPr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We represent 4 Maryland county school districts and 1 county library system.  Regarding the proposed rulemaking for E-Rate Category 2 funding</w:t>
      </w:r>
      <w:r w:rsidR="00333167">
        <w:rPr>
          <w:rFonts w:asciiTheme="minorHAnsi" w:hAnsiTheme="minorHAnsi" w:cstheme="minorHAnsi"/>
        </w:rPr>
        <w:t>,</w:t>
      </w:r>
      <w:r w:rsidRPr="00333167">
        <w:rPr>
          <w:rFonts w:asciiTheme="minorHAnsi" w:hAnsiTheme="minorHAnsi" w:cstheme="minorHAnsi"/>
        </w:rPr>
        <w:t xml:space="preserve"> we offer these comments and suggestions:</w:t>
      </w:r>
    </w:p>
    <w:p w:rsidR="008004D5" w:rsidRPr="00333167" w:rsidRDefault="008004D5">
      <w:pPr>
        <w:rPr>
          <w:rFonts w:asciiTheme="minorHAnsi" w:hAnsiTheme="minorHAnsi" w:cstheme="minorHAnsi"/>
        </w:rPr>
      </w:pPr>
    </w:p>
    <w:p w:rsidR="00097CDE" w:rsidRPr="00333167" w:rsidRDefault="00097CDE" w:rsidP="00097CDE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Category 2 budgets should apply to the entire school district or library system, not to the individual buildings.</w:t>
      </w:r>
      <w:r w:rsidR="00B325A3" w:rsidRPr="00333167">
        <w:rPr>
          <w:rFonts w:asciiTheme="minorHAnsi" w:hAnsiTheme="minorHAnsi" w:cstheme="minorHAnsi"/>
        </w:rPr>
        <w:t xml:space="preserve">  This is essential to allow applicants to allocate Category 2 funds where they are most needed and will reduce the paperwork and confusion created by the current system of allocation by building.</w:t>
      </w:r>
      <w:r w:rsidR="00EF23B5" w:rsidRPr="00333167">
        <w:rPr>
          <w:rFonts w:asciiTheme="minorHAnsi" w:hAnsiTheme="minorHAnsi" w:cstheme="minorHAnsi"/>
        </w:rPr>
        <w:t xml:space="preserve">  The age of s</w:t>
      </w:r>
      <w:r w:rsidR="00445567" w:rsidRPr="00333167">
        <w:rPr>
          <w:rFonts w:asciiTheme="minorHAnsi" w:hAnsiTheme="minorHAnsi" w:cstheme="minorHAnsi"/>
        </w:rPr>
        <w:t>chool and library buildings varies considerably</w:t>
      </w:r>
      <w:r w:rsidR="00EF23B5" w:rsidRPr="00333167">
        <w:rPr>
          <w:rFonts w:asciiTheme="minorHAnsi" w:hAnsiTheme="minorHAnsi" w:cstheme="minorHAnsi"/>
        </w:rPr>
        <w:t xml:space="preserve"> as do their technology needs.  It is best left to the applicant to determine where E-Rate funds can be used most efficiently.</w:t>
      </w:r>
    </w:p>
    <w:p w:rsidR="00097CDE" w:rsidRPr="00333167" w:rsidRDefault="00097CDE" w:rsidP="00097CDE">
      <w:pPr>
        <w:pStyle w:val="ListParagraph"/>
        <w:ind w:left="360"/>
        <w:rPr>
          <w:rFonts w:asciiTheme="minorHAnsi" w:hAnsiTheme="minorHAnsi" w:cstheme="minorHAnsi"/>
        </w:rPr>
      </w:pPr>
    </w:p>
    <w:p w:rsidR="0049192B" w:rsidRPr="00333167" w:rsidRDefault="00B325A3" w:rsidP="00097CDE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 xml:space="preserve">The Eligible Service List </w:t>
      </w:r>
      <w:r w:rsidR="00445567" w:rsidRPr="00333167">
        <w:rPr>
          <w:rFonts w:asciiTheme="minorHAnsi" w:hAnsiTheme="minorHAnsi" w:cstheme="minorHAnsi"/>
        </w:rPr>
        <w:t xml:space="preserve">for Category 2 </w:t>
      </w:r>
      <w:r w:rsidRPr="00333167">
        <w:rPr>
          <w:rFonts w:asciiTheme="minorHAnsi" w:hAnsiTheme="minorHAnsi" w:cstheme="minorHAnsi"/>
        </w:rPr>
        <w:t>should be expanded to include</w:t>
      </w:r>
      <w:r w:rsidR="00097CDE" w:rsidRPr="00333167">
        <w:rPr>
          <w:rFonts w:asciiTheme="minorHAnsi" w:hAnsiTheme="minorHAnsi" w:cstheme="minorHAnsi"/>
        </w:rPr>
        <w:t xml:space="preserve"> funding for services that are currently in</w:t>
      </w:r>
      <w:r w:rsidRPr="00333167">
        <w:rPr>
          <w:rFonts w:asciiTheme="minorHAnsi" w:hAnsiTheme="minorHAnsi" w:cstheme="minorHAnsi"/>
        </w:rPr>
        <w:t>eligible but are essential</w:t>
      </w:r>
      <w:r w:rsidR="00097CDE" w:rsidRPr="00333167">
        <w:rPr>
          <w:rFonts w:asciiTheme="minorHAnsi" w:hAnsiTheme="minorHAnsi" w:cstheme="minorHAnsi"/>
        </w:rPr>
        <w:t xml:space="preserve"> for security, protection of student data, CIPA compliance, and proper maintenance and management of </w:t>
      </w:r>
      <w:r w:rsidR="0049192B" w:rsidRPr="00333167">
        <w:rPr>
          <w:rFonts w:asciiTheme="minorHAnsi" w:hAnsiTheme="minorHAnsi" w:cstheme="minorHAnsi"/>
        </w:rPr>
        <w:t xml:space="preserve">information </w:t>
      </w:r>
      <w:r w:rsidR="00097CDE" w:rsidRPr="00333167">
        <w:rPr>
          <w:rFonts w:asciiTheme="minorHAnsi" w:hAnsiTheme="minorHAnsi" w:cstheme="minorHAnsi"/>
        </w:rPr>
        <w:t xml:space="preserve">technology systems.  These services should include, but </w:t>
      </w:r>
      <w:r w:rsidR="0049192B" w:rsidRPr="00333167">
        <w:rPr>
          <w:rFonts w:asciiTheme="minorHAnsi" w:hAnsiTheme="minorHAnsi" w:cstheme="minorHAnsi"/>
        </w:rPr>
        <w:t>not necessarily be limited to:</w:t>
      </w:r>
    </w:p>
    <w:p w:rsidR="0049192B" w:rsidRPr="00333167" w:rsidRDefault="0049192B" w:rsidP="0049192B">
      <w:pPr>
        <w:pStyle w:val="ListParagraph"/>
        <w:rPr>
          <w:rFonts w:asciiTheme="minorHAnsi" w:hAnsiTheme="minorHAnsi" w:cstheme="minorHAnsi"/>
        </w:rPr>
      </w:pPr>
    </w:p>
    <w:p w:rsidR="0049192B" w:rsidRPr="00333167" w:rsidRDefault="0049192B" w:rsidP="0049192B">
      <w:pPr>
        <w:pStyle w:val="ListParagraph"/>
        <w:ind w:left="360"/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Virus definitions</w:t>
      </w:r>
    </w:p>
    <w:p w:rsidR="0049192B" w:rsidRPr="00333167" w:rsidRDefault="0049192B" w:rsidP="0049192B">
      <w:pPr>
        <w:pStyle w:val="ListParagraph"/>
        <w:ind w:left="360"/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C</w:t>
      </w:r>
      <w:r w:rsidR="00097CDE" w:rsidRPr="00333167">
        <w:rPr>
          <w:rFonts w:asciiTheme="minorHAnsi" w:hAnsiTheme="minorHAnsi" w:cstheme="minorHAnsi"/>
        </w:rPr>
        <w:t>ontent f</w:t>
      </w:r>
      <w:r w:rsidRPr="00333167">
        <w:rPr>
          <w:rFonts w:asciiTheme="minorHAnsi" w:hAnsiTheme="minorHAnsi" w:cstheme="minorHAnsi"/>
        </w:rPr>
        <w:t>iltering</w:t>
      </w:r>
    </w:p>
    <w:p w:rsidR="0049192B" w:rsidRPr="00333167" w:rsidRDefault="0049192B" w:rsidP="0049192B">
      <w:pPr>
        <w:pStyle w:val="ListParagraph"/>
        <w:ind w:left="360"/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Malware protection</w:t>
      </w:r>
    </w:p>
    <w:p w:rsidR="0049192B" w:rsidRPr="00333167" w:rsidRDefault="0049192B" w:rsidP="0049192B">
      <w:pPr>
        <w:pStyle w:val="ListParagraph"/>
        <w:ind w:left="360"/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Threat detection</w:t>
      </w:r>
    </w:p>
    <w:p w:rsidR="0049192B" w:rsidRPr="00333167" w:rsidRDefault="0049192B" w:rsidP="0049192B">
      <w:pPr>
        <w:pStyle w:val="ListParagraph"/>
        <w:ind w:left="360"/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Redundant and backup features</w:t>
      </w:r>
    </w:p>
    <w:p w:rsidR="00097CDE" w:rsidRPr="00333167" w:rsidRDefault="0049192B" w:rsidP="0049192B">
      <w:pPr>
        <w:pStyle w:val="ListParagraph"/>
        <w:ind w:left="360"/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A</w:t>
      </w:r>
      <w:r w:rsidR="00097CDE" w:rsidRPr="00333167">
        <w:rPr>
          <w:rFonts w:asciiTheme="minorHAnsi" w:hAnsiTheme="minorHAnsi" w:cstheme="minorHAnsi"/>
        </w:rPr>
        <w:t>dvance hardware</w:t>
      </w:r>
      <w:r w:rsidRPr="00333167">
        <w:rPr>
          <w:rFonts w:asciiTheme="minorHAnsi" w:hAnsiTheme="minorHAnsi" w:cstheme="minorHAnsi"/>
        </w:rPr>
        <w:t>/parts replacement</w:t>
      </w:r>
    </w:p>
    <w:p w:rsidR="0049192B" w:rsidRPr="00333167" w:rsidRDefault="0049192B" w:rsidP="0049192B">
      <w:pPr>
        <w:pStyle w:val="ListParagraph"/>
        <w:rPr>
          <w:rFonts w:asciiTheme="minorHAnsi" w:hAnsiTheme="minorHAnsi" w:cstheme="minorHAnsi"/>
        </w:rPr>
      </w:pPr>
    </w:p>
    <w:p w:rsidR="0049192B" w:rsidRPr="00333167" w:rsidRDefault="00B325A3" w:rsidP="00097CDE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C</w:t>
      </w:r>
      <w:r w:rsidR="0049192B" w:rsidRPr="00333167">
        <w:rPr>
          <w:rFonts w:asciiTheme="minorHAnsi" w:hAnsiTheme="minorHAnsi" w:cstheme="minorHAnsi"/>
        </w:rPr>
        <w:t>ontracts for Basic Maintenance of Internal Connections (BMIC), such as technical support, telephone and/or web portal access, software upgrades, configuration changes, etc., are much more cost effective</w:t>
      </w:r>
      <w:r w:rsidRPr="00333167">
        <w:rPr>
          <w:rFonts w:asciiTheme="minorHAnsi" w:hAnsiTheme="minorHAnsi" w:cstheme="minorHAnsi"/>
        </w:rPr>
        <w:t xml:space="preserve"> when purchased as multi-year contracts rather</w:t>
      </w:r>
      <w:r w:rsidR="0049192B" w:rsidRPr="00333167">
        <w:rPr>
          <w:rFonts w:asciiTheme="minorHAnsi" w:hAnsiTheme="minorHAnsi" w:cstheme="minorHAnsi"/>
        </w:rPr>
        <w:t xml:space="preserve"> than single-year contracts.  This cost savings benefits both USAC</w:t>
      </w:r>
      <w:r w:rsidR="003A5A4C" w:rsidRPr="00333167">
        <w:rPr>
          <w:rFonts w:asciiTheme="minorHAnsi" w:hAnsiTheme="minorHAnsi" w:cstheme="minorHAnsi"/>
        </w:rPr>
        <w:t>/SLD and the applicant.  The</w:t>
      </w:r>
      <w:r w:rsidR="00EB6934" w:rsidRPr="00333167">
        <w:rPr>
          <w:rFonts w:asciiTheme="minorHAnsi" w:hAnsiTheme="minorHAnsi" w:cstheme="minorHAnsi"/>
        </w:rPr>
        <w:t xml:space="preserve"> </w:t>
      </w:r>
      <w:r w:rsidR="00B313A8" w:rsidRPr="00333167">
        <w:rPr>
          <w:rFonts w:asciiTheme="minorHAnsi" w:hAnsiTheme="minorHAnsi" w:cstheme="minorHAnsi"/>
        </w:rPr>
        <w:t xml:space="preserve">full amount of these </w:t>
      </w:r>
      <w:r w:rsidR="00EB6934" w:rsidRPr="00333167">
        <w:rPr>
          <w:rFonts w:asciiTheme="minorHAnsi" w:hAnsiTheme="minorHAnsi" w:cstheme="minorHAnsi"/>
        </w:rPr>
        <w:t>multi-year contracts must be paid</w:t>
      </w:r>
      <w:r w:rsidR="00B313A8" w:rsidRPr="00333167">
        <w:rPr>
          <w:rFonts w:asciiTheme="minorHAnsi" w:hAnsiTheme="minorHAnsi" w:cstheme="minorHAnsi"/>
        </w:rPr>
        <w:t xml:space="preserve"> </w:t>
      </w:r>
      <w:r w:rsidR="00EB6934" w:rsidRPr="00333167">
        <w:rPr>
          <w:rFonts w:asciiTheme="minorHAnsi" w:hAnsiTheme="minorHAnsi" w:cstheme="minorHAnsi"/>
        </w:rPr>
        <w:t xml:space="preserve">by the applicant </w:t>
      </w:r>
      <w:r w:rsidR="00B313A8" w:rsidRPr="00333167">
        <w:rPr>
          <w:rFonts w:asciiTheme="minorHAnsi" w:hAnsiTheme="minorHAnsi" w:cstheme="minorHAnsi"/>
        </w:rPr>
        <w:t>in the contract’s first year</w:t>
      </w:r>
      <w:r w:rsidRPr="00333167">
        <w:rPr>
          <w:rFonts w:asciiTheme="minorHAnsi" w:hAnsiTheme="minorHAnsi" w:cstheme="minorHAnsi"/>
        </w:rPr>
        <w:t>.  However,</w:t>
      </w:r>
      <w:r w:rsidR="00EB6934" w:rsidRPr="00333167">
        <w:rPr>
          <w:rFonts w:asciiTheme="minorHAnsi" w:hAnsiTheme="minorHAnsi" w:cstheme="minorHAnsi"/>
        </w:rPr>
        <w:t xml:space="preserve"> current E-Rate program rules require that</w:t>
      </w:r>
      <w:r w:rsidR="00B313A8" w:rsidRPr="00333167">
        <w:rPr>
          <w:rFonts w:asciiTheme="minorHAnsi" w:hAnsiTheme="minorHAnsi" w:cstheme="minorHAnsi"/>
        </w:rPr>
        <w:t xml:space="preserve"> the pro-rated portion of the contract cost must</w:t>
      </w:r>
      <w:r w:rsidRPr="00333167">
        <w:rPr>
          <w:rFonts w:asciiTheme="minorHAnsi" w:hAnsiTheme="minorHAnsi" w:cstheme="minorHAnsi"/>
        </w:rPr>
        <w:t xml:space="preserve"> be applied for</w:t>
      </w:r>
      <w:r w:rsidR="00B313A8" w:rsidRPr="00333167">
        <w:rPr>
          <w:rFonts w:asciiTheme="minorHAnsi" w:hAnsiTheme="minorHAnsi" w:cstheme="minorHAnsi"/>
        </w:rPr>
        <w:t xml:space="preserve"> reimbursement</w:t>
      </w:r>
      <w:r w:rsidRPr="00333167">
        <w:rPr>
          <w:rFonts w:asciiTheme="minorHAnsi" w:hAnsiTheme="minorHAnsi" w:cstheme="minorHAnsi"/>
        </w:rPr>
        <w:t xml:space="preserve"> in each subsequent</w:t>
      </w:r>
      <w:r w:rsidR="00EB6934" w:rsidRPr="00333167">
        <w:rPr>
          <w:rFonts w:asciiTheme="minorHAnsi" w:hAnsiTheme="minorHAnsi" w:cstheme="minorHAnsi"/>
        </w:rPr>
        <w:t xml:space="preserve"> year of the contract</w:t>
      </w:r>
      <w:r w:rsidRPr="00333167">
        <w:rPr>
          <w:rFonts w:asciiTheme="minorHAnsi" w:hAnsiTheme="minorHAnsi" w:cstheme="minorHAnsi"/>
        </w:rPr>
        <w:t xml:space="preserve"> to receive the total funding</w:t>
      </w:r>
      <w:r w:rsidR="00EB6934" w:rsidRPr="00333167">
        <w:rPr>
          <w:rFonts w:asciiTheme="minorHAnsi" w:hAnsiTheme="minorHAnsi" w:cstheme="minorHAnsi"/>
        </w:rPr>
        <w:t>.  This discourages applicants from entering into multi-year BMIC contracts that are cost effective to both USAC/SLD and the applicant.  We request that</w:t>
      </w:r>
      <w:r w:rsidR="000B406A" w:rsidRPr="00333167">
        <w:rPr>
          <w:rFonts w:asciiTheme="minorHAnsi" w:hAnsiTheme="minorHAnsi" w:cstheme="minorHAnsi"/>
        </w:rPr>
        <w:t xml:space="preserve"> applicants be permitted to apply for and receive reimbursement of E-Rate funding for</w:t>
      </w:r>
      <w:r w:rsidR="00B313A8" w:rsidRPr="00333167">
        <w:rPr>
          <w:rFonts w:asciiTheme="minorHAnsi" w:hAnsiTheme="minorHAnsi" w:cstheme="minorHAnsi"/>
        </w:rPr>
        <w:t xml:space="preserve"> the total</w:t>
      </w:r>
      <w:r w:rsidR="000B406A" w:rsidRPr="00333167">
        <w:rPr>
          <w:rFonts w:asciiTheme="minorHAnsi" w:hAnsiTheme="minorHAnsi" w:cstheme="minorHAnsi"/>
        </w:rPr>
        <w:t xml:space="preserve"> elig</w:t>
      </w:r>
      <w:r w:rsidR="00B313A8" w:rsidRPr="00333167">
        <w:rPr>
          <w:rFonts w:asciiTheme="minorHAnsi" w:hAnsiTheme="minorHAnsi" w:cstheme="minorHAnsi"/>
        </w:rPr>
        <w:t>ible multi-year cost</w:t>
      </w:r>
      <w:r w:rsidR="000B406A" w:rsidRPr="00333167">
        <w:rPr>
          <w:rFonts w:asciiTheme="minorHAnsi" w:hAnsiTheme="minorHAnsi" w:cstheme="minorHAnsi"/>
        </w:rPr>
        <w:t xml:space="preserve"> in the first year of the contract.</w:t>
      </w:r>
    </w:p>
    <w:p w:rsidR="00D32AE6" w:rsidRPr="00333167" w:rsidRDefault="00D32AE6" w:rsidP="00D32AE6">
      <w:pPr>
        <w:pStyle w:val="ListParagraph"/>
        <w:ind w:left="360"/>
        <w:rPr>
          <w:rFonts w:asciiTheme="minorHAnsi" w:hAnsiTheme="minorHAnsi" w:cstheme="minorHAnsi"/>
        </w:rPr>
      </w:pPr>
    </w:p>
    <w:p w:rsidR="00D32AE6" w:rsidRPr="00333167" w:rsidRDefault="00D32AE6" w:rsidP="00097CDE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The FCC needs to resolve the issue of License</w:t>
      </w:r>
      <w:r w:rsidR="00665CE2" w:rsidRPr="00333167">
        <w:rPr>
          <w:rFonts w:asciiTheme="minorHAnsi" w:hAnsiTheme="minorHAnsi" w:cstheme="minorHAnsi"/>
        </w:rPr>
        <w:t>s vs. BMIC, especially for bundled products that include some elements of both</w:t>
      </w:r>
      <w:r w:rsidR="00B313A8" w:rsidRPr="00333167">
        <w:rPr>
          <w:rFonts w:asciiTheme="minorHAnsi" w:hAnsiTheme="minorHAnsi" w:cstheme="minorHAnsi"/>
        </w:rPr>
        <w:t xml:space="preserve"> service categories</w:t>
      </w:r>
      <w:r w:rsidR="00665CE2" w:rsidRPr="00333167">
        <w:rPr>
          <w:rFonts w:asciiTheme="minorHAnsi" w:hAnsiTheme="minorHAnsi" w:cstheme="minorHAnsi"/>
        </w:rPr>
        <w:t>.  Sometimes USAC/SLD determines that these products are in the Internal Connections category, and sometimes</w:t>
      </w:r>
      <w:r w:rsidR="003A5A4C" w:rsidRPr="00333167">
        <w:rPr>
          <w:rFonts w:asciiTheme="minorHAnsi" w:hAnsiTheme="minorHAnsi" w:cstheme="minorHAnsi"/>
        </w:rPr>
        <w:t xml:space="preserve"> that</w:t>
      </w:r>
      <w:r w:rsidR="00665CE2" w:rsidRPr="00333167">
        <w:rPr>
          <w:rFonts w:asciiTheme="minorHAnsi" w:hAnsiTheme="minorHAnsi" w:cstheme="minorHAnsi"/>
        </w:rPr>
        <w:t xml:space="preserve"> they are in the Basic Maintenance of Internal Connections category.  If t</w:t>
      </w:r>
      <w:r w:rsidR="00B313A8" w:rsidRPr="00333167">
        <w:rPr>
          <w:rFonts w:asciiTheme="minorHAnsi" w:hAnsiTheme="minorHAnsi" w:cstheme="minorHAnsi"/>
        </w:rPr>
        <w:t>he applicant lists the wrong category on its</w:t>
      </w:r>
      <w:r w:rsidR="00665CE2" w:rsidRPr="00333167">
        <w:rPr>
          <w:rFonts w:asciiTheme="minorHAnsi" w:hAnsiTheme="minorHAnsi" w:cstheme="minorHAnsi"/>
        </w:rPr>
        <w:t xml:space="preserve"> Form 470, then the funding request will be denied.</w:t>
      </w:r>
    </w:p>
    <w:p w:rsidR="008004D5" w:rsidRPr="00333167" w:rsidRDefault="008004D5" w:rsidP="008004D5">
      <w:pPr>
        <w:pStyle w:val="ListParagraph"/>
        <w:ind w:left="360"/>
        <w:rPr>
          <w:rFonts w:asciiTheme="minorHAnsi" w:hAnsiTheme="minorHAnsi" w:cstheme="minorHAnsi"/>
        </w:rPr>
      </w:pPr>
    </w:p>
    <w:p w:rsidR="00D32AE6" w:rsidRPr="00333167" w:rsidRDefault="008004D5" w:rsidP="00D32AE6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lastRenderedPageBreak/>
        <w:t>The Eligible Se</w:t>
      </w:r>
      <w:bookmarkStart w:id="0" w:name="_GoBack"/>
      <w:bookmarkEnd w:id="0"/>
      <w:r w:rsidRPr="00333167">
        <w:rPr>
          <w:rFonts w:asciiTheme="minorHAnsi" w:hAnsiTheme="minorHAnsi" w:cstheme="minorHAnsi"/>
        </w:rPr>
        <w:t xml:space="preserve">rvice List should be expanded to </w:t>
      </w:r>
      <w:r w:rsidR="00D32AE6" w:rsidRPr="00333167">
        <w:rPr>
          <w:rFonts w:asciiTheme="minorHAnsi" w:hAnsiTheme="minorHAnsi" w:cstheme="minorHAnsi"/>
        </w:rPr>
        <w:t>include Internet access services and WiFi service for school buses.</w:t>
      </w:r>
    </w:p>
    <w:p w:rsidR="00D32AE6" w:rsidRPr="00333167" w:rsidRDefault="00D32AE6" w:rsidP="00D32AE6">
      <w:pPr>
        <w:pStyle w:val="ListParagraph"/>
        <w:rPr>
          <w:rFonts w:asciiTheme="minorHAnsi" w:hAnsiTheme="minorHAnsi" w:cstheme="minorHAnsi"/>
        </w:rPr>
      </w:pPr>
    </w:p>
    <w:p w:rsidR="00B325A3" w:rsidRPr="00333167" w:rsidRDefault="00B325A3" w:rsidP="00B325A3">
      <w:pPr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Respectfully submitted:</w:t>
      </w:r>
    </w:p>
    <w:p w:rsidR="00B325A3" w:rsidRPr="00333167" w:rsidRDefault="00B325A3" w:rsidP="00B325A3">
      <w:pPr>
        <w:rPr>
          <w:rFonts w:asciiTheme="minorHAnsi" w:hAnsiTheme="minorHAnsi" w:cstheme="minorHAnsi"/>
        </w:rPr>
      </w:pPr>
    </w:p>
    <w:p w:rsidR="00B325A3" w:rsidRPr="00333167" w:rsidRDefault="009C667E" w:rsidP="00B325A3">
      <w:pPr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Angela</w:t>
      </w:r>
      <w:r w:rsidR="00B325A3" w:rsidRPr="00333167">
        <w:rPr>
          <w:rFonts w:asciiTheme="minorHAnsi" w:hAnsiTheme="minorHAnsi" w:cstheme="minorHAnsi"/>
        </w:rPr>
        <w:t xml:space="preserve"> Visintainer</w:t>
      </w:r>
    </w:p>
    <w:p w:rsidR="00B325A3" w:rsidRPr="00333167" w:rsidRDefault="00B325A3" w:rsidP="00B325A3">
      <w:pPr>
        <w:rPr>
          <w:rFonts w:asciiTheme="minorHAnsi" w:hAnsiTheme="minorHAnsi" w:cstheme="minorHAnsi"/>
        </w:rPr>
      </w:pPr>
      <w:r w:rsidRPr="00333167">
        <w:rPr>
          <w:rFonts w:asciiTheme="minorHAnsi" w:hAnsiTheme="minorHAnsi" w:cstheme="minorHAnsi"/>
        </w:rPr>
        <w:t>Vitech Consulting LLC</w:t>
      </w:r>
    </w:p>
    <w:p w:rsidR="009C667E" w:rsidRPr="00333167" w:rsidRDefault="000373D5" w:rsidP="00B325A3">
      <w:pPr>
        <w:rPr>
          <w:rFonts w:asciiTheme="minorHAnsi" w:hAnsiTheme="minorHAnsi" w:cstheme="minorHAnsi"/>
        </w:rPr>
      </w:pPr>
      <w:hyperlink r:id="rId7" w:history="1">
        <w:r w:rsidR="00333167" w:rsidRPr="00203A77">
          <w:rPr>
            <w:rStyle w:val="Hyperlink"/>
            <w:rFonts w:asciiTheme="minorHAnsi" w:hAnsiTheme="minorHAnsi" w:cstheme="minorHAnsi"/>
          </w:rPr>
          <w:t>angievisintainer@gmail.com</w:t>
        </w:r>
      </w:hyperlink>
      <w:r w:rsidR="00333167">
        <w:rPr>
          <w:rFonts w:asciiTheme="minorHAnsi" w:hAnsiTheme="minorHAnsi" w:cstheme="minorHAnsi"/>
        </w:rPr>
        <w:t xml:space="preserve"> | 410.924.0223</w:t>
      </w:r>
    </w:p>
    <w:sectPr w:rsidR="009C667E" w:rsidRPr="00333167" w:rsidSect="00665CE2">
      <w:headerReference w:type="default" r:id="rId8"/>
      <w:pgSz w:w="12240" w:h="15840"/>
      <w:pgMar w:top="1152" w:right="1008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3D5" w:rsidRDefault="000373D5" w:rsidP="00333167">
      <w:r>
        <w:separator/>
      </w:r>
    </w:p>
  </w:endnote>
  <w:endnote w:type="continuationSeparator" w:id="0">
    <w:p w:rsidR="000373D5" w:rsidRDefault="000373D5" w:rsidP="0033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3D5" w:rsidRDefault="000373D5" w:rsidP="00333167">
      <w:r>
        <w:separator/>
      </w:r>
    </w:p>
  </w:footnote>
  <w:footnote w:type="continuationSeparator" w:id="0">
    <w:p w:rsidR="000373D5" w:rsidRDefault="000373D5" w:rsidP="00333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67" w:rsidRDefault="00333167" w:rsidP="00333167">
    <w:pPr>
      <w:pStyle w:val="Header"/>
      <w:jc w:val="center"/>
    </w:pPr>
    <w:r>
      <w:rPr>
        <w:noProof/>
      </w:rPr>
      <w:drawing>
        <wp:inline distT="0" distB="0" distL="0" distR="0">
          <wp:extent cx="1805940" cy="849170"/>
          <wp:effectExtent l="0" t="0" r="381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500" cy="865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3167" w:rsidRPr="00333167" w:rsidRDefault="00333167" w:rsidP="00333167">
    <w:pPr>
      <w:pStyle w:val="Header"/>
      <w:jc w:val="center"/>
      <w:rPr>
        <w:rFonts w:asciiTheme="minorHAnsi" w:hAnsiTheme="minorHAnsi" w:cstheme="minorHAnsi"/>
        <w:color w:val="7B7B7B" w:themeColor="accent3" w:themeShade="BF"/>
        <w:sz w:val="10"/>
        <w:szCs w:val="10"/>
      </w:rPr>
    </w:pPr>
  </w:p>
  <w:p w:rsidR="00333167" w:rsidRDefault="00333167" w:rsidP="00333167">
    <w:pPr>
      <w:pStyle w:val="Header"/>
      <w:jc w:val="center"/>
      <w:rPr>
        <w:rFonts w:asciiTheme="minorHAnsi" w:hAnsiTheme="minorHAnsi" w:cstheme="minorHAnsi"/>
        <w:color w:val="7B7B7B" w:themeColor="accent3" w:themeShade="BF"/>
        <w:sz w:val="20"/>
        <w:szCs w:val="20"/>
      </w:rPr>
    </w:pPr>
    <w:r>
      <w:rPr>
        <w:rFonts w:asciiTheme="minorHAnsi" w:hAnsiTheme="minorHAnsi" w:cstheme="minorHAnsi"/>
        <w:color w:val="7B7B7B" w:themeColor="accent3" w:themeShade="BF"/>
        <w:sz w:val="20"/>
        <w:szCs w:val="20"/>
      </w:rPr>
      <w:t>8616 Hickory Place, Denton, MD 21629</w:t>
    </w:r>
  </w:p>
  <w:p w:rsidR="00333167" w:rsidRDefault="00333167" w:rsidP="00333167">
    <w:pPr>
      <w:pStyle w:val="Header"/>
      <w:jc w:val="center"/>
      <w:rPr>
        <w:rFonts w:asciiTheme="minorHAnsi" w:hAnsiTheme="minorHAnsi" w:cstheme="minorHAnsi"/>
        <w:color w:val="7B7B7B" w:themeColor="accent3" w:themeShade="BF"/>
        <w:sz w:val="20"/>
        <w:szCs w:val="20"/>
      </w:rPr>
    </w:pPr>
  </w:p>
  <w:p w:rsidR="00333167" w:rsidRPr="00333167" w:rsidRDefault="00333167" w:rsidP="00333167">
    <w:pPr>
      <w:pStyle w:val="Header"/>
      <w:jc w:val="center"/>
      <w:rPr>
        <w:rFonts w:asciiTheme="minorHAnsi" w:hAnsiTheme="minorHAnsi" w:cstheme="minorHAnsi"/>
        <w:color w:val="7B7B7B" w:themeColor="accent3" w:themeShade="B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D2BC9"/>
    <w:multiLevelType w:val="hybridMultilevel"/>
    <w:tmpl w:val="1B60A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CDE"/>
    <w:rsid w:val="000373D5"/>
    <w:rsid w:val="00097CDE"/>
    <w:rsid w:val="000B406A"/>
    <w:rsid w:val="00333167"/>
    <w:rsid w:val="003A5A4C"/>
    <w:rsid w:val="00445567"/>
    <w:rsid w:val="0049192B"/>
    <w:rsid w:val="0052751A"/>
    <w:rsid w:val="005F4DFB"/>
    <w:rsid w:val="00665CE2"/>
    <w:rsid w:val="008004D5"/>
    <w:rsid w:val="008A6B88"/>
    <w:rsid w:val="009C667E"/>
    <w:rsid w:val="00A255D5"/>
    <w:rsid w:val="00B313A8"/>
    <w:rsid w:val="00B325A3"/>
    <w:rsid w:val="00D32AE6"/>
    <w:rsid w:val="00EB6934"/>
    <w:rsid w:val="00EF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2F3214-EEF2-4DD1-A0BE-F20EA63E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CDE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C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25A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331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331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167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331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6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5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gievisintain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Visintainer</dc:creator>
  <cp:keywords/>
  <dc:description/>
  <cp:lastModifiedBy>Alan Visintainer</cp:lastModifiedBy>
  <cp:revision>2</cp:revision>
  <cp:lastPrinted>2019-08-12T00:41:00Z</cp:lastPrinted>
  <dcterms:created xsi:type="dcterms:W3CDTF">2019-08-12T00:43:00Z</dcterms:created>
  <dcterms:modified xsi:type="dcterms:W3CDTF">2019-08-12T00:43:00Z</dcterms:modified>
</cp:coreProperties>
</file>