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27FC55" w14:textId="77777777" w:rsidR="00F179F9" w:rsidRPr="00E018FF" w:rsidRDefault="00F179F9" w:rsidP="00F179F9">
      <w:pPr>
        <w:spacing w:after="0"/>
        <w:jc w:val="center"/>
        <w:rPr>
          <w:rFonts w:cs="Times New Roman"/>
          <w:szCs w:val="24"/>
        </w:rPr>
      </w:pPr>
      <w:bookmarkStart w:id="0" w:name="_GoBack"/>
      <w:bookmarkEnd w:id="0"/>
      <w:r w:rsidRPr="00E018FF">
        <w:rPr>
          <w:rFonts w:cs="Times New Roman"/>
          <w:szCs w:val="24"/>
        </w:rPr>
        <w:t>Before the</w:t>
      </w:r>
    </w:p>
    <w:p w14:paraId="0A080773" w14:textId="77777777" w:rsidR="003C2E9D" w:rsidRPr="00E018FF" w:rsidRDefault="001D62D5" w:rsidP="00F179F9">
      <w:pPr>
        <w:spacing w:after="0"/>
        <w:jc w:val="center"/>
        <w:rPr>
          <w:rFonts w:cs="Times New Roman"/>
          <w:szCs w:val="24"/>
        </w:rPr>
      </w:pPr>
      <w:r>
        <w:rPr>
          <w:rFonts w:cs="Times New Roman"/>
          <w:szCs w:val="24"/>
        </w:rPr>
        <w:t>Federal Communications Commi</w:t>
      </w:r>
      <w:r w:rsidR="00F179F9" w:rsidRPr="00E018FF">
        <w:rPr>
          <w:rFonts w:cs="Times New Roman"/>
          <w:szCs w:val="24"/>
        </w:rPr>
        <w:t>ssion</w:t>
      </w:r>
    </w:p>
    <w:p w14:paraId="71126D96" w14:textId="77777777" w:rsidR="00F179F9" w:rsidRPr="00E018FF" w:rsidRDefault="00F179F9" w:rsidP="00F179F9">
      <w:pPr>
        <w:spacing w:after="0"/>
        <w:jc w:val="center"/>
        <w:rPr>
          <w:rFonts w:cs="Times New Roman"/>
          <w:szCs w:val="24"/>
        </w:rPr>
      </w:pPr>
      <w:r w:rsidRPr="00E018FF">
        <w:rPr>
          <w:rFonts w:cs="Times New Roman"/>
          <w:szCs w:val="24"/>
        </w:rPr>
        <w:t>Washington, D.C.</w:t>
      </w:r>
    </w:p>
    <w:p w14:paraId="6B031724" w14:textId="77777777" w:rsidR="00F179F9" w:rsidRPr="00E018FF" w:rsidRDefault="00F179F9" w:rsidP="00F179F9">
      <w:pPr>
        <w:spacing w:after="0"/>
        <w:jc w:val="center"/>
        <w:rPr>
          <w:rFonts w:cs="Times New Roman"/>
          <w:szCs w:val="24"/>
        </w:rPr>
      </w:pPr>
    </w:p>
    <w:p w14:paraId="709B9F76" w14:textId="77777777" w:rsidR="00F179F9" w:rsidRDefault="00F179F9" w:rsidP="00E018FF">
      <w:pPr>
        <w:tabs>
          <w:tab w:val="left" w:pos="4680"/>
          <w:tab w:val="left" w:pos="5400"/>
        </w:tabs>
        <w:spacing w:after="0"/>
        <w:rPr>
          <w:rFonts w:cs="Times New Roman"/>
          <w:szCs w:val="24"/>
        </w:rPr>
      </w:pPr>
      <w:r w:rsidRPr="00E018FF">
        <w:rPr>
          <w:rFonts w:cs="Times New Roman"/>
          <w:szCs w:val="24"/>
        </w:rPr>
        <w:t>In the matter of</w:t>
      </w:r>
      <w:r w:rsidR="00E018FF">
        <w:rPr>
          <w:rFonts w:cs="Times New Roman"/>
          <w:szCs w:val="24"/>
        </w:rPr>
        <w:tab/>
        <w:t>)</w:t>
      </w:r>
      <w:r w:rsidR="00E018FF">
        <w:rPr>
          <w:rFonts w:cs="Times New Roman"/>
          <w:szCs w:val="24"/>
        </w:rPr>
        <w:tab/>
      </w:r>
    </w:p>
    <w:p w14:paraId="1D41548D" w14:textId="77777777" w:rsidR="00E018FF" w:rsidRDefault="00E018FF" w:rsidP="00E018FF">
      <w:pPr>
        <w:tabs>
          <w:tab w:val="left" w:pos="4680"/>
          <w:tab w:val="left" w:pos="5400"/>
        </w:tabs>
        <w:spacing w:after="0"/>
        <w:rPr>
          <w:rFonts w:cs="Times New Roman"/>
          <w:szCs w:val="24"/>
        </w:rPr>
      </w:pPr>
      <w:r>
        <w:rPr>
          <w:rFonts w:cs="Times New Roman"/>
          <w:szCs w:val="24"/>
        </w:rPr>
        <w:tab/>
        <w:t>)</w:t>
      </w:r>
    </w:p>
    <w:p w14:paraId="6E55613D" w14:textId="77777777" w:rsidR="00F179F9" w:rsidRDefault="00E018FF" w:rsidP="00E018FF">
      <w:pPr>
        <w:tabs>
          <w:tab w:val="left" w:pos="4680"/>
          <w:tab w:val="left" w:pos="5400"/>
        </w:tabs>
        <w:spacing w:after="0"/>
        <w:rPr>
          <w:rFonts w:cs="Times New Roman"/>
          <w:szCs w:val="24"/>
        </w:rPr>
      </w:pPr>
      <w:r>
        <w:rPr>
          <w:rFonts w:cs="Times New Roman"/>
          <w:szCs w:val="24"/>
        </w:rPr>
        <w:t>Rules and Regulations Implementing the</w:t>
      </w:r>
      <w:r>
        <w:rPr>
          <w:rFonts w:cs="Times New Roman"/>
          <w:szCs w:val="24"/>
        </w:rPr>
        <w:tab/>
        <w:t>)</w:t>
      </w:r>
    </w:p>
    <w:p w14:paraId="5C804DF4" w14:textId="77777777" w:rsidR="00E018FF" w:rsidRDefault="00E018FF" w:rsidP="00E018FF">
      <w:pPr>
        <w:tabs>
          <w:tab w:val="left" w:pos="4680"/>
          <w:tab w:val="left" w:pos="5400"/>
        </w:tabs>
        <w:spacing w:after="0"/>
        <w:rPr>
          <w:rFonts w:cs="Times New Roman"/>
          <w:szCs w:val="24"/>
        </w:rPr>
      </w:pPr>
      <w:r>
        <w:rPr>
          <w:rFonts w:cs="Times New Roman"/>
          <w:szCs w:val="24"/>
        </w:rPr>
        <w:t>Telephone Consumer Protection Act of 1991</w:t>
      </w:r>
      <w:r>
        <w:rPr>
          <w:rFonts w:cs="Times New Roman"/>
          <w:szCs w:val="24"/>
        </w:rPr>
        <w:tab/>
        <w:t>)</w:t>
      </w:r>
      <w:r>
        <w:rPr>
          <w:rFonts w:cs="Times New Roman"/>
          <w:szCs w:val="24"/>
        </w:rPr>
        <w:tab/>
        <w:t>CG Docket Number 02-278</w:t>
      </w:r>
    </w:p>
    <w:p w14:paraId="413B7FF4" w14:textId="77777777" w:rsidR="00E018FF" w:rsidRDefault="00E018FF" w:rsidP="00E018FF">
      <w:pPr>
        <w:tabs>
          <w:tab w:val="left" w:pos="4680"/>
          <w:tab w:val="left" w:pos="5400"/>
        </w:tabs>
        <w:spacing w:after="0"/>
        <w:rPr>
          <w:rFonts w:cs="Times New Roman"/>
          <w:szCs w:val="24"/>
        </w:rPr>
      </w:pPr>
      <w:r>
        <w:rPr>
          <w:rFonts w:cs="Times New Roman"/>
          <w:szCs w:val="24"/>
        </w:rPr>
        <w:tab/>
        <w:t>)</w:t>
      </w:r>
    </w:p>
    <w:p w14:paraId="22A88637" w14:textId="77777777" w:rsidR="00E018FF" w:rsidRDefault="00E018FF" w:rsidP="00E018FF">
      <w:pPr>
        <w:tabs>
          <w:tab w:val="left" w:pos="4680"/>
          <w:tab w:val="left" w:pos="5400"/>
        </w:tabs>
        <w:spacing w:after="0"/>
        <w:rPr>
          <w:rFonts w:cs="Times New Roman"/>
          <w:szCs w:val="24"/>
        </w:rPr>
      </w:pPr>
      <w:r>
        <w:rPr>
          <w:rFonts w:cs="Times New Roman"/>
          <w:szCs w:val="24"/>
        </w:rPr>
        <w:t>Junk Fax Prevention Act of 2005</w:t>
      </w:r>
      <w:r>
        <w:rPr>
          <w:rFonts w:cs="Times New Roman"/>
          <w:szCs w:val="24"/>
        </w:rPr>
        <w:tab/>
        <w:t>)</w:t>
      </w:r>
      <w:r>
        <w:rPr>
          <w:rFonts w:cs="Times New Roman"/>
          <w:szCs w:val="24"/>
        </w:rPr>
        <w:tab/>
        <w:t>CG Docket Number 05-</w:t>
      </w:r>
      <w:r w:rsidR="001D62D5">
        <w:rPr>
          <w:rFonts w:cs="Times New Roman"/>
          <w:szCs w:val="24"/>
        </w:rPr>
        <w:t>338</w:t>
      </w:r>
      <w:r>
        <w:rPr>
          <w:rFonts w:cs="Times New Roman"/>
          <w:szCs w:val="24"/>
        </w:rPr>
        <w:tab/>
      </w:r>
      <w:r>
        <w:rPr>
          <w:rFonts w:cs="Times New Roman"/>
          <w:szCs w:val="24"/>
        </w:rPr>
        <w:tab/>
      </w:r>
    </w:p>
    <w:p w14:paraId="3631A5E7" w14:textId="77777777" w:rsidR="00E018FF" w:rsidRDefault="00E018FF" w:rsidP="00E018FF">
      <w:pPr>
        <w:tabs>
          <w:tab w:val="left" w:pos="4680"/>
          <w:tab w:val="left" w:pos="5400"/>
        </w:tabs>
        <w:spacing w:after="0"/>
        <w:rPr>
          <w:rFonts w:cs="Times New Roman"/>
          <w:szCs w:val="24"/>
        </w:rPr>
      </w:pPr>
      <w:r>
        <w:rPr>
          <w:rFonts w:cs="Times New Roman"/>
          <w:szCs w:val="24"/>
        </w:rPr>
        <w:tab/>
        <w:t>)</w:t>
      </w:r>
    </w:p>
    <w:p w14:paraId="29B6520E" w14:textId="77777777" w:rsidR="00E018FF" w:rsidRDefault="00E018FF" w:rsidP="00E018FF">
      <w:pPr>
        <w:tabs>
          <w:tab w:val="left" w:pos="4680"/>
          <w:tab w:val="left" w:pos="5400"/>
        </w:tabs>
        <w:spacing w:after="0"/>
        <w:rPr>
          <w:rFonts w:cs="Times New Roman"/>
          <w:szCs w:val="24"/>
        </w:rPr>
      </w:pPr>
      <w:r>
        <w:rPr>
          <w:rFonts w:cs="Times New Roman"/>
          <w:szCs w:val="24"/>
        </w:rPr>
        <w:t>Petition for Expedited Declaratory Ruling of</w:t>
      </w:r>
      <w:r>
        <w:rPr>
          <w:rFonts w:cs="Times New Roman"/>
          <w:szCs w:val="24"/>
        </w:rPr>
        <w:tab/>
        <w:t>)</w:t>
      </w:r>
    </w:p>
    <w:p w14:paraId="5276B355" w14:textId="77777777" w:rsidR="00E018FF" w:rsidRDefault="00E018FF" w:rsidP="00E018FF">
      <w:pPr>
        <w:tabs>
          <w:tab w:val="left" w:pos="4680"/>
          <w:tab w:val="left" w:pos="5400"/>
        </w:tabs>
        <w:spacing w:after="0"/>
        <w:rPr>
          <w:rFonts w:cs="Times New Roman"/>
          <w:szCs w:val="24"/>
        </w:rPr>
      </w:pPr>
      <w:proofErr w:type="spellStart"/>
      <w:r>
        <w:rPr>
          <w:rFonts w:cs="Times New Roman"/>
          <w:szCs w:val="24"/>
        </w:rPr>
        <w:t>Amerifactors</w:t>
      </w:r>
      <w:proofErr w:type="spellEnd"/>
      <w:r>
        <w:rPr>
          <w:rFonts w:cs="Times New Roman"/>
          <w:szCs w:val="24"/>
        </w:rPr>
        <w:t xml:space="preserve"> Financial Group, LLC</w:t>
      </w:r>
      <w:r>
        <w:rPr>
          <w:rFonts w:cs="Times New Roman"/>
          <w:szCs w:val="24"/>
        </w:rPr>
        <w:tab/>
        <w:t>)</w:t>
      </w:r>
    </w:p>
    <w:p w14:paraId="2ECAB253" w14:textId="77777777" w:rsidR="001D62D5" w:rsidRDefault="001D62D5" w:rsidP="00E018FF">
      <w:pPr>
        <w:tabs>
          <w:tab w:val="left" w:pos="4680"/>
          <w:tab w:val="left" w:pos="5400"/>
        </w:tabs>
        <w:spacing w:after="0"/>
        <w:rPr>
          <w:rFonts w:cs="Times New Roman"/>
          <w:szCs w:val="24"/>
        </w:rPr>
      </w:pPr>
    </w:p>
    <w:p w14:paraId="3127E9F4" w14:textId="77777777" w:rsidR="001D62D5" w:rsidRDefault="001D62D5" w:rsidP="001D62D5">
      <w:pPr>
        <w:tabs>
          <w:tab w:val="left" w:pos="4680"/>
          <w:tab w:val="left" w:pos="5400"/>
        </w:tabs>
        <w:spacing w:after="0"/>
        <w:jc w:val="center"/>
        <w:rPr>
          <w:rFonts w:cs="Times New Roman"/>
          <w:szCs w:val="24"/>
        </w:rPr>
      </w:pPr>
    </w:p>
    <w:p w14:paraId="6346FA46" w14:textId="77777777" w:rsidR="001D62D5" w:rsidRDefault="001D62D5" w:rsidP="001D62D5">
      <w:pPr>
        <w:tabs>
          <w:tab w:val="left" w:pos="4680"/>
          <w:tab w:val="left" w:pos="5400"/>
        </w:tabs>
        <w:spacing w:after="0"/>
        <w:jc w:val="center"/>
        <w:rPr>
          <w:rFonts w:cs="Times New Roman"/>
          <w:szCs w:val="24"/>
        </w:rPr>
      </w:pPr>
    </w:p>
    <w:p w14:paraId="34FC37F5" w14:textId="77777777" w:rsidR="001D62D5" w:rsidRDefault="001D62D5" w:rsidP="001D62D5">
      <w:pPr>
        <w:tabs>
          <w:tab w:val="left" w:pos="4680"/>
          <w:tab w:val="left" w:pos="5400"/>
        </w:tabs>
        <w:spacing w:after="0"/>
        <w:jc w:val="center"/>
        <w:rPr>
          <w:rFonts w:cs="Times New Roman"/>
          <w:szCs w:val="24"/>
        </w:rPr>
      </w:pPr>
    </w:p>
    <w:p w14:paraId="4AFB7464" w14:textId="77777777" w:rsidR="001D62D5" w:rsidRDefault="001D62D5" w:rsidP="001D62D5">
      <w:pPr>
        <w:tabs>
          <w:tab w:val="left" w:pos="4680"/>
          <w:tab w:val="left" w:pos="5400"/>
        </w:tabs>
        <w:spacing w:after="0"/>
        <w:jc w:val="center"/>
        <w:rPr>
          <w:rFonts w:cs="Times New Roman"/>
          <w:szCs w:val="24"/>
        </w:rPr>
      </w:pPr>
      <w:r>
        <w:rPr>
          <w:rFonts w:cs="Times New Roman"/>
          <w:szCs w:val="24"/>
        </w:rPr>
        <w:t>COMMENTS</w:t>
      </w:r>
    </w:p>
    <w:p w14:paraId="2BACF79F" w14:textId="77777777" w:rsidR="001D62D5" w:rsidRDefault="001D62D5" w:rsidP="001D62D5">
      <w:pPr>
        <w:tabs>
          <w:tab w:val="left" w:pos="4680"/>
          <w:tab w:val="left" w:pos="5400"/>
        </w:tabs>
        <w:spacing w:after="0"/>
        <w:rPr>
          <w:rFonts w:cs="Times New Roman"/>
          <w:szCs w:val="24"/>
        </w:rPr>
      </w:pPr>
    </w:p>
    <w:p w14:paraId="25A459B1" w14:textId="77777777" w:rsidR="001D62D5" w:rsidRDefault="001D62D5" w:rsidP="001D62D5">
      <w:pPr>
        <w:tabs>
          <w:tab w:val="left" w:pos="4680"/>
          <w:tab w:val="left" w:pos="5400"/>
        </w:tabs>
        <w:spacing w:after="0"/>
        <w:rPr>
          <w:rFonts w:cs="Times New Roman"/>
          <w:szCs w:val="24"/>
        </w:rPr>
      </w:pPr>
    </w:p>
    <w:p w14:paraId="2D11A75B" w14:textId="77777777" w:rsidR="001D62D5" w:rsidRDefault="001D62D5" w:rsidP="001D62D5">
      <w:pPr>
        <w:tabs>
          <w:tab w:val="left" w:pos="4680"/>
          <w:tab w:val="left" w:pos="5400"/>
        </w:tabs>
        <w:spacing w:after="0"/>
        <w:rPr>
          <w:rFonts w:cs="Times New Roman"/>
          <w:szCs w:val="24"/>
        </w:rPr>
      </w:pPr>
    </w:p>
    <w:p w14:paraId="194E0F8C" w14:textId="77777777" w:rsidR="001D62D5" w:rsidRDefault="001D62D5" w:rsidP="001D62D5">
      <w:pPr>
        <w:tabs>
          <w:tab w:val="left" w:pos="4680"/>
          <w:tab w:val="left" w:pos="5400"/>
        </w:tabs>
        <w:spacing w:after="0"/>
        <w:rPr>
          <w:rFonts w:cs="Times New Roman"/>
          <w:szCs w:val="24"/>
        </w:rPr>
      </w:pPr>
    </w:p>
    <w:p w14:paraId="62B73E41" w14:textId="77777777" w:rsidR="001D62D5" w:rsidRDefault="001D62D5" w:rsidP="001D62D5">
      <w:pPr>
        <w:tabs>
          <w:tab w:val="left" w:pos="4680"/>
          <w:tab w:val="left" w:pos="5400"/>
        </w:tabs>
        <w:spacing w:after="0"/>
        <w:rPr>
          <w:rFonts w:cs="Times New Roman"/>
          <w:szCs w:val="24"/>
        </w:rPr>
      </w:pPr>
    </w:p>
    <w:p w14:paraId="2ADC3FFF" w14:textId="77777777" w:rsidR="001D62D5" w:rsidRDefault="001D62D5" w:rsidP="001D62D5">
      <w:pPr>
        <w:tabs>
          <w:tab w:val="left" w:pos="4680"/>
          <w:tab w:val="left" w:pos="5400"/>
        </w:tabs>
        <w:spacing w:after="0"/>
        <w:rPr>
          <w:rFonts w:cs="Times New Roman"/>
          <w:szCs w:val="24"/>
        </w:rPr>
      </w:pPr>
    </w:p>
    <w:p w14:paraId="5E8FE131" w14:textId="77777777" w:rsidR="001D62D5" w:rsidRDefault="001D62D5" w:rsidP="001D62D5">
      <w:pPr>
        <w:tabs>
          <w:tab w:val="left" w:pos="4680"/>
          <w:tab w:val="left" w:pos="5400"/>
        </w:tabs>
        <w:spacing w:after="0"/>
        <w:rPr>
          <w:rFonts w:cs="Times New Roman"/>
          <w:szCs w:val="24"/>
        </w:rPr>
      </w:pPr>
      <w:r>
        <w:rPr>
          <w:rFonts w:cs="Times New Roman"/>
          <w:szCs w:val="24"/>
        </w:rPr>
        <w:tab/>
      </w:r>
      <w:r>
        <w:rPr>
          <w:rFonts w:cs="Times New Roman"/>
          <w:szCs w:val="24"/>
        </w:rPr>
        <w:tab/>
        <w:t>John A. Shaw</w:t>
      </w:r>
    </w:p>
    <w:p w14:paraId="50BF008C" w14:textId="77777777" w:rsidR="001D62D5" w:rsidRDefault="001D62D5" w:rsidP="001D62D5">
      <w:pPr>
        <w:tabs>
          <w:tab w:val="left" w:pos="4680"/>
          <w:tab w:val="left" w:pos="5400"/>
        </w:tabs>
        <w:spacing w:after="0"/>
        <w:rPr>
          <w:rFonts w:cs="Times New Roman"/>
          <w:szCs w:val="24"/>
        </w:rPr>
      </w:pPr>
      <w:r>
        <w:rPr>
          <w:rFonts w:cs="Times New Roman"/>
          <w:szCs w:val="24"/>
        </w:rPr>
        <w:tab/>
      </w:r>
      <w:r>
        <w:rPr>
          <w:rFonts w:cs="Times New Roman"/>
          <w:szCs w:val="24"/>
        </w:rPr>
        <w:tab/>
        <w:t>374 Cromwell Drive</w:t>
      </w:r>
    </w:p>
    <w:p w14:paraId="4A84DC57" w14:textId="77777777" w:rsidR="001D62D5" w:rsidRDefault="001D62D5" w:rsidP="001D62D5">
      <w:pPr>
        <w:tabs>
          <w:tab w:val="left" w:pos="4680"/>
          <w:tab w:val="left" w:pos="5400"/>
        </w:tabs>
        <w:spacing w:after="0"/>
        <w:rPr>
          <w:rFonts w:cs="Times New Roman"/>
          <w:szCs w:val="24"/>
        </w:rPr>
      </w:pPr>
      <w:r>
        <w:rPr>
          <w:rFonts w:cs="Times New Roman"/>
          <w:szCs w:val="24"/>
        </w:rPr>
        <w:tab/>
      </w:r>
      <w:r>
        <w:rPr>
          <w:rFonts w:cs="Times New Roman"/>
          <w:szCs w:val="24"/>
        </w:rPr>
        <w:tab/>
        <w:t>Rochester, NY 14610</w:t>
      </w:r>
    </w:p>
    <w:p w14:paraId="6605DB82" w14:textId="77777777" w:rsidR="001D62D5" w:rsidRDefault="001D62D5" w:rsidP="001D62D5">
      <w:pPr>
        <w:tabs>
          <w:tab w:val="left" w:pos="4680"/>
          <w:tab w:val="left" w:pos="5400"/>
        </w:tabs>
        <w:spacing w:after="0"/>
        <w:rPr>
          <w:rFonts w:cs="Times New Roman"/>
          <w:szCs w:val="24"/>
        </w:rPr>
      </w:pPr>
      <w:r>
        <w:rPr>
          <w:rFonts w:cs="Times New Roman"/>
          <w:szCs w:val="24"/>
        </w:rPr>
        <w:tab/>
      </w:r>
      <w:r>
        <w:rPr>
          <w:rFonts w:cs="Times New Roman"/>
          <w:szCs w:val="24"/>
        </w:rPr>
        <w:tab/>
      </w:r>
      <w:hyperlink r:id="rId7" w:history="1">
        <w:r w:rsidRPr="00775ABC">
          <w:rPr>
            <w:rStyle w:val="Hyperlink"/>
            <w:rFonts w:cs="Times New Roman"/>
            <w:szCs w:val="24"/>
          </w:rPr>
          <w:t>john@jashaw.com</w:t>
        </w:r>
      </w:hyperlink>
    </w:p>
    <w:p w14:paraId="09C2E545" w14:textId="77777777" w:rsidR="001D62D5" w:rsidRDefault="001D62D5" w:rsidP="001D62D5">
      <w:pPr>
        <w:tabs>
          <w:tab w:val="left" w:pos="4680"/>
          <w:tab w:val="left" w:pos="5400"/>
        </w:tabs>
        <w:spacing w:after="0"/>
        <w:rPr>
          <w:rFonts w:cs="Times New Roman"/>
          <w:szCs w:val="24"/>
        </w:rPr>
      </w:pPr>
    </w:p>
    <w:p w14:paraId="14E22FC8" w14:textId="2F7FC51A" w:rsidR="001D62D5" w:rsidRDefault="001D62D5" w:rsidP="001D62D5">
      <w:pPr>
        <w:tabs>
          <w:tab w:val="left" w:pos="4680"/>
          <w:tab w:val="left" w:pos="5400"/>
        </w:tabs>
        <w:spacing w:after="0"/>
        <w:rPr>
          <w:rFonts w:cs="Times New Roman"/>
          <w:szCs w:val="24"/>
        </w:rPr>
      </w:pPr>
      <w:r>
        <w:rPr>
          <w:rFonts w:cs="Times New Roman"/>
          <w:szCs w:val="24"/>
        </w:rPr>
        <w:tab/>
      </w:r>
      <w:r>
        <w:rPr>
          <w:rFonts w:cs="Times New Roman"/>
          <w:szCs w:val="24"/>
        </w:rPr>
        <w:tab/>
        <w:t>August 1</w:t>
      </w:r>
      <w:r w:rsidR="00D11009">
        <w:rPr>
          <w:rFonts w:cs="Times New Roman"/>
          <w:szCs w:val="24"/>
        </w:rPr>
        <w:t>7</w:t>
      </w:r>
      <w:r>
        <w:rPr>
          <w:rFonts w:cs="Times New Roman"/>
          <w:szCs w:val="24"/>
        </w:rPr>
        <w:t>, 2017</w:t>
      </w:r>
    </w:p>
    <w:p w14:paraId="444FC979" w14:textId="77777777" w:rsidR="001D62D5" w:rsidRDefault="001D62D5" w:rsidP="001D62D5">
      <w:pPr>
        <w:tabs>
          <w:tab w:val="left" w:pos="4680"/>
          <w:tab w:val="left" w:pos="5400"/>
        </w:tabs>
        <w:spacing w:after="0"/>
        <w:rPr>
          <w:rFonts w:cs="Times New Roman"/>
          <w:szCs w:val="24"/>
        </w:rPr>
      </w:pPr>
    </w:p>
    <w:p w14:paraId="43F0FB2D" w14:textId="77777777" w:rsidR="001D62D5" w:rsidRDefault="001D62D5" w:rsidP="001D62D5">
      <w:pPr>
        <w:tabs>
          <w:tab w:val="left" w:pos="4680"/>
          <w:tab w:val="left" w:pos="5400"/>
        </w:tabs>
        <w:spacing w:after="0"/>
        <w:rPr>
          <w:rFonts w:cs="Times New Roman"/>
          <w:szCs w:val="24"/>
        </w:rPr>
      </w:pPr>
    </w:p>
    <w:p w14:paraId="0EE0CD7C" w14:textId="77777777" w:rsidR="002C3F16" w:rsidRDefault="002C3F16">
      <w:pPr>
        <w:rPr>
          <w:rFonts w:cs="Times New Roman"/>
          <w:szCs w:val="24"/>
        </w:rPr>
      </w:pPr>
      <w:r>
        <w:rPr>
          <w:rFonts w:cs="Times New Roman"/>
          <w:szCs w:val="24"/>
        </w:rPr>
        <w:br w:type="page"/>
      </w:r>
    </w:p>
    <w:p w14:paraId="6137C33F" w14:textId="77777777" w:rsidR="001D62D5" w:rsidRPr="00642228" w:rsidRDefault="002C3F16" w:rsidP="00D15C56">
      <w:pPr>
        <w:pStyle w:val="Heading1"/>
      </w:pPr>
      <w:r w:rsidRPr="00642228">
        <w:lastRenderedPageBreak/>
        <w:t xml:space="preserve">Introduction </w:t>
      </w:r>
      <w:r w:rsidRPr="00D15C56">
        <w:t>and</w:t>
      </w:r>
      <w:r w:rsidRPr="00642228">
        <w:t xml:space="preserve"> </w:t>
      </w:r>
      <w:r w:rsidRPr="00777D2A">
        <w:t>Summary</w:t>
      </w:r>
    </w:p>
    <w:p w14:paraId="334A2061" w14:textId="422C2D13" w:rsidR="00E02A25" w:rsidRDefault="00C01D0A" w:rsidP="00777D2A">
      <w:pPr>
        <w:rPr>
          <w:rFonts w:cs="Times New Roman"/>
          <w:szCs w:val="24"/>
        </w:rPr>
      </w:pPr>
      <w:r>
        <w:rPr>
          <w:rFonts w:cs="Times New Roman"/>
          <w:szCs w:val="24"/>
        </w:rPr>
        <w:t xml:space="preserve">These comments are to the </w:t>
      </w:r>
      <w:bookmarkStart w:id="1" w:name="_Hlk490488360"/>
      <w:r w:rsidR="001A710B">
        <w:rPr>
          <w:rFonts w:cs="Times New Roman"/>
          <w:szCs w:val="24"/>
        </w:rPr>
        <w:t>P</w:t>
      </w:r>
      <w:r>
        <w:rPr>
          <w:rFonts w:cs="Times New Roman"/>
          <w:szCs w:val="24"/>
        </w:rPr>
        <w:t xml:space="preserve">etition for </w:t>
      </w:r>
      <w:r w:rsidR="001A710B">
        <w:rPr>
          <w:rFonts w:cs="Times New Roman"/>
          <w:szCs w:val="24"/>
        </w:rPr>
        <w:t>Expedited D</w:t>
      </w:r>
      <w:r>
        <w:rPr>
          <w:rFonts w:cs="Times New Roman"/>
          <w:szCs w:val="24"/>
        </w:rPr>
        <w:t>eclaratory</w:t>
      </w:r>
      <w:r w:rsidR="001A710B">
        <w:rPr>
          <w:rFonts w:cs="Times New Roman"/>
          <w:szCs w:val="24"/>
        </w:rPr>
        <w:t xml:space="preserve"> Ruling</w:t>
      </w:r>
      <w:bookmarkEnd w:id="1"/>
      <w:r w:rsidR="001A710B">
        <w:rPr>
          <w:rFonts w:cs="Times New Roman"/>
          <w:szCs w:val="24"/>
        </w:rPr>
        <w:t xml:space="preserve"> filled by </w:t>
      </w:r>
      <w:proofErr w:type="spellStart"/>
      <w:r w:rsidR="001A710B">
        <w:rPr>
          <w:rFonts w:cs="Times New Roman"/>
          <w:szCs w:val="24"/>
        </w:rPr>
        <w:t>Amerifactors</w:t>
      </w:r>
      <w:proofErr w:type="spellEnd"/>
      <w:r w:rsidR="001A710B">
        <w:rPr>
          <w:rFonts w:cs="Times New Roman"/>
          <w:szCs w:val="24"/>
        </w:rPr>
        <w:t xml:space="preserve"> Financial Group, LLC</w:t>
      </w:r>
      <w:r w:rsidR="001A710B">
        <w:rPr>
          <w:rStyle w:val="FootnoteReference"/>
          <w:rFonts w:cs="Times New Roman"/>
          <w:szCs w:val="24"/>
        </w:rPr>
        <w:footnoteReference w:id="1"/>
      </w:r>
      <w:r w:rsidR="001A710B">
        <w:rPr>
          <w:rFonts w:cs="Times New Roman"/>
          <w:szCs w:val="24"/>
        </w:rPr>
        <w:t>, which I oppose.</w:t>
      </w:r>
      <w:r>
        <w:rPr>
          <w:rFonts w:cs="Times New Roman"/>
          <w:szCs w:val="24"/>
        </w:rPr>
        <w:t xml:space="preserve"> </w:t>
      </w:r>
    </w:p>
    <w:p w14:paraId="109A866F" w14:textId="1708109D" w:rsidR="00B440D2" w:rsidRDefault="001C4762" w:rsidP="00777D2A">
      <w:pPr>
        <w:rPr>
          <w:rFonts w:cs="Times New Roman"/>
          <w:szCs w:val="24"/>
        </w:rPr>
      </w:pPr>
      <w:r w:rsidRPr="001C4762">
        <w:rPr>
          <w:rFonts w:cs="Times New Roman"/>
          <w:szCs w:val="24"/>
        </w:rPr>
        <w:t xml:space="preserve">I comment as a user of a fax service. </w:t>
      </w:r>
      <w:r w:rsidR="00B440D2">
        <w:rPr>
          <w:rFonts w:cs="Times New Roman"/>
          <w:szCs w:val="24"/>
        </w:rPr>
        <w:t>I believe the sending of an unsolicited commercial fax is in violation of the Telephone Consumer Protection Act</w:t>
      </w:r>
      <w:r w:rsidR="00786328">
        <w:rPr>
          <w:rStyle w:val="FootnoteReference"/>
          <w:rFonts w:cs="Times New Roman"/>
          <w:szCs w:val="24"/>
        </w:rPr>
        <w:footnoteReference w:id="2"/>
      </w:r>
      <w:r w:rsidR="00B440D2">
        <w:rPr>
          <w:rFonts w:cs="Times New Roman"/>
          <w:szCs w:val="24"/>
        </w:rPr>
        <w:t xml:space="preserve"> regardless of whether the fax is received on a standard fax machine or a </w:t>
      </w:r>
      <w:r w:rsidR="00D11009">
        <w:rPr>
          <w:rFonts w:cs="Times New Roman"/>
          <w:szCs w:val="24"/>
        </w:rPr>
        <w:t xml:space="preserve">on </w:t>
      </w:r>
      <w:r w:rsidR="00B440D2">
        <w:rPr>
          <w:rFonts w:cs="Times New Roman"/>
          <w:szCs w:val="24"/>
        </w:rPr>
        <w:t>computer.</w:t>
      </w:r>
    </w:p>
    <w:p w14:paraId="33CA03F3" w14:textId="138420D2" w:rsidR="001C4762" w:rsidRPr="00642228" w:rsidRDefault="00B440D2" w:rsidP="00777D2A">
      <w:pPr>
        <w:rPr>
          <w:rFonts w:cs="Times New Roman"/>
          <w:szCs w:val="24"/>
        </w:rPr>
      </w:pPr>
      <w:r>
        <w:rPr>
          <w:rFonts w:cs="Times New Roman"/>
          <w:szCs w:val="24"/>
        </w:rPr>
        <w:t>The fax service assigned me an individual unique telephone number to which faxes are sent</w:t>
      </w:r>
      <w:r w:rsidRPr="00B440D2">
        <w:t xml:space="preserve"> </w:t>
      </w:r>
      <w:r w:rsidRPr="00B440D2">
        <w:rPr>
          <w:rFonts w:cs="Times New Roman"/>
          <w:szCs w:val="24"/>
        </w:rPr>
        <w:t>over a standard telephone line</w:t>
      </w:r>
      <w:r>
        <w:rPr>
          <w:rFonts w:cs="Times New Roman"/>
          <w:szCs w:val="24"/>
        </w:rPr>
        <w:t xml:space="preserve">. </w:t>
      </w:r>
      <w:r w:rsidR="001C4762" w:rsidRPr="001C4762">
        <w:rPr>
          <w:rFonts w:cs="Times New Roman"/>
          <w:szCs w:val="24"/>
        </w:rPr>
        <w:t>The fax service’s computer receives the fax and then sends me an email with the fax as an attachment.</w:t>
      </w:r>
      <w:r w:rsidR="001C4762">
        <w:rPr>
          <w:rFonts w:cs="Times New Roman"/>
          <w:szCs w:val="24"/>
        </w:rPr>
        <w:t xml:space="preserve"> </w:t>
      </w:r>
    </w:p>
    <w:p w14:paraId="3DC8F092" w14:textId="77777777" w:rsidR="002C3F16" w:rsidRPr="00642228" w:rsidRDefault="00183898" w:rsidP="00E02A25">
      <w:pPr>
        <w:pStyle w:val="Heading1"/>
        <w:rPr>
          <w:rFonts w:cs="Times New Roman"/>
          <w:szCs w:val="24"/>
        </w:rPr>
      </w:pPr>
      <w:r w:rsidRPr="00642228">
        <w:rPr>
          <w:rFonts w:cs="Times New Roman"/>
          <w:szCs w:val="24"/>
        </w:rPr>
        <w:t>Fax calls which go to a computer are made without knowledge of whether they go to a computer or fax machine.</w:t>
      </w:r>
    </w:p>
    <w:p w14:paraId="60C1E7E1" w14:textId="600DA55E" w:rsidR="00E02A25" w:rsidRPr="00642228" w:rsidRDefault="00777D2A" w:rsidP="00E02A25">
      <w:pPr>
        <w:rPr>
          <w:rFonts w:cs="Times New Roman"/>
          <w:szCs w:val="24"/>
        </w:rPr>
      </w:pPr>
      <w:r>
        <w:rPr>
          <w:rFonts w:cs="Times New Roman"/>
          <w:szCs w:val="24"/>
        </w:rPr>
        <w:t xml:space="preserve">The sender of an unsolicited fax to a fax service sent the fax without knowing whether the fax was going to the </w:t>
      </w:r>
      <w:r w:rsidR="001A710B">
        <w:rPr>
          <w:rFonts w:cs="Times New Roman"/>
          <w:szCs w:val="24"/>
        </w:rPr>
        <w:t>recipient’s</w:t>
      </w:r>
      <w:r>
        <w:rPr>
          <w:rFonts w:cs="Times New Roman"/>
          <w:szCs w:val="24"/>
        </w:rPr>
        <w:t xml:space="preserve"> fax machine</w:t>
      </w:r>
      <w:r w:rsidR="00B440D2">
        <w:rPr>
          <w:rFonts w:cs="Times New Roman"/>
          <w:szCs w:val="24"/>
        </w:rPr>
        <w:t xml:space="preserve"> (and printed on paper)</w:t>
      </w:r>
      <w:r>
        <w:rPr>
          <w:rFonts w:cs="Times New Roman"/>
          <w:szCs w:val="24"/>
        </w:rPr>
        <w:t xml:space="preserve"> or to a computer. In doing so the sender is violating the act and accepting any penalties for such violation.</w:t>
      </w:r>
    </w:p>
    <w:p w14:paraId="09E99096" w14:textId="08DDF64D" w:rsidR="00E02A25" w:rsidRPr="00642228" w:rsidRDefault="00E02A25" w:rsidP="00E02A25">
      <w:pPr>
        <w:pStyle w:val="Heading1"/>
        <w:rPr>
          <w:rFonts w:cs="Times New Roman"/>
          <w:szCs w:val="24"/>
        </w:rPr>
      </w:pPr>
      <w:r w:rsidRPr="00642228">
        <w:rPr>
          <w:rFonts w:cs="Times New Roman"/>
          <w:szCs w:val="24"/>
        </w:rPr>
        <w:t>Fax calls to a computer involves costs</w:t>
      </w:r>
      <w:r w:rsidR="001C4762">
        <w:rPr>
          <w:rFonts w:cs="Times New Roman"/>
          <w:szCs w:val="24"/>
        </w:rPr>
        <w:t xml:space="preserve"> to the fax service and to the recipient</w:t>
      </w:r>
    </w:p>
    <w:p w14:paraId="605C88E8" w14:textId="466B55D5" w:rsidR="00E02A25" w:rsidRPr="00642228" w:rsidRDefault="00922DC0" w:rsidP="00E02A25">
      <w:pPr>
        <w:rPr>
          <w:rFonts w:cs="Times New Roman"/>
          <w:szCs w:val="24"/>
        </w:rPr>
      </w:pPr>
      <w:r>
        <w:rPr>
          <w:rFonts w:cs="Times New Roman"/>
          <w:szCs w:val="24"/>
        </w:rPr>
        <w:t>Each fax sent to a fax service involves costs</w:t>
      </w:r>
      <w:r w:rsidR="004A76E1">
        <w:rPr>
          <w:rFonts w:cs="Times New Roman"/>
          <w:szCs w:val="24"/>
        </w:rPr>
        <w:t xml:space="preserve">. </w:t>
      </w:r>
      <w:r w:rsidR="00D15C56">
        <w:rPr>
          <w:rFonts w:cs="Times New Roman"/>
          <w:szCs w:val="24"/>
        </w:rPr>
        <w:t>The fax service must obtain telephone lines and size their equipment based, on part, on the number of faxes that the service receives. Unsolicited faxes add to this cost. The cost must, of course, be passed along to the recipient.</w:t>
      </w:r>
    </w:p>
    <w:p w14:paraId="58FD11E2" w14:textId="4B2BEF10" w:rsidR="00E02A25" w:rsidRDefault="00E02A25" w:rsidP="00E02A25">
      <w:pPr>
        <w:pStyle w:val="Heading1"/>
        <w:rPr>
          <w:rFonts w:cs="Times New Roman"/>
          <w:szCs w:val="24"/>
        </w:rPr>
      </w:pPr>
      <w:r w:rsidRPr="00642228">
        <w:rPr>
          <w:rFonts w:cs="Times New Roman"/>
          <w:szCs w:val="24"/>
        </w:rPr>
        <w:t xml:space="preserve">Faxes emailed to the recipient takes the recipients time </w:t>
      </w:r>
    </w:p>
    <w:p w14:paraId="7FA3F0A0" w14:textId="342BE091" w:rsidR="00E02A25" w:rsidRPr="001C4762" w:rsidRDefault="00D15C56" w:rsidP="00E02A25">
      <w:r>
        <w:t xml:space="preserve">Each fax that is received on behalf of the recipient must result in an email to the recipient. </w:t>
      </w:r>
      <w:r w:rsidR="004F6D27">
        <w:t>The rec</w:t>
      </w:r>
      <w:r w:rsidR="00512726">
        <w:t xml:space="preserve">ipient must open the email to find out who it is from and </w:t>
      </w:r>
      <w:r w:rsidR="00F203D7">
        <w:t>if</w:t>
      </w:r>
      <w:r w:rsidR="00512726">
        <w:t xml:space="preserve"> it is an unwanted commercial fax.</w:t>
      </w:r>
    </w:p>
    <w:p w14:paraId="4AE42228" w14:textId="55D9420A" w:rsidR="00284375" w:rsidRDefault="00777D2A" w:rsidP="00777D2A">
      <w:pPr>
        <w:pStyle w:val="Heading1"/>
        <w:rPr>
          <w:rFonts w:cs="Times New Roman"/>
          <w:szCs w:val="24"/>
        </w:rPr>
      </w:pPr>
      <w:r>
        <w:rPr>
          <w:rFonts w:cs="Times New Roman"/>
          <w:szCs w:val="24"/>
        </w:rPr>
        <w:t>Unsolicited faxes to a fax service are spam, in violation of the CAN-SPAM act</w:t>
      </w:r>
    </w:p>
    <w:p w14:paraId="3972D716" w14:textId="6394D8AA" w:rsidR="00777D2A" w:rsidRPr="001C4762" w:rsidRDefault="00F87229" w:rsidP="00284375">
      <w:r>
        <w:t>A fax sent to a fax recipient who uses a fax service will normally be sent from the fax service by way of email. If the fax is unsolicited the email may be considered spam, in violation of the CAN-SPAM act.</w:t>
      </w:r>
      <w:r>
        <w:rPr>
          <w:rStyle w:val="FootnoteReference"/>
        </w:rPr>
        <w:footnoteReference w:id="3"/>
      </w:r>
      <w:r>
        <w:t xml:space="preserve"> </w:t>
      </w:r>
      <w:r w:rsidR="00B53BD5">
        <w:t>Unlike most spam, which quickly can be read and deleted</w:t>
      </w:r>
      <w:r w:rsidR="001C4762">
        <w:t xml:space="preserve"> the unsolicited fax email must be opened and the attached fax must be opened.</w:t>
      </w:r>
    </w:p>
    <w:p w14:paraId="641D06BC" w14:textId="6D301D7B" w:rsidR="00642228" w:rsidRDefault="00642228" w:rsidP="00642228">
      <w:pPr>
        <w:pStyle w:val="Heading1"/>
        <w:rPr>
          <w:rFonts w:cs="Times New Roman"/>
          <w:szCs w:val="24"/>
        </w:rPr>
      </w:pPr>
      <w:r w:rsidRPr="00642228">
        <w:rPr>
          <w:rFonts w:cs="Times New Roman"/>
          <w:szCs w:val="24"/>
        </w:rPr>
        <w:lastRenderedPageBreak/>
        <w:t>Conclusion</w:t>
      </w:r>
    </w:p>
    <w:p w14:paraId="69E7EDD8" w14:textId="2E0A024B" w:rsidR="00981111" w:rsidRDefault="00981111" w:rsidP="00981111">
      <w:r>
        <w:t xml:space="preserve">I urge the Commission to deny the </w:t>
      </w:r>
      <w:r w:rsidR="001C4762">
        <w:t>p</w:t>
      </w:r>
      <w:r w:rsidR="00AB2DBE">
        <w:t>etition</w:t>
      </w:r>
      <w:r>
        <w:t xml:space="preserve"> by </w:t>
      </w:r>
      <w:proofErr w:type="spellStart"/>
      <w:r>
        <w:t>Amerifactors</w:t>
      </w:r>
      <w:proofErr w:type="spellEnd"/>
      <w:r>
        <w:t xml:space="preserve"> and to consider faxes </w:t>
      </w:r>
      <w:r w:rsidR="00D11009">
        <w:t>received by</w:t>
      </w:r>
      <w:r>
        <w:t xml:space="preserve"> computer fax services to be the same as faxes </w:t>
      </w:r>
      <w:r w:rsidR="00D11009">
        <w:t>received by</w:t>
      </w:r>
      <w:r>
        <w:t xml:space="preserve"> individual fax machines.</w:t>
      </w:r>
    </w:p>
    <w:p w14:paraId="0088A7AF" w14:textId="77777777" w:rsidR="00786328" w:rsidRDefault="00786328" w:rsidP="00981111"/>
    <w:p w14:paraId="5FB4C223" w14:textId="686F34F4" w:rsidR="00786328" w:rsidRDefault="00786328" w:rsidP="00786328">
      <w:pPr>
        <w:ind w:left="5760" w:firstLine="720"/>
      </w:pPr>
      <w:r>
        <w:t>Respectfully submitted</w:t>
      </w:r>
    </w:p>
    <w:p w14:paraId="0D4F5E25" w14:textId="38DB5B54" w:rsidR="00786328" w:rsidRDefault="00786328" w:rsidP="00981111"/>
    <w:p w14:paraId="524B6D99" w14:textId="709842A0" w:rsidR="00786328" w:rsidRPr="00981111" w:rsidRDefault="00786328" w:rsidP="00786328">
      <w:pPr>
        <w:ind w:left="5760" w:firstLine="720"/>
      </w:pPr>
      <w:r>
        <w:t>/s/John A. Shaw</w:t>
      </w:r>
    </w:p>
    <w:sectPr w:rsidR="00786328" w:rsidRPr="009811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D366A1" w14:textId="77777777" w:rsidR="001C18A4" w:rsidRDefault="001C18A4" w:rsidP="001A710B">
      <w:pPr>
        <w:spacing w:after="0" w:line="240" w:lineRule="auto"/>
      </w:pPr>
      <w:r>
        <w:separator/>
      </w:r>
    </w:p>
  </w:endnote>
  <w:endnote w:type="continuationSeparator" w:id="0">
    <w:p w14:paraId="04F28D67" w14:textId="77777777" w:rsidR="001C18A4" w:rsidRDefault="001C18A4" w:rsidP="001A71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41F1AD" w14:textId="77777777" w:rsidR="001C18A4" w:rsidRDefault="001C18A4" w:rsidP="001A710B">
      <w:pPr>
        <w:spacing w:after="0" w:line="240" w:lineRule="auto"/>
      </w:pPr>
      <w:r>
        <w:separator/>
      </w:r>
    </w:p>
  </w:footnote>
  <w:footnote w:type="continuationSeparator" w:id="0">
    <w:p w14:paraId="17AF240E" w14:textId="77777777" w:rsidR="001C18A4" w:rsidRDefault="001C18A4" w:rsidP="001A710B">
      <w:pPr>
        <w:spacing w:after="0" w:line="240" w:lineRule="auto"/>
      </w:pPr>
      <w:r>
        <w:continuationSeparator/>
      </w:r>
    </w:p>
  </w:footnote>
  <w:footnote w:id="1">
    <w:p w14:paraId="53E459F5" w14:textId="1C3FC664" w:rsidR="001A710B" w:rsidRDefault="001A710B">
      <w:pPr>
        <w:pStyle w:val="FootnoteText"/>
      </w:pPr>
      <w:r>
        <w:rPr>
          <w:rStyle w:val="FootnoteReference"/>
        </w:rPr>
        <w:footnoteRef/>
      </w:r>
      <w:r>
        <w:t xml:space="preserve"> </w:t>
      </w:r>
      <w:r w:rsidRPr="001A710B">
        <w:t>Petition for Expedited Declaratory Ruling</w:t>
      </w:r>
      <w:r>
        <w:t xml:space="preserve">, filed on July 13, 2017, by </w:t>
      </w:r>
      <w:proofErr w:type="spellStart"/>
      <w:r>
        <w:t>Amerifactors</w:t>
      </w:r>
      <w:proofErr w:type="spellEnd"/>
      <w:r>
        <w:t xml:space="preserve"> Financial Group, </w:t>
      </w:r>
      <w:proofErr w:type="gramStart"/>
      <w:r>
        <w:t>LLC,</w:t>
      </w:r>
      <w:r w:rsidR="00F203D7">
        <w:t>(</w:t>
      </w:r>
      <w:proofErr w:type="gramEnd"/>
      <w:r w:rsidR="00F203D7">
        <w:t>“</w:t>
      </w:r>
      <w:proofErr w:type="spellStart"/>
      <w:r w:rsidR="00F203D7">
        <w:t>Amerifactors</w:t>
      </w:r>
      <w:proofErr w:type="spellEnd"/>
      <w:r w:rsidR="00F203D7">
        <w:t>”)</w:t>
      </w:r>
      <w:r>
        <w:t xml:space="preserve"> to dockets CG 02-278 and CG 05-338 (“petition”)</w:t>
      </w:r>
    </w:p>
  </w:footnote>
  <w:footnote w:id="2">
    <w:p w14:paraId="7EF0AD94" w14:textId="54F85B4D" w:rsidR="00786328" w:rsidRDefault="00786328">
      <w:pPr>
        <w:pStyle w:val="FootnoteText"/>
      </w:pPr>
      <w:r>
        <w:rPr>
          <w:rStyle w:val="FootnoteReference"/>
        </w:rPr>
        <w:footnoteRef/>
      </w:r>
      <w:r>
        <w:t xml:space="preserve"> The </w:t>
      </w:r>
      <w:r>
        <w:rPr>
          <w:rFonts w:cs="Times New Roman"/>
          <w:szCs w:val="24"/>
        </w:rPr>
        <w:t xml:space="preserve">Telephone Consumer Protection Act of 1991 (“TCPA”), </w:t>
      </w:r>
      <w:r w:rsidR="00DC08BE" w:rsidRPr="00DC08BE">
        <w:rPr>
          <w:rFonts w:cs="Times New Roman"/>
          <w:szCs w:val="24"/>
        </w:rPr>
        <w:t>Pub. L. No. 102-243, 105 Stat. 2394 (1991), 47 U.S.C.  § 227.</w:t>
      </w:r>
    </w:p>
  </w:footnote>
  <w:footnote w:id="3">
    <w:p w14:paraId="251526EA" w14:textId="5BDBE464" w:rsidR="00F87229" w:rsidRDefault="00F87229">
      <w:pPr>
        <w:pStyle w:val="FootnoteText"/>
      </w:pPr>
      <w:r>
        <w:rPr>
          <w:rStyle w:val="FootnoteReference"/>
        </w:rPr>
        <w:footnoteRef/>
      </w:r>
      <w:r>
        <w:t xml:space="preserve"> </w:t>
      </w:r>
      <w:r w:rsidRPr="00F87229">
        <w:rPr>
          <w:rFonts w:cs="Times New Roman"/>
          <w:color w:val="222222"/>
          <w:shd w:val="clear" w:color="auto" w:fill="FFFFFF"/>
        </w:rPr>
        <w:t xml:space="preserve">The Controlling the Assault of Non-Solicited Pornography </w:t>
      </w:r>
      <w:proofErr w:type="gramStart"/>
      <w:r w:rsidRPr="00F87229">
        <w:rPr>
          <w:rFonts w:cs="Times New Roman"/>
          <w:color w:val="222222"/>
          <w:shd w:val="clear" w:color="auto" w:fill="FFFFFF"/>
        </w:rPr>
        <w:t>And</w:t>
      </w:r>
      <w:proofErr w:type="gramEnd"/>
      <w:r w:rsidRPr="00F87229">
        <w:rPr>
          <w:rFonts w:cs="Times New Roman"/>
          <w:color w:val="222222"/>
          <w:shd w:val="clear" w:color="auto" w:fill="FFFFFF"/>
        </w:rPr>
        <w:t xml:space="preserve"> Marketing Act of 2003</w:t>
      </w:r>
      <w:r w:rsidR="00DC08BE">
        <w:rPr>
          <w:rFonts w:cs="Times New Roman"/>
          <w:color w:val="222222"/>
          <w:shd w:val="clear" w:color="auto" w:fill="FFFFFF"/>
        </w:rPr>
        <w:t xml:space="preserve"> </w:t>
      </w:r>
      <w:r w:rsidR="00DC08BE" w:rsidRPr="00F87229">
        <w:rPr>
          <w:rFonts w:cs="Times New Roman"/>
          <w:color w:val="222222"/>
          <w:shd w:val="clear" w:color="auto" w:fill="FFFFFF"/>
        </w:rPr>
        <w:t>(</w:t>
      </w:r>
      <w:r w:rsidR="00F203D7">
        <w:rPr>
          <w:rFonts w:cs="Times New Roman"/>
          <w:color w:val="222222"/>
          <w:shd w:val="clear" w:color="auto" w:fill="FFFFFF"/>
        </w:rPr>
        <w:t>“</w:t>
      </w:r>
      <w:r w:rsidR="00DC08BE" w:rsidRPr="00F87229">
        <w:rPr>
          <w:rFonts w:cs="Times New Roman"/>
          <w:color w:val="222222"/>
          <w:shd w:val="clear" w:color="auto" w:fill="FFFFFF"/>
        </w:rPr>
        <w:t>CAN-SPAM</w:t>
      </w:r>
      <w:r w:rsidR="00DC08BE">
        <w:rPr>
          <w:rFonts w:cs="Times New Roman"/>
          <w:color w:val="222222"/>
          <w:shd w:val="clear" w:color="auto" w:fill="FFFFFF"/>
        </w:rPr>
        <w:t xml:space="preserve"> Act</w:t>
      </w:r>
      <w:r w:rsidR="00F203D7">
        <w:rPr>
          <w:rFonts w:cs="Times New Roman"/>
          <w:color w:val="222222"/>
          <w:shd w:val="clear" w:color="auto" w:fill="FFFFFF"/>
        </w:rPr>
        <w:t>”</w:t>
      </w:r>
      <w:r w:rsidR="00DC08BE" w:rsidRPr="00F87229">
        <w:rPr>
          <w:rFonts w:cs="Times New Roman"/>
          <w:color w:val="222222"/>
          <w:shd w:val="clear" w:color="auto" w:fill="FFFFFF"/>
        </w:rPr>
        <w:t>)</w:t>
      </w:r>
      <w:r w:rsidR="00B53BD5">
        <w:rPr>
          <w:rFonts w:cs="Times New Roman"/>
          <w:color w:val="222222"/>
          <w:shd w:val="clear" w:color="auto" w:fill="FFFFFF"/>
        </w:rPr>
        <w:t xml:space="preserve">, </w:t>
      </w:r>
      <w:r w:rsidR="00B53BD5" w:rsidRPr="00B53BD5">
        <w:rPr>
          <w:rFonts w:cs="Times New Roman"/>
          <w:color w:val="222222"/>
          <w:shd w:val="clear" w:color="auto" w:fill="FFFFFF"/>
        </w:rPr>
        <w:t>‎</w:t>
      </w:r>
      <w:r w:rsidR="00DC08BE" w:rsidRPr="00DC08BE">
        <w:t xml:space="preserve"> </w:t>
      </w:r>
      <w:proofErr w:type="spellStart"/>
      <w:r w:rsidR="00DC08BE">
        <w:t>Pub.L.No</w:t>
      </w:r>
      <w:proofErr w:type="spellEnd"/>
      <w:r w:rsidR="00DC08BE">
        <w:t>. 108-187, 117 Stat. 2699 (2003), 15 U.S.C. § 7701-7713; 18 U.S.C. § 1037, and 28 U.S.C. § 994</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79F9"/>
    <w:rsid w:val="00037660"/>
    <w:rsid w:val="000C2EEB"/>
    <w:rsid w:val="00183898"/>
    <w:rsid w:val="001A710B"/>
    <w:rsid w:val="001C18A4"/>
    <w:rsid w:val="001C4762"/>
    <w:rsid w:val="001D62D5"/>
    <w:rsid w:val="00267AD8"/>
    <w:rsid w:val="00284375"/>
    <w:rsid w:val="002C3F16"/>
    <w:rsid w:val="003C2E9D"/>
    <w:rsid w:val="004A76E1"/>
    <w:rsid w:val="004F6D27"/>
    <w:rsid w:val="00512726"/>
    <w:rsid w:val="005964A9"/>
    <w:rsid w:val="005F0FA5"/>
    <w:rsid w:val="00642228"/>
    <w:rsid w:val="00655E34"/>
    <w:rsid w:val="006F630A"/>
    <w:rsid w:val="00777D2A"/>
    <w:rsid w:val="00786328"/>
    <w:rsid w:val="00922DC0"/>
    <w:rsid w:val="00981111"/>
    <w:rsid w:val="00A95D48"/>
    <w:rsid w:val="00AB2DBE"/>
    <w:rsid w:val="00AE23E9"/>
    <w:rsid w:val="00B440D2"/>
    <w:rsid w:val="00B53BD5"/>
    <w:rsid w:val="00C01D0A"/>
    <w:rsid w:val="00D11009"/>
    <w:rsid w:val="00D15C56"/>
    <w:rsid w:val="00D3489C"/>
    <w:rsid w:val="00DC08BE"/>
    <w:rsid w:val="00E018FF"/>
    <w:rsid w:val="00E02A25"/>
    <w:rsid w:val="00ED543F"/>
    <w:rsid w:val="00F179F9"/>
    <w:rsid w:val="00F203D7"/>
    <w:rsid w:val="00F623E0"/>
    <w:rsid w:val="00F8353C"/>
    <w:rsid w:val="00F872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669BAE"/>
  <w15:chartTrackingRefBased/>
  <w15:docId w15:val="{0540132F-B2D8-44D2-9C50-9BC942818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B2DBE"/>
    <w:rPr>
      <w:rFonts w:ascii="Times New Roman" w:hAnsi="Times New Roman"/>
      <w:sz w:val="24"/>
    </w:rPr>
  </w:style>
  <w:style w:type="paragraph" w:styleId="Heading1">
    <w:name w:val="heading 1"/>
    <w:basedOn w:val="Normal"/>
    <w:next w:val="Normal"/>
    <w:link w:val="Heading1Char"/>
    <w:uiPriority w:val="9"/>
    <w:qFormat/>
    <w:rsid w:val="00642228"/>
    <w:pPr>
      <w:keepNext/>
      <w:keepLines/>
      <w:spacing w:before="240" w:after="120"/>
      <w:outlineLvl w:val="0"/>
    </w:pPr>
    <w:rPr>
      <w:rFonts w:eastAsiaTheme="majorEastAsia" w:cstheme="majorBidi"/>
      <w:b/>
      <w:szCs w:val="32"/>
    </w:rPr>
  </w:style>
  <w:style w:type="paragraph" w:styleId="Heading2">
    <w:name w:val="heading 2"/>
    <w:basedOn w:val="Heading1"/>
    <w:next w:val="Normal"/>
    <w:link w:val="Heading2Char"/>
    <w:uiPriority w:val="9"/>
    <w:unhideWhenUsed/>
    <w:qFormat/>
    <w:rsid w:val="00777D2A"/>
    <w:pPr>
      <w:outlineLvl w:val="1"/>
    </w:pPr>
    <w:rPr>
      <w:b w:val="0"/>
      <w:i/>
      <w:szCs w:val="26"/>
    </w:rPr>
  </w:style>
  <w:style w:type="paragraph" w:styleId="Heading3">
    <w:name w:val="heading 3"/>
    <w:basedOn w:val="Heading2"/>
    <w:next w:val="Normal"/>
    <w:link w:val="Heading3Char"/>
    <w:uiPriority w:val="9"/>
    <w:unhideWhenUsed/>
    <w:qFormat/>
    <w:rsid w:val="00777D2A"/>
    <w:pPr>
      <w:outlineLvl w:val="2"/>
    </w:pPr>
    <w:rPr>
      <w:i w:val="0"/>
      <w:szCs w:val="24"/>
    </w:rPr>
  </w:style>
  <w:style w:type="paragraph" w:styleId="Heading4">
    <w:name w:val="heading 4"/>
    <w:basedOn w:val="Normal"/>
    <w:next w:val="Normal"/>
    <w:link w:val="Heading4Char"/>
    <w:uiPriority w:val="9"/>
    <w:unhideWhenUsed/>
    <w:qFormat/>
    <w:rsid w:val="00E02A25"/>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D62D5"/>
    <w:rPr>
      <w:color w:val="0563C1" w:themeColor="hyperlink"/>
      <w:u w:val="single"/>
    </w:rPr>
  </w:style>
  <w:style w:type="character" w:styleId="UnresolvedMention">
    <w:name w:val="Unresolved Mention"/>
    <w:basedOn w:val="DefaultParagraphFont"/>
    <w:uiPriority w:val="99"/>
    <w:semiHidden/>
    <w:unhideWhenUsed/>
    <w:rsid w:val="001D62D5"/>
    <w:rPr>
      <w:color w:val="808080"/>
      <w:shd w:val="clear" w:color="auto" w:fill="E6E6E6"/>
    </w:rPr>
  </w:style>
  <w:style w:type="character" w:customStyle="1" w:styleId="Heading2Char">
    <w:name w:val="Heading 2 Char"/>
    <w:basedOn w:val="DefaultParagraphFont"/>
    <w:link w:val="Heading2"/>
    <w:uiPriority w:val="9"/>
    <w:rsid w:val="00777D2A"/>
    <w:rPr>
      <w:rFonts w:ascii="Times New Roman" w:eastAsiaTheme="majorEastAsia" w:hAnsi="Times New Roman" w:cstheme="majorBidi"/>
      <w:i/>
      <w:sz w:val="24"/>
      <w:szCs w:val="26"/>
    </w:rPr>
  </w:style>
  <w:style w:type="character" w:customStyle="1" w:styleId="Heading3Char">
    <w:name w:val="Heading 3 Char"/>
    <w:basedOn w:val="DefaultParagraphFont"/>
    <w:link w:val="Heading3"/>
    <w:uiPriority w:val="9"/>
    <w:rsid w:val="00777D2A"/>
    <w:rPr>
      <w:rFonts w:ascii="Times New Roman" w:eastAsiaTheme="majorEastAsia" w:hAnsi="Times New Roman" w:cstheme="majorBidi"/>
      <w:sz w:val="24"/>
      <w:szCs w:val="24"/>
    </w:rPr>
  </w:style>
  <w:style w:type="character" w:customStyle="1" w:styleId="Heading4Char">
    <w:name w:val="Heading 4 Char"/>
    <w:basedOn w:val="DefaultParagraphFont"/>
    <w:link w:val="Heading4"/>
    <w:uiPriority w:val="9"/>
    <w:rsid w:val="00E02A25"/>
    <w:rPr>
      <w:rFonts w:asciiTheme="majorHAnsi" w:eastAsiaTheme="majorEastAsia" w:hAnsiTheme="majorHAnsi" w:cstheme="majorBidi"/>
      <w:i/>
      <w:iCs/>
      <w:color w:val="2F5496" w:themeColor="accent1" w:themeShade="BF"/>
    </w:rPr>
  </w:style>
  <w:style w:type="character" w:customStyle="1" w:styleId="Heading1Char">
    <w:name w:val="Heading 1 Char"/>
    <w:basedOn w:val="DefaultParagraphFont"/>
    <w:link w:val="Heading1"/>
    <w:uiPriority w:val="9"/>
    <w:rsid w:val="00642228"/>
    <w:rPr>
      <w:rFonts w:ascii="Times New Roman" w:eastAsiaTheme="majorEastAsia" w:hAnsi="Times New Roman" w:cstheme="majorBidi"/>
      <w:b/>
      <w:sz w:val="24"/>
      <w:szCs w:val="32"/>
    </w:rPr>
  </w:style>
  <w:style w:type="paragraph" w:styleId="FootnoteText">
    <w:name w:val="footnote text"/>
    <w:basedOn w:val="Normal"/>
    <w:link w:val="FootnoteTextChar"/>
    <w:uiPriority w:val="99"/>
    <w:semiHidden/>
    <w:unhideWhenUsed/>
    <w:qFormat/>
    <w:rsid w:val="00D11009"/>
    <w:pPr>
      <w:spacing w:after="120" w:line="240" w:lineRule="auto"/>
    </w:pPr>
    <w:rPr>
      <w:szCs w:val="20"/>
    </w:rPr>
  </w:style>
  <w:style w:type="character" w:customStyle="1" w:styleId="FootnoteTextChar">
    <w:name w:val="Footnote Text Char"/>
    <w:basedOn w:val="DefaultParagraphFont"/>
    <w:link w:val="FootnoteText"/>
    <w:uiPriority w:val="99"/>
    <w:semiHidden/>
    <w:rsid w:val="00D11009"/>
    <w:rPr>
      <w:rFonts w:ascii="Times New Roman" w:hAnsi="Times New Roman"/>
      <w:sz w:val="24"/>
      <w:szCs w:val="20"/>
    </w:rPr>
  </w:style>
  <w:style w:type="character" w:styleId="FootnoteReference">
    <w:name w:val="footnote reference"/>
    <w:basedOn w:val="DefaultParagraphFont"/>
    <w:uiPriority w:val="99"/>
    <w:semiHidden/>
    <w:unhideWhenUsed/>
    <w:rsid w:val="001A710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john@jashaw.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D769D6-DE82-4209-9C0F-A0EEBAAAA7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411</Words>
  <Characters>2346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Shaw</dc:creator>
  <cp:keywords/>
  <dc:description/>
  <cp:lastModifiedBy>John Shaw</cp:lastModifiedBy>
  <cp:revision>2</cp:revision>
  <dcterms:created xsi:type="dcterms:W3CDTF">2017-08-17T14:13:00Z</dcterms:created>
  <dcterms:modified xsi:type="dcterms:W3CDTF">2017-08-17T14:13:00Z</dcterms:modified>
</cp:coreProperties>
</file>