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3534D" w14:textId="77777777" w:rsidR="00256DBA" w:rsidRDefault="009C520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Before the</w:t>
      </w:r>
    </w:p>
    <w:p w14:paraId="7B9F8A95" w14:textId="77777777" w:rsidR="00256DBA" w:rsidRDefault="009C520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FEDERAL COMMUNICATIONS COMMISSION</w:t>
      </w:r>
    </w:p>
    <w:p w14:paraId="32947FA0" w14:textId="77777777" w:rsidR="00256DBA" w:rsidRDefault="009C52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Washington, DC  20554</w:t>
      </w:r>
    </w:p>
    <w:p w14:paraId="05F0DC98" w14:textId="77777777" w:rsidR="00256DBA" w:rsidRDefault="00256DBA">
      <w:pPr>
        <w:tabs>
          <w:tab w:val="left" w:pos="4700"/>
        </w:tabs>
        <w:spacing w:after="0" w:line="240" w:lineRule="auto"/>
        <w:rPr>
          <w:rFonts w:ascii="Times New Roman" w:eastAsia="Times New Roman" w:hAnsi="Times New Roman" w:cs="Times New Roman"/>
          <w:sz w:val="24"/>
          <w:szCs w:val="24"/>
        </w:rPr>
      </w:pPr>
    </w:p>
    <w:tbl>
      <w:tblPr>
        <w:tblW w:w="0" w:type="auto"/>
        <w:tblLayout w:type="fixed"/>
        <w:tblLook w:val="0000" w:firstRow="0" w:lastRow="0" w:firstColumn="0" w:lastColumn="0" w:noHBand="0" w:noVBand="0"/>
      </w:tblPr>
      <w:tblGrid>
        <w:gridCol w:w="4698"/>
        <w:gridCol w:w="630"/>
        <w:gridCol w:w="4248"/>
      </w:tblGrid>
      <w:tr w:rsidR="00256DBA" w14:paraId="0B99C0BB" w14:textId="77777777">
        <w:tc>
          <w:tcPr>
            <w:tcW w:w="4698" w:type="dxa"/>
          </w:tcPr>
          <w:p w14:paraId="044B60EE" w14:textId="77777777" w:rsidR="00256DBA" w:rsidRDefault="009C520A">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Matter of</w:t>
            </w:r>
          </w:p>
          <w:p w14:paraId="5AD2364B" w14:textId="77777777" w:rsidR="00256DBA" w:rsidRDefault="00256DBA">
            <w:pPr>
              <w:tabs>
                <w:tab w:val="left" w:pos="4700"/>
              </w:tabs>
              <w:spacing w:after="0" w:line="240" w:lineRule="auto"/>
              <w:rPr>
                <w:rFonts w:ascii="Times New Roman" w:eastAsia="Times New Roman" w:hAnsi="Times New Roman" w:cs="Times New Roman"/>
                <w:sz w:val="24"/>
                <w:szCs w:val="24"/>
              </w:rPr>
            </w:pPr>
          </w:p>
          <w:p w14:paraId="4D79BF0D" w14:textId="77777777" w:rsidR="00256DBA" w:rsidRDefault="009C520A">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Communications Marketplace Report</w:t>
            </w:r>
          </w:p>
          <w:p w14:paraId="52A32D76" w14:textId="77777777" w:rsidR="00256DBA" w:rsidRDefault="00256DBA">
            <w:pPr>
              <w:tabs>
                <w:tab w:val="left" w:pos="4700"/>
              </w:tabs>
              <w:spacing w:after="0" w:line="240" w:lineRule="auto"/>
              <w:rPr>
                <w:rFonts w:ascii="Times New Roman" w:eastAsia="Times New Roman" w:hAnsi="Times New Roman" w:cs="Times New Roman"/>
                <w:sz w:val="24"/>
                <w:szCs w:val="24"/>
              </w:rPr>
            </w:pPr>
          </w:p>
        </w:tc>
        <w:tc>
          <w:tcPr>
            <w:tcW w:w="630" w:type="dxa"/>
          </w:tcPr>
          <w:p w14:paraId="5913FC9B" w14:textId="77777777" w:rsidR="00256DBA" w:rsidRDefault="009C520A">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6ECE9FFF" w14:textId="77777777" w:rsidR="00256DBA" w:rsidRDefault="009C520A">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7DCE3BD" w14:textId="77777777" w:rsidR="00256DBA" w:rsidRDefault="009C520A">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401984EE" w14:textId="77777777" w:rsidR="00256DBA" w:rsidRDefault="00256DBA">
            <w:pPr>
              <w:tabs>
                <w:tab w:val="left" w:pos="4700"/>
              </w:tabs>
              <w:spacing w:after="0" w:line="240" w:lineRule="auto"/>
              <w:rPr>
                <w:rFonts w:ascii="Times New Roman" w:eastAsia="Times New Roman" w:hAnsi="Times New Roman" w:cs="Times New Roman"/>
                <w:sz w:val="24"/>
                <w:szCs w:val="24"/>
              </w:rPr>
            </w:pPr>
          </w:p>
        </w:tc>
        <w:tc>
          <w:tcPr>
            <w:tcW w:w="4248" w:type="dxa"/>
          </w:tcPr>
          <w:p w14:paraId="2E0D6BF0" w14:textId="77777777" w:rsidR="00256DBA" w:rsidRDefault="00256DBA">
            <w:pPr>
              <w:tabs>
                <w:tab w:val="left" w:pos="4700"/>
              </w:tabs>
              <w:spacing w:after="0" w:line="240" w:lineRule="auto"/>
              <w:rPr>
                <w:rFonts w:ascii="Times New Roman" w:eastAsia="Times New Roman" w:hAnsi="Times New Roman" w:cs="Times New Roman"/>
                <w:sz w:val="24"/>
                <w:szCs w:val="24"/>
              </w:rPr>
            </w:pPr>
          </w:p>
          <w:p w14:paraId="53F2A8FB" w14:textId="77777777" w:rsidR="00256DBA" w:rsidRDefault="00256DBA">
            <w:pPr>
              <w:tabs>
                <w:tab w:val="left" w:pos="4700"/>
              </w:tabs>
              <w:spacing w:after="0" w:line="240" w:lineRule="auto"/>
              <w:rPr>
                <w:rFonts w:ascii="Times New Roman" w:eastAsia="Times New Roman" w:hAnsi="Times New Roman" w:cs="Times New Roman"/>
                <w:sz w:val="24"/>
                <w:szCs w:val="24"/>
              </w:rPr>
            </w:pPr>
          </w:p>
          <w:p w14:paraId="1F499A60" w14:textId="77777777" w:rsidR="00256DBA" w:rsidRDefault="009C520A">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GN Docket No. 18-231</w:t>
            </w:r>
          </w:p>
          <w:p w14:paraId="65B40BA5" w14:textId="77777777" w:rsidR="00256DBA" w:rsidRDefault="00256DBA">
            <w:pPr>
              <w:tabs>
                <w:tab w:val="left" w:pos="4700"/>
              </w:tabs>
              <w:spacing w:after="0" w:line="240" w:lineRule="auto"/>
              <w:rPr>
                <w:rFonts w:ascii="Times New Roman" w:eastAsia="Times New Roman" w:hAnsi="Times New Roman" w:cs="Times New Roman"/>
                <w:sz w:val="24"/>
                <w:szCs w:val="24"/>
              </w:rPr>
            </w:pPr>
          </w:p>
          <w:p w14:paraId="472FB0AD" w14:textId="77777777" w:rsidR="00256DBA" w:rsidRDefault="00256DBA">
            <w:pPr>
              <w:tabs>
                <w:tab w:val="left" w:pos="4700"/>
              </w:tabs>
              <w:spacing w:after="0" w:line="240" w:lineRule="auto"/>
              <w:rPr>
                <w:rFonts w:ascii="Times New Roman" w:eastAsia="Times New Roman" w:hAnsi="Times New Roman" w:cs="Times New Roman"/>
                <w:sz w:val="24"/>
                <w:szCs w:val="24"/>
              </w:rPr>
            </w:pPr>
          </w:p>
        </w:tc>
      </w:tr>
    </w:tbl>
    <w:p w14:paraId="24837E48" w14:textId="29B43D8F" w:rsidR="003636F8" w:rsidRDefault="003636F8">
      <w:pPr>
        <w:spacing w:after="0" w:line="240" w:lineRule="auto"/>
        <w:jc w:val="center"/>
        <w:rPr>
          <w:rFonts w:ascii="Times New Roman" w:eastAsia="Times New Roman" w:hAnsi="Times New Roman" w:cs="Times New Roman"/>
          <w:b/>
          <w:sz w:val="24"/>
          <w:szCs w:val="24"/>
          <w:u w:val="single"/>
        </w:rPr>
      </w:pPr>
    </w:p>
    <w:p w14:paraId="02AA70F1" w14:textId="5FBB86CB" w:rsidR="00E20FED" w:rsidRDefault="00E20FED">
      <w:pPr>
        <w:spacing w:after="0" w:line="240" w:lineRule="auto"/>
        <w:jc w:val="center"/>
        <w:rPr>
          <w:rFonts w:ascii="Times New Roman" w:eastAsia="Times New Roman" w:hAnsi="Times New Roman" w:cs="Times New Roman"/>
          <w:b/>
          <w:sz w:val="24"/>
          <w:szCs w:val="24"/>
          <w:u w:val="single"/>
        </w:rPr>
      </w:pPr>
    </w:p>
    <w:p w14:paraId="382F1143" w14:textId="00B5F6F5" w:rsidR="00E20FED" w:rsidRDefault="00E20FED">
      <w:pPr>
        <w:spacing w:after="0" w:line="240" w:lineRule="auto"/>
        <w:jc w:val="center"/>
        <w:rPr>
          <w:rFonts w:ascii="Times New Roman" w:eastAsia="Times New Roman" w:hAnsi="Times New Roman" w:cs="Times New Roman"/>
          <w:b/>
          <w:sz w:val="24"/>
          <w:szCs w:val="24"/>
          <w:u w:val="single"/>
        </w:rPr>
      </w:pPr>
    </w:p>
    <w:p w14:paraId="5FCFD0A5" w14:textId="42843A43" w:rsidR="00E20FED" w:rsidRDefault="00E20FED">
      <w:pPr>
        <w:spacing w:after="0" w:line="240" w:lineRule="auto"/>
        <w:jc w:val="center"/>
        <w:rPr>
          <w:rFonts w:ascii="Times New Roman" w:eastAsia="Times New Roman" w:hAnsi="Times New Roman" w:cs="Times New Roman"/>
          <w:b/>
          <w:sz w:val="24"/>
          <w:szCs w:val="24"/>
          <w:u w:val="single"/>
        </w:rPr>
      </w:pPr>
    </w:p>
    <w:p w14:paraId="65BBE5FE" w14:textId="74733050" w:rsidR="00E20FED" w:rsidRDefault="00E20FED">
      <w:pPr>
        <w:spacing w:after="0" w:line="240" w:lineRule="auto"/>
        <w:jc w:val="center"/>
        <w:rPr>
          <w:rFonts w:ascii="Times New Roman" w:eastAsia="Times New Roman" w:hAnsi="Times New Roman" w:cs="Times New Roman"/>
          <w:b/>
          <w:sz w:val="24"/>
          <w:szCs w:val="24"/>
          <w:u w:val="single"/>
        </w:rPr>
      </w:pPr>
    </w:p>
    <w:p w14:paraId="0211749D" w14:textId="77777777" w:rsidR="00E20FED" w:rsidRDefault="00E20FED">
      <w:pPr>
        <w:spacing w:after="0" w:line="240" w:lineRule="auto"/>
        <w:jc w:val="center"/>
        <w:rPr>
          <w:rFonts w:ascii="Times New Roman" w:eastAsia="Times New Roman" w:hAnsi="Times New Roman" w:cs="Times New Roman"/>
          <w:b/>
          <w:sz w:val="24"/>
          <w:szCs w:val="24"/>
          <w:u w:val="single"/>
        </w:rPr>
      </w:pPr>
    </w:p>
    <w:p w14:paraId="63905A69" w14:textId="77777777" w:rsidR="003636F8" w:rsidRPr="003636F8" w:rsidRDefault="003636F8" w:rsidP="003636F8">
      <w:pPr>
        <w:tabs>
          <w:tab w:val="left" w:pos="4680"/>
        </w:tabs>
        <w:autoSpaceDE w:val="0"/>
        <w:autoSpaceDN w:val="0"/>
        <w:adjustRightInd w:val="0"/>
        <w:spacing w:after="0" w:line="240" w:lineRule="auto"/>
        <w:jc w:val="center"/>
        <w:rPr>
          <w:rFonts w:ascii="Times New Roman" w:hAnsi="Times New Roman" w:cs="Times New Roman"/>
          <w:b/>
          <w:sz w:val="24"/>
          <w:szCs w:val="24"/>
        </w:rPr>
      </w:pPr>
      <w:r w:rsidRPr="003636F8">
        <w:rPr>
          <w:rFonts w:ascii="Times New Roman" w:hAnsi="Times New Roman" w:cs="Times New Roman"/>
          <w:b/>
          <w:sz w:val="24"/>
          <w:szCs w:val="24"/>
        </w:rPr>
        <w:t>COMMENTS OF NCTA – THE INTERNET &amp; TELEVISION ASSOCIATION</w:t>
      </w:r>
    </w:p>
    <w:p w14:paraId="7FAB7204"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6F421051"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5478DFD9"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3C305B61"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262E6006"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5C267A1B"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4B2732ED"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39D99520"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6B3ABD18"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47754511"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78E7870C"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6534CA73"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3547779E"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11C4BA13"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43231DEE"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354001B0"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738D88B0" w14:textId="77777777" w:rsid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17C1BA48"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7E1416D2"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63BC7F1B"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516522B9" w14:textId="77777777" w:rsidR="003636F8" w:rsidRPr="003636F8" w:rsidRDefault="003636F8" w:rsidP="003636F8">
      <w:pPr>
        <w:tabs>
          <w:tab w:val="left" w:pos="4680"/>
        </w:tabs>
        <w:autoSpaceDE w:val="0"/>
        <w:autoSpaceDN w:val="0"/>
        <w:adjustRightInd w:val="0"/>
        <w:spacing w:after="0" w:line="240" w:lineRule="auto"/>
        <w:rPr>
          <w:rFonts w:ascii="Times New Roman" w:hAnsi="Times New Roman" w:cs="Times New Roman"/>
          <w:sz w:val="24"/>
          <w:szCs w:val="24"/>
        </w:rPr>
      </w:pPr>
    </w:p>
    <w:p w14:paraId="2FF1ECF9" w14:textId="77777777" w:rsidR="003636F8" w:rsidRDefault="003636F8" w:rsidP="003636F8">
      <w:pPr>
        <w:spacing w:after="0" w:line="240" w:lineRule="auto"/>
        <w:rPr>
          <w:rFonts w:ascii="Times New Roman" w:eastAsia="Times New Roman" w:hAnsi="Times New Roman" w:cs="Times New Roman"/>
          <w:sz w:val="24"/>
          <w:szCs w:val="24"/>
        </w:rPr>
      </w:pPr>
      <w:r w:rsidRPr="003636F8">
        <w:rPr>
          <w:rFonts w:ascii="Times New Roman" w:hAnsi="Times New Roman" w:cs="Times New Roman"/>
          <w:sz w:val="24"/>
          <w:szCs w:val="24"/>
        </w:rPr>
        <w:tab/>
      </w:r>
      <w:r w:rsidRPr="003636F8">
        <w:rPr>
          <w:rFonts w:ascii="Times New Roman" w:hAnsi="Times New Roman" w:cs="Times New Roman"/>
          <w:sz w:val="24"/>
          <w:szCs w:val="24"/>
        </w:rPr>
        <w:tab/>
      </w:r>
      <w:r w:rsidRPr="003636F8">
        <w:rPr>
          <w:rFonts w:ascii="Times New Roman" w:hAnsi="Times New Roman" w:cs="Times New Roman"/>
          <w:sz w:val="24"/>
          <w:szCs w:val="24"/>
        </w:rPr>
        <w:tab/>
      </w:r>
      <w:r w:rsidRPr="003636F8">
        <w:rPr>
          <w:rFonts w:ascii="Times New Roman" w:hAnsi="Times New Roman" w:cs="Times New Roman"/>
          <w:sz w:val="24"/>
          <w:szCs w:val="24"/>
        </w:rPr>
        <w:tab/>
      </w:r>
      <w:r w:rsidRPr="003636F8">
        <w:rPr>
          <w:rFonts w:ascii="Times New Roman" w:hAnsi="Times New Roman" w:cs="Times New Roman"/>
          <w:sz w:val="24"/>
          <w:szCs w:val="24"/>
        </w:rPr>
        <w:tab/>
      </w:r>
      <w:r w:rsidRPr="003636F8">
        <w:rPr>
          <w:rFonts w:ascii="Times New Roman" w:hAnsi="Times New Roman" w:cs="Times New Roman"/>
          <w:sz w:val="24"/>
          <w:szCs w:val="24"/>
        </w:rPr>
        <w:tab/>
      </w:r>
      <w:r w:rsidRPr="003636F8">
        <w:rPr>
          <w:rFonts w:ascii="Times New Roman" w:hAnsi="Times New Roman" w:cs="Times New Roman"/>
          <w:sz w:val="24"/>
          <w:szCs w:val="24"/>
        </w:rPr>
        <w:tab/>
      </w:r>
      <w:r>
        <w:rPr>
          <w:rFonts w:ascii="Times New Roman" w:eastAsia="Times New Roman" w:hAnsi="Times New Roman" w:cs="Times New Roman"/>
          <w:sz w:val="24"/>
          <w:szCs w:val="24"/>
        </w:rPr>
        <w:t>Steven F. Morris</w:t>
      </w:r>
    </w:p>
    <w:p w14:paraId="6F1CD728" w14:textId="77777777" w:rsidR="003636F8" w:rsidRDefault="003636F8" w:rsidP="003636F8">
      <w:pPr>
        <w:spacing w:after="0" w:line="240" w:lineRule="auto"/>
        <w:ind w:left="4608" w:firstLine="432"/>
        <w:rPr>
          <w:rFonts w:ascii="Times New Roman" w:eastAsia="Times New Roman" w:hAnsi="Times New Roman" w:cs="Times New Roman"/>
          <w:sz w:val="24"/>
          <w:szCs w:val="24"/>
        </w:rPr>
      </w:pPr>
      <w:r>
        <w:rPr>
          <w:rFonts w:ascii="Times New Roman" w:eastAsia="Times New Roman" w:hAnsi="Times New Roman" w:cs="Times New Roman"/>
          <w:sz w:val="24"/>
          <w:szCs w:val="24"/>
        </w:rPr>
        <w:t>Jennifer K. McKee</w:t>
      </w:r>
    </w:p>
    <w:p w14:paraId="40771D68" w14:textId="77777777" w:rsidR="003636F8" w:rsidRDefault="003636F8" w:rsidP="003636F8">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NCTA – The Internet &amp; Television</w:t>
      </w:r>
    </w:p>
    <w:p w14:paraId="34AFECA2" w14:textId="77777777" w:rsidR="003636F8" w:rsidRDefault="003636F8" w:rsidP="003636F8">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Association</w:t>
      </w:r>
    </w:p>
    <w:p w14:paraId="5C15D220" w14:textId="77777777" w:rsidR="003636F8" w:rsidRDefault="003636F8" w:rsidP="003636F8">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25 Massachusetts Avenue, N.W. – Suite 100</w:t>
      </w:r>
    </w:p>
    <w:p w14:paraId="4C2AF635" w14:textId="77777777" w:rsidR="003636F8" w:rsidRDefault="003636F8" w:rsidP="003636F8">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Washington, D.C.  20001-1431</w:t>
      </w:r>
    </w:p>
    <w:p w14:paraId="27342E44" w14:textId="77777777" w:rsidR="003636F8" w:rsidRDefault="003636F8" w:rsidP="003636F8">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(202) 222-2445</w:t>
      </w:r>
    </w:p>
    <w:p w14:paraId="17DFA678" w14:textId="77777777" w:rsidR="00D23C66" w:rsidRDefault="00D23C66" w:rsidP="00D23C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August 17, 2018</w:t>
      </w:r>
    </w:p>
    <w:p w14:paraId="38F631CF" w14:textId="77777777" w:rsidR="002A20AA" w:rsidRDefault="002A20AA" w:rsidP="00D23C66">
      <w:pPr>
        <w:spacing w:after="0" w:line="240" w:lineRule="auto"/>
        <w:rPr>
          <w:rFonts w:ascii="Times New Roman" w:eastAsia="Times New Roman" w:hAnsi="Times New Roman" w:cs="Times New Roman"/>
          <w:b/>
          <w:sz w:val="24"/>
          <w:szCs w:val="24"/>
        </w:rPr>
        <w:sectPr w:rsidR="002A20AA">
          <w:footerReference w:type="default" r:id="rId8"/>
          <w:pgSz w:w="12240" w:h="15840"/>
          <w:pgMar w:top="1440" w:right="1440" w:bottom="1440" w:left="1440" w:header="720" w:footer="720" w:gutter="0"/>
          <w:cols w:space="720"/>
          <w:titlePg/>
          <w:docGrid w:linePitch="360"/>
        </w:sectPr>
      </w:pPr>
    </w:p>
    <w:sdt>
      <w:sdtPr>
        <w:rPr>
          <w:rFonts w:asciiTheme="minorHAnsi" w:eastAsiaTheme="minorHAnsi" w:hAnsiTheme="minorHAnsi" w:cstheme="minorBidi"/>
          <w:b w:val="0"/>
          <w:sz w:val="22"/>
          <w:szCs w:val="22"/>
        </w:rPr>
        <w:id w:val="-274707951"/>
        <w:docPartObj>
          <w:docPartGallery w:val="Table of Contents"/>
          <w:docPartUnique/>
        </w:docPartObj>
      </w:sdtPr>
      <w:sdtEndPr>
        <w:rPr>
          <w:bCs/>
          <w:noProof/>
        </w:rPr>
      </w:sdtEndPr>
      <w:sdtContent>
        <w:p w14:paraId="3CA6670F" w14:textId="77777777" w:rsidR="00CE41AF" w:rsidRDefault="00CE41AF" w:rsidP="005C2D3F">
          <w:pPr>
            <w:pStyle w:val="TOCHeading"/>
            <w:spacing w:after="0"/>
            <w:jc w:val="center"/>
            <w:rPr>
              <w:u w:val="single"/>
            </w:rPr>
          </w:pPr>
          <w:r w:rsidRPr="005C2D3F">
            <w:rPr>
              <w:u w:val="single"/>
            </w:rPr>
            <w:t>TABLE OF CONTENTS</w:t>
          </w:r>
        </w:p>
        <w:p w14:paraId="56CC8FD3" w14:textId="77777777" w:rsidR="005C2D3F" w:rsidRPr="005C2D3F" w:rsidRDefault="005C2D3F" w:rsidP="005C2D3F"/>
        <w:p w14:paraId="00B688A5" w14:textId="5E4ADDD7" w:rsidR="009B6015" w:rsidRDefault="00D23C66" w:rsidP="005C2D3F">
          <w:pPr>
            <w:pStyle w:val="TOC1"/>
            <w:tabs>
              <w:tab w:val="right" w:leader="dot" w:pos="9350"/>
            </w:tabs>
            <w:spacing w:after="0" w:line="240" w:lineRule="auto"/>
            <w:ind w:left="450" w:hanging="450"/>
            <w:rPr>
              <w:rStyle w:val="Hyperlink"/>
              <w:rFonts w:ascii="Times New Roman" w:hAnsi="Times New Roman"/>
              <w:noProof/>
              <w:color w:val="auto"/>
              <w:sz w:val="24"/>
            </w:rPr>
          </w:pPr>
          <w:r w:rsidRPr="009B6015">
            <w:rPr>
              <w:rFonts w:ascii="Times New Roman" w:hAnsi="Times New Roman"/>
              <w:b/>
              <w:bCs/>
              <w:noProof/>
              <w:sz w:val="24"/>
            </w:rPr>
            <w:fldChar w:fldCharType="begin"/>
          </w:r>
          <w:r w:rsidRPr="009B6015">
            <w:rPr>
              <w:rFonts w:ascii="Times New Roman" w:hAnsi="Times New Roman"/>
              <w:b/>
              <w:bCs/>
              <w:noProof/>
              <w:sz w:val="24"/>
            </w:rPr>
            <w:instrText xml:space="preserve"> TOC \o "1-3" \h \z \u </w:instrText>
          </w:r>
          <w:r w:rsidRPr="009B6015">
            <w:rPr>
              <w:rFonts w:ascii="Times New Roman" w:hAnsi="Times New Roman"/>
              <w:b/>
              <w:bCs/>
              <w:noProof/>
              <w:sz w:val="24"/>
            </w:rPr>
            <w:fldChar w:fldCharType="separate"/>
          </w:r>
          <w:hyperlink w:anchor="_Toc522194557" w:history="1">
            <w:r w:rsidR="009B6015" w:rsidRPr="00690E58">
              <w:rPr>
                <w:rStyle w:val="Hyperlink"/>
                <w:rFonts w:ascii="Times New Roman" w:hAnsi="Times New Roman"/>
                <w:noProof/>
                <w:color w:val="auto"/>
                <w:sz w:val="24"/>
              </w:rPr>
              <w:t>INTRODUCTION AND SUMMARY</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_Toc522194557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1</w:t>
            </w:r>
            <w:r w:rsidR="009B6015" w:rsidRPr="009B6015">
              <w:rPr>
                <w:rFonts w:ascii="Times New Roman" w:hAnsi="Times New Roman"/>
                <w:noProof/>
                <w:webHidden/>
                <w:sz w:val="24"/>
              </w:rPr>
              <w:fldChar w:fldCharType="end"/>
            </w:r>
          </w:hyperlink>
        </w:p>
        <w:p w14:paraId="75A4C022" w14:textId="77777777" w:rsidR="005C2D3F" w:rsidRPr="005C2D3F" w:rsidRDefault="005C2D3F" w:rsidP="005C2D3F">
          <w:pPr>
            <w:spacing w:after="0" w:line="240" w:lineRule="auto"/>
            <w:rPr>
              <w:noProof/>
            </w:rPr>
          </w:pPr>
        </w:p>
        <w:p w14:paraId="4C6BE046" w14:textId="2266FE67" w:rsidR="009B6015" w:rsidRPr="009B6015" w:rsidRDefault="00913DE7" w:rsidP="005C2D3F">
          <w:pPr>
            <w:pStyle w:val="TOC1"/>
            <w:tabs>
              <w:tab w:val="left" w:pos="440"/>
              <w:tab w:val="right" w:leader="dot" w:pos="9350"/>
            </w:tabs>
            <w:spacing w:line="240" w:lineRule="auto"/>
            <w:ind w:left="450" w:hanging="450"/>
            <w:rPr>
              <w:rFonts w:ascii="Times New Roman" w:eastAsiaTheme="minorEastAsia" w:hAnsi="Times New Roman"/>
              <w:noProof/>
              <w:sz w:val="24"/>
            </w:rPr>
          </w:pPr>
          <w:hyperlink w:anchor="_Toc522194558" w:history="1">
            <w:r w:rsidR="009B6015" w:rsidRPr="009B6015">
              <w:rPr>
                <w:rStyle w:val="Hyperlink"/>
                <w:rFonts w:ascii="Times New Roman" w:hAnsi="Times New Roman"/>
                <w:noProof/>
                <w:color w:val="auto"/>
                <w:sz w:val="24"/>
              </w:rPr>
              <w:t xml:space="preserve">I. </w:t>
            </w:r>
            <w:r w:rsidR="009B6015" w:rsidRPr="009B6015">
              <w:rPr>
                <w:rFonts w:ascii="Times New Roman" w:eastAsiaTheme="minorEastAsia" w:hAnsi="Times New Roman"/>
                <w:noProof/>
                <w:sz w:val="24"/>
              </w:rPr>
              <w:tab/>
            </w:r>
            <w:r w:rsidR="009B6015" w:rsidRPr="009B6015">
              <w:rPr>
                <w:rStyle w:val="Hyperlink"/>
                <w:rFonts w:ascii="Times New Roman" w:hAnsi="Times New Roman"/>
                <w:noProof/>
                <w:color w:val="auto"/>
                <w:sz w:val="24"/>
              </w:rPr>
              <w:t>THE COMMISSION IS REQUIRED TO ISSUE A COMPREHENSIVE REPORT ADDRESSING COMPETITION IN THE COMMUNICATIONS MARKETPLACE</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_Toc522194558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2</w:t>
            </w:r>
            <w:r w:rsidR="009B6015" w:rsidRPr="009B6015">
              <w:rPr>
                <w:rFonts w:ascii="Times New Roman" w:hAnsi="Times New Roman"/>
                <w:noProof/>
                <w:webHidden/>
                <w:sz w:val="24"/>
              </w:rPr>
              <w:fldChar w:fldCharType="end"/>
            </w:r>
          </w:hyperlink>
        </w:p>
        <w:p w14:paraId="6187AF79" w14:textId="31C5549F" w:rsidR="009B6015" w:rsidRPr="009B6015" w:rsidRDefault="00913DE7" w:rsidP="005C2D3F">
          <w:pPr>
            <w:pStyle w:val="TOC2"/>
            <w:tabs>
              <w:tab w:val="right" w:leader="dot" w:pos="9350"/>
            </w:tabs>
            <w:spacing w:after="0" w:line="240" w:lineRule="auto"/>
            <w:ind w:left="990" w:hanging="270"/>
            <w:rPr>
              <w:rFonts w:ascii="Times New Roman" w:eastAsiaTheme="minorEastAsia" w:hAnsi="Times New Roman"/>
              <w:noProof/>
              <w:sz w:val="24"/>
            </w:rPr>
          </w:pPr>
          <w:hyperlink w:anchor="_Toc522194559" w:history="1">
            <w:r w:rsidR="009B6015" w:rsidRPr="009B6015">
              <w:rPr>
                <w:rStyle w:val="Hyperlink"/>
                <w:rFonts w:ascii="Times New Roman" w:hAnsi="Times New Roman"/>
                <w:noProof/>
                <w:color w:val="auto"/>
                <w:sz w:val="24"/>
              </w:rPr>
              <w:t>A.</w:t>
            </w:r>
            <w:r w:rsidR="009B6015">
              <w:rPr>
                <w:rFonts w:ascii="Times New Roman" w:eastAsiaTheme="minorEastAsia" w:hAnsi="Times New Roman"/>
                <w:noProof/>
                <w:sz w:val="24"/>
              </w:rPr>
              <w:t xml:space="preserve"> </w:t>
            </w:r>
            <w:r w:rsidR="009B6015" w:rsidRPr="009B6015">
              <w:rPr>
                <w:rStyle w:val="Hyperlink"/>
                <w:rFonts w:ascii="Times New Roman" w:hAnsi="Times New Roman"/>
                <w:noProof/>
                <w:color w:val="auto"/>
                <w:sz w:val="24"/>
              </w:rPr>
              <w:t>The report should address the significant role that online services play in the communications marketplace</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_Toc522194559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2</w:t>
            </w:r>
            <w:r w:rsidR="009B6015" w:rsidRPr="009B6015">
              <w:rPr>
                <w:rFonts w:ascii="Times New Roman" w:hAnsi="Times New Roman"/>
                <w:noProof/>
                <w:webHidden/>
                <w:sz w:val="24"/>
              </w:rPr>
              <w:fldChar w:fldCharType="end"/>
            </w:r>
          </w:hyperlink>
        </w:p>
        <w:p w14:paraId="2D63B131" w14:textId="554912F3" w:rsidR="009B6015" w:rsidRPr="009B6015" w:rsidRDefault="00913DE7" w:rsidP="005C2D3F">
          <w:pPr>
            <w:pStyle w:val="TOC2"/>
            <w:tabs>
              <w:tab w:val="right" w:leader="dot" w:pos="9350"/>
            </w:tabs>
            <w:spacing w:after="0" w:line="240" w:lineRule="auto"/>
            <w:ind w:left="990" w:hanging="270"/>
            <w:rPr>
              <w:rFonts w:ascii="Times New Roman" w:eastAsiaTheme="minorEastAsia" w:hAnsi="Times New Roman"/>
              <w:noProof/>
              <w:sz w:val="24"/>
            </w:rPr>
          </w:pPr>
          <w:hyperlink w:anchor="_Toc522194560" w:history="1">
            <w:r w:rsidR="009B6015" w:rsidRPr="009B6015">
              <w:rPr>
                <w:rStyle w:val="Hyperlink"/>
                <w:rFonts w:ascii="Times New Roman" w:hAnsi="Times New Roman"/>
                <w:noProof/>
                <w:color w:val="auto"/>
                <w:sz w:val="24"/>
              </w:rPr>
              <w:t>B. The report should consider all communications services, including Internet access services below the 25/3 Mbps speed threshold</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_Toc522194560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5</w:t>
            </w:r>
            <w:r w:rsidR="009B6015" w:rsidRPr="009B6015">
              <w:rPr>
                <w:rFonts w:ascii="Times New Roman" w:hAnsi="Times New Roman"/>
                <w:noProof/>
                <w:webHidden/>
                <w:sz w:val="24"/>
              </w:rPr>
              <w:fldChar w:fldCharType="end"/>
            </w:r>
          </w:hyperlink>
        </w:p>
        <w:p w14:paraId="64915E6B" w14:textId="21D230EB" w:rsidR="009B6015" w:rsidRDefault="00913DE7" w:rsidP="005C2D3F">
          <w:pPr>
            <w:pStyle w:val="TOC2"/>
            <w:tabs>
              <w:tab w:val="right" w:leader="dot" w:pos="9350"/>
            </w:tabs>
            <w:spacing w:after="0" w:line="240" w:lineRule="auto"/>
            <w:ind w:left="990" w:hanging="270"/>
            <w:rPr>
              <w:rStyle w:val="Hyperlink"/>
              <w:rFonts w:ascii="Times New Roman" w:hAnsi="Times New Roman"/>
              <w:noProof/>
              <w:color w:val="auto"/>
              <w:sz w:val="24"/>
            </w:rPr>
          </w:pPr>
          <w:hyperlink w:anchor="_Toc522194561" w:history="1">
            <w:r w:rsidR="009B6015" w:rsidRPr="009B6015">
              <w:rPr>
                <w:rStyle w:val="Hyperlink"/>
                <w:rFonts w:ascii="Times New Roman" w:hAnsi="Times New Roman"/>
                <w:noProof/>
                <w:color w:val="auto"/>
                <w:sz w:val="24"/>
              </w:rPr>
              <w:t>C. The report must consider intermodal competition</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_Toc522194561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6</w:t>
            </w:r>
            <w:r w:rsidR="009B6015" w:rsidRPr="009B6015">
              <w:rPr>
                <w:rFonts w:ascii="Times New Roman" w:hAnsi="Times New Roman"/>
                <w:noProof/>
                <w:webHidden/>
                <w:sz w:val="24"/>
              </w:rPr>
              <w:fldChar w:fldCharType="end"/>
            </w:r>
          </w:hyperlink>
        </w:p>
        <w:p w14:paraId="37E022DC" w14:textId="77777777" w:rsidR="005C2D3F" w:rsidRPr="005C2D3F" w:rsidRDefault="005C2D3F" w:rsidP="005C2D3F">
          <w:pPr>
            <w:spacing w:after="0" w:line="240" w:lineRule="auto"/>
            <w:rPr>
              <w:noProof/>
            </w:rPr>
          </w:pPr>
        </w:p>
        <w:p w14:paraId="2CA632A8" w14:textId="272761B5" w:rsidR="009B6015" w:rsidRDefault="00913DE7" w:rsidP="005C2D3F">
          <w:pPr>
            <w:pStyle w:val="TOC1"/>
            <w:tabs>
              <w:tab w:val="left" w:pos="440"/>
              <w:tab w:val="right" w:leader="dot" w:pos="9350"/>
            </w:tabs>
            <w:spacing w:after="0" w:line="240" w:lineRule="auto"/>
            <w:ind w:left="450" w:hanging="450"/>
            <w:rPr>
              <w:rStyle w:val="Hyperlink"/>
              <w:rFonts w:ascii="Times New Roman" w:hAnsi="Times New Roman"/>
              <w:noProof/>
              <w:color w:val="auto"/>
              <w:sz w:val="24"/>
            </w:rPr>
          </w:pPr>
          <w:hyperlink w:anchor="_Toc522194562" w:history="1">
            <w:r w:rsidR="009B6015" w:rsidRPr="009B6015">
              <w:rPr>
                <w:rStyle w:val="Hyperlink"/>
                <w:rFonts w:ascii="Times New Roman" w:hAnsi="Times New Roman"/>
                <w:noProof/>
                <w:color w:val="auto"/>
                <w:sz w:val="24"/>
              </w:rPr>
              <w:t xml:space="preserve">II. </w:t>
            </w:r>
            <w:r w:rsidR="009B6015" w:rsidRPr="009B6015">
              <w:rPr>
                <w:rFonts w:ascii="Times New Roman" w:eastAsiaTheme="minorEastAsia" w:hAnsi="Times New Roman"/>
                <w:noProof/>
                <w:sz w:val="24"/>
              </w:rPr>
              <w:tab/>
            </w:r>
            <w:r w:rsidR="009B6015" w:rsidRPr="009B6015">
              <w:rPr>
                <w:rStyle w:val="Hyperlink"/>
                <w:rFonts w:ascii="Times New Roman" w:hAnsi="Times New Roman"/>
                <w:noProof/>
                <w:color w:val="auto"/>
                <w:sz w:val="24"/>
              </w:rPr>
              <w:t>COMPETITION IN THE COMMUNICATIONS MARKETPLACE IS DELIVERING TREMENDOUS BENEFITS FOR AMERICAN CONSUMERS</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_Toc522194562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7</w:t>
            </w:r>
            <w:r w:rsidR="009B6015" w:rsidRPr="009B6015">
              <w:rPr>
                <w:rFonts w:ascii="Times New Roman" w:hAnsi="Times New Roman"/>
                <w:noProof/>
                <w:webHidden/>
                <w:sz w:val="24"/>
              </w:rPr>
              <w:fldChar w:fldCharType="end"/>
            </w:r>
          </w:hyperlink>
        </w:p>
        <w:p w14:paraId="7EF21D9C" w14:textId="77777777" w:rsidR="005C2D3F" w:rsidRPr="005C2D3F" w:rsidRDefault="005C2D3F" w:rsidP="005C2D3F">
          <w:pPr>
            <w:spacing w:after="0" w:line="240" w:lineRule="auto"/>
            <w:rPr>
              <w:noProof/>
            </w:rPr>
          </w:pPr>
        </w:p>
        <w:p w14:paraId="2966EDEC" w14:textId="15C886AC" w:rsidR="009B6015" w:rsidRPr="009B6015" w:rsidRDefault="00913DE7" w:rsidP="005C2D3F">
          <w:pPr>
            <w:pStyle w:val="TOC1"/>
            <w:tabs>
              <w:tab w:val="left" w:pos="660"/>
              <w:tab w:val="right" w:leader="dot" w:pos="9350"/>
            </w:tabs>
            <w:spacing w:line="240" w:lineRule="auto"/>
            <w:ind w:left="450" w:hanging="450"/>
            <w:rPr>
              <w:rFonts w:ascii="Times New Roman" w:eastAsiaTheme="minorEastAsia" w:hAnsi="Times New Roman"/>
              <w:noProof/>
              <w:sz w:val="24"/>
            </w:rPr>
          </w:pPr>
          <w:hyperlink w:anchor="_Toc522194563" w:history="1">
            <w:r w:rsidR="009B6015" w:rsidRPr="009B6015">
              <w:rPr>
                <w:rStyle w:val="Hyperlink"/>
                <w:rFonts w:ascii="Times New Roman" w:hAnsi="Times New Roman"/>
                <w:noProof/>
                <w:color w:val="auto"/>
                <w:sz w:val="24"/>
              </w:rPr>
              <w:t>III.</w:t>
            </w:r>
            <w:r w:rsidR="009B6015">
              <w:rPr>
                <w:rStyle w:val="Hyperlink"/>
                <w:rFonts w:ascii="Times New Roman" w:hAnsi="Times New Roman"/>
                <w:noProof/>
                <w:color w:val="auto"/>
                <w:sz w:val="24"/>
              </w:rPr>
              <w:tab/>
            </w:r>
            <w:r w:rsidR="009B6015" w:rsidRPr="009B6015">
              <w:rPr>
                <w:rStyle w:val="Hyperlink"/>
                <w:rFonts w:ascii="Times New Roman" w:hAnsi="Times New Roman"/>
                <w:noProof/>
                <w:color w:val="auto"/>
                <w:sz w:val="24"/>
              </w:rPr>
              <w:t>THE COMMISSION SHOULD CONTINUE TO PROMOTE DEPLOYMENT AND COMPETITION FOR ALL SECTORS OF THE MARKETPLACE</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_Toc522194563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10</w:t>
            </w:r>
            <w:r w:rsidR="009B6015" w:rsidRPr="009B6015">
              <w:rPr>
                <w:rFonts w:ascii="Times New Roman" w:hAnsi="Times New Roman"/>
                <w:noProof/>
                <w:webHidden/>
                <w:sz w:val="24"/>
              </w:rPr>
              <w:fldChar w:fldCharType="end"/>
            </w:r>
          </w:hyperlink>
        </w:p>
        <w:p w14:paraId="6CC24123" w14:textId="4E0AD3D5" w:rsidR="009B6015" w:rsidRPr="009B6015" w:rsidRDefault="00913DE7" w:rsidP="005C2D3F">
          <w:pPr>
            <w:pStyle w:val="TOC2"/>
            <w:tabs>
              <w:tab w:val="left" w:pos="990"/>
              <w:tab w:val="right" w:leader="dot" w:pos="9350"/>
            </w:tabs>
            <w:spacing w:after="0" w:line="240" w:lineRule="auto"/>
            <w:ind w:left="990" w:hanging="270"/>
            <w:rPr>
              <w:rFonts w:ascii="Times New Roman" w:eastAsiaTheme="minorEastAsia" w:hAnsi="Times New Roman"/>
              <w:noProof/>
              <w:sz w:val="24"/>
            </w:rPr>
          </w:pPr>
          <w:hyperlink w:anchor="_Toc522194564" w:history="1">
            <w:r w:rsidR="009B6015" w:rsidRPr="009B6015">
              <w:rPr>
                <w:rStyle w:val="Hyperlink"/>
                <w:rFonts w:ascii="Times New Roman" w:hAnsi="Times New Roman"/>
                <w:noProof/>
                <w:color w:val="auto"/>
                <w:sz w:val="24"/>
              </w:rPr>
              <w:t>A.</w:t>
            </w:r>
            <w:r w:rsidR="009B6015" w:rsidRPr="009B6015">
              <w:rPr>
                <w:rFonts w:ascii="Times New Roman" w:eastAsiaTheme="minorEastAsia" w:hAnsi="Times New Roman"/>
                <w:noProof/>
                <w:sz w:val="24"/>
              </w:rPr>
              <w:tab/>
            </w:r>
            <w:r w:rsidR="009B6015" w:rsidRPr="009B6015">
              <w:rPr>
                <w:rStyle w:val="Hyperlink"/>
                <w:rFonts w:ascii="Times New Roman" w:hAnsi="Times New Roman"/>
                <w:noProof/>
                <w:color w:val="auto"/>
                <w:sz w:val="24"/>
              </w:rPr>
              <w:t>The Commission has taken important steps in recent years to promote deployment and competition</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_Toc522194564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10</w:t>
            </w:r>
            <w:r w:rsidR="009B6015" w:rsidRPr="009B6015">
              <w:rPr>
                <w:rFonts w:ascii="Times New Roman" w:hAnsi="Times New Roman"/>
                <w:noProof/>
                <w:webHidden/>
                <w:sz w:val="24"/>
              </w:rPr>
              <w:fldChar w:fldCharType="end"/>
            </w:r>
          </w:hyperlink>
        </w:p>
        <w:p w14:paraId="7349C3B6" w14:textId="4FE63D23" w:rsidR="009B6015" w:rsidRPr="009B6015" w:rsidRDefault="00913DE7" w:rsidP="005C2D3F">
          <w:pPr>
            <w:pStyle w:val="TOC2"/>
            <w:tabs>
              <w:tab w:val="left" w:pos="990"/>
              <w:tab w:val="right" w:leader="dot" w:pos="9350"/>
            </w:tabs>
            <w:spacing w:after="0" w:line="240" w:lineRule="auto"/>
            <w:ind w:left="990" w:hanging="270"/>
            <w:rPr>
              <w:rFonts w:ascii="Times New Roman" w:eastAsiaTheme="minorEastAsia" w:hAnsi="Times New Roman"/>
              <w:noProof/>
              <w:sz w:val="24"/>
            </w:rPr>
          </w:pPr>
          <w:hyperlink w:anchor="_Toc522194565" w:history="1">
            <w:r w:rsidR="009B6015" w:rsidRPr="009B6015">
              <w:rPr>
                <w:rStyle w:val="Hyperlink"/>
                <w:rFonts w:ascii="Times New Roman" w:hAnsi="Times New Roman"/>
                <w:noProof/>
                <w:color w:val="auto"/>
                <w:sz w:val="24"/>
              </w:rPr>
              <w:t>B.</w:t>
            </w:r>
            <w:r w:rsidR="009B6015" w:rsidRPr="009B6015">
              <w:rPr>
                <w:rFonts w:ascii="Times New Roman" w:eastAsiaTheme="minorEastAsia" w:hAnsi="Times New Roman"/>
                <w:noProof/>
                <w:sz w:val="24"/>
              </w:rPr>
              <w:tab/>
            </w:r>
            <w:r w:rsidR="009B6015" w:rsidRPr="009B6015">
              <w:rPr>
                <w:rStyle w:val="Hyperlink"/>
                <w:rFonts w:ascii="Times New Roman" w:hAnsi="Times New Roman"/>
                <w:noProof/>
                <w:color w:val="auto"/>
                <w:sz w:val="24"/>
              </w:rPr>
              <w:t>The Commission should preempt and declare unlawful state and local regulations that are barriers to deployment of broadband</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_Toc522194565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12</w:t>
            </w:r>
            <w:r w:rsidR="009B6015" w:rsidRPr="009B6015">
              <w:rPr>
                <w:rFonts w:ascii="Times New Roman" w:hAnsi="Times New Roman"/>
                <w:noProof/>
                <w:webHidden/>
                <w:sz w:val="24"/>
              </w:rPr>
              <w:fldChar w:fldCharType="end"/>
            </w:r>
          </w:hyperlink>
        </w:p>
        <w:p w14:paraId="6FE621D0" w14:textId="5B612741" w:rsidR="009B6015" w:rsidRDefault="00913DE7" w:rsidP="005C2D3F">
          <w:pPr>
            <w:pStyle w:val="TOC2"/>
            <w:tabs>
              <w:tab w:val="left" w:pos="990"/>
              <w:tab w:val="right" w:leader="dot" w:pos="9350"/>
            </w:tabs>
            <w:spacing w:after="0" w:line="240" w:lineRule="auto"/>
            <w:ind w:left="990" w:hanging="270"/>
            <w:rPr>
              <w:rStyle w:val="Hyperlink"/>
              <w:rFonts w:ascii="Times New Roman" w:hAnsi="Times New Roman"/>
              <w:noProof/>
              <w:color w:val="auto"/>
              <w:sz w:val="24"/>
            </w:rPr>
          </w:pPr>
          <w:hyperlink w:anchor="_Toc522194566" w:history="1">
            <w:r w:rsidR="009B6015" w:rsidRPr="009B6015">
              <w:rPr>
                <w:rStyle w:val="Hyperlink"/>
                <w:rFonts w:ascii="Times New Roman" w:hAnsi="Times New Roman"/>
                <w:noProof/>
                <w:color w:val="auto"/>
                <w:sz w:val="24"/>
              </w:rPr>
              <w:t>C.</w:t>
            </w:r>
            <w:r w:rsidR="009B6015" w:rsidRPr="009B6015">
              <w:rPr>
                <w:rFonts w:ascii="Times New Roman" w:eastAsiaTheme="minorEastAsia" w:hAnsi="Times New Roman"/>
                <w:noProof/>
                <w:sz w:val="24"/>
              </w:rPr>
              <w:tab/>
            </w:r>
            <w:r w:rsidR="009B6015" w:rsidRPr="009B6015">
              <w:rPr>
                <w:rStyle w:val="Hyperlink"/>
                <w:rFonts w:ascii="Times New Roman" w:hAnsi="Times New Roman"/>
                <w:noProof/>
                <w:color w:val="auto"/>
                <w:sz w:val="24"/>
              </w:rPr>
              <w:t>All subsidy programs should be targeted to unserved areas and made available to all providers</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_Toc522194566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13</w:t>
            </w:r>
            <w:r w:rsidR="009B6015" w:rsidRPr="009B6015">
              <w:rPr>
                <w:rFonts w:ascii="Times New Roman" w:hAnsi="Times New Roman"/>
                <w:noProof/>
                <w:webHidden/>
                <w:sz w:val="24"/>
              </w:rPr>
              <w:fldChar w:fldCharType="end"/>
            </w:r>
          </w:hyperlink>
        </w:p>
        <w:p w14:paraId="6AAC1CC6" w14:textId="77777777" w:rsidR="005C2D3F" w:rsidRPr="005C2D3F" w:rsidRDefault="005C2D3F" w:rsidP="005C2D3F">
          <w:pPr>
            <w:spacing w:after="0" w:line="240" w:lineRule="auto"/>
            <w:rPr>
              <w:noProof/>
            </w:rPr>
          </w:pPr>
        </w:p>
        <w:p w14:paraId="67D8CDA4" w14:textId="61D7CAE5" w:rsidR="009B6015" w:rsidRPr="009B6015" w:rsidRDefault="00913DE7" w:rsidP="005C2D3F">
          <w:pPr>
            <w:pStyle w:val="TOC1"/>
            <w:tabs>
              <w:tab w:val="right" w:leader="dot" w:pos="9350"/>
            </w:tabs>
            <w:spacing w:after="0" w:line="240" w:lineRule="auto"/>
            <w:ind w:left="450" w:hanging="450"/>
            <w:rPr>
              <w:rFonts w:ascii="Times New Roman" w:eastAsiaTheme="minorEastAsia" w:hAnsi="Times New Roman"/>
              <w:noProof/>
              <w:sz w:val="24"/>
            </w:rPr>
          </w:pPr>
          <w:hyperlink w:anchor="_Toc522194567" w:history="1">
            <w:r w:rsidR="009B6015" w:rsidRPr="00690E58">
              <w:rPr>
                <w:rStyle w:val="Hyperlink"/>
                <w:rFonts w:ascii="Times New Roman" w:hAnsi="Times New Roman"/>
                <w:noProof/>
                <w:color w:val="auto"/>
                <w:sz w:val="24"/>
              </w:rPr>
              <w:t>CONCLUSION</w:t>
            </w:r>
            <w:r w:rsidR="009B6015" w:rsidRPr="009B6015">
              <w:rPr>
                <w:rFonts w:ascii="Times New Roman" w:hAnsi="Times New Roman"/>
                <w:noProof/>
                <w:webHidden/>
                <w:sz w:val="24"/>
              </w:rPr>
              <w:tab/>
            </w:r>
            <w:r w:rsidR="009B6015" w:rsidRPr="009B6015">
              <w:rPr>
                <w:rFonts w:ascii="Times New Roman" w:hAnsi="Times New Roman"/>
                <w:noProof/>
                <w:webHidden/>
                <w:sz w:val="24"/>
              </w:rPr>
              <w:fldChar w:fldCharType="begin"/>
            </w:r>
            <w:r w:rsidR="009B6015" w:rsidRPr="009B6015">
              <w:rPr>
                <w:rFonts w:ascii="Times New Roman" w:hAnsi="Times New Roman"/>
                <w:noProof/>
                <w:webHidden/>
                <w:sz w:val="24"/>
              </w:rPr>
              <w:instrText xml:space="preserve"> PAGEREF _Toc522194567 \h </w:instrText>
            </w:r>
            <w:r w:rsidR="009B6015" w:rsidRPr="009B6015">
              <w:rPr>
                <w:rFonts w:ascii="Times New Roman" w:hAnsi="Times New Roman"/>
                <w:noProof/>
                <w:webHidden/>
                <w:sz w:val="24"/>
              </w:rPr>
            </w:r>
            <w:r w:rsidR="009B6015" w:rsidRPr="009B6015">
              <w:rPr>
                <w:rFonts w:ascii="Times New Roman" w:hAnsi="Times New Roman"/>
                <w:noProof/>
                <w:webHidden/>
                <w:sz w:val="24"/>
              </w:rPr>
              <w:fldChar w:fldCharType="separate"/>
            </w:r>
            <w:r w:rsidR="0021102C">
              <w:rPr>
                <w:rFonts w:ascii="Times New Roman" w:hAnsi="Times New Roman"/>
                <w:noProof/>
                <w:webHidden/>
                <w:sz w:val="24"/>
              </w:rPr>
              <w:t>15</w:t>
            </w:r>
            <w:r w:rsidR="009B6015" w:rsidRPr="009B6015">
              <w:rPr>
                <w:rFonts w:ascii="Times New Roman" w:hAnsi="Times New Roman"/>
                <w:noProof/>
                <w:webHidden/>
                <w:sz w:val="24"/>
              </w:rPr>
              <w:fldChar w:fldCharType="end"/>
            </w:r>
          </w:hyperlink>
        </w:p>
        <w:p w14:paraId="0355F422" w14:textId="77777777" w:rsidR="003636F8" w:rsidRPr="009B6015" w:rsidRDefault="00D23C66" w:rsidP="005C2D3F">
          <w:pPr>
            <w:spacing w:after="0" w:line="240" w:lineRule="auto"/>
            <w:ind w:left="450" w:hanging="450"/>
            <w:rPr>
              <w:rFonts w:ascii="Times New Roman" w:hAnsi="Times New Roman"/>
              <w:b/>
              <w:bCs/>
              <w:noProof/>
              <w:sz w:val="24"/>
            </w:rPr>
          </w:pPr>
          <w:r w:rsidRPr="009B6015">
            <w:rPr>
              <w:rFonts w:ascii="Times New Roman" w:hAnsi="Times New Roman"/>
              <w:b/>
              <w:bCs/>
              <w:noProof/>
              <w:sz w:val="24"/>
            </w:rPr>
            <w:fldChar w:fldCharType="end"/>
          </w:r>
        </w:p>
      </w:sdtContent>
    </w:sdt>
    <w:p w14:paraId="06BD16E1" w14:textId="77777777" w:rsidR="002A20AA" w:rsidRDefault="009B6015">
      <w:pPr>
        <w:rPr>
          <w:rFonts w:ascii="Times New Roman" w:eastAsia="Times New Roman" w:hAnsi="Times New Roman" w:cs="Times New Roman"/>
          <w:b/>
          <w:sz w:val="24"/>
          <w:szCs w:val="24"/>
        </w:rPr>
        <w:sectPr w:rsidR="002A20AA">
          <w:pgSz w:w="12240" w:h="15840"/>
          <w:pgMar w:top="1440" w:right="1440" w:bottom="1440" w:left="1440" w:header="720" w:footer="720" w:gutter="0"/>
          <w:cols w:space="720"/>
          <w:titlePg/>
          <w:docGrid w:linePitch="360"/>
        </w:sectPr>
      </w:pPr>
      <w:r>
        <w:rPr>
          <w:rFonts w:ascii="Times New Roman" w:eastAsia="Times New Roman" w:hAnsi="Times New Roman" w:cs="Times New Roman"/>
          <w:b/>
          <w:sz w:val="24"/>
          <w:szCs w:val="24"/>
        </w:rPr>
        <w:br w:type="page"/>
      </w:r>
    </w:p>
    <w:p w14:paraId="348E27E1" w14:textId="77777777" w:rsidR="003636F8" w:rsidRDefault="003636F8" w:rsidP="003636F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Before the</w:t>
      </w:r>
    </w:p>
    <w:p w14:paraId="4C9CA8CC" w14:textId="77777777" w:rsidR="003636F8" w:rsidRDefault="003636F8" w:rsidP="003636F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FEDERAL COMMUNICATIONS COMMISSION</w:t>
      </w:r>
    </w:p>
    <w:p w14:paraId="31046D95" w14:textId="77777777" w:rsidR="003636F8" w:rsidRDefault="003636F8" w:rsidP="003636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Washington, DC  20554</w:t>
      </w:r>
    </w:p>
    <w:p w14:paraId="11ECADF2" w14:textId="77777777" w:rsidR="003636F8" w:rsidRDefault="003636F8" w:rsidP="003636F8">
      <w:pPr>
        <w:tabs>
          <w:tab w:val="left" w:pos="4700"/>
        </w:tabs>
        <w:spacing w:after="0" w:line="240" w:lineRule="auto"/>
        <w:rPr>
          <w:rFonts w:ascii="Times New Roman" w:eastAsia="Times New Roman" w:hAnsi="Times New Roman" w:cs="Times New Roman"/>
          <w:sz w:val="24"/>
          <w:szCs w:val="24"/>
        </w:rPr>
      </w:pPr>
    </w:p>
    <w:tbl>
      <w:tblPr>
        <w:tblW w:w="0" w:type="auto"/>
        <w:tblLayout w:type="fixed"/>
        <w:tblLook w:val="0000" w:firstRow="0" w:lastRow="0" w:firstColumn="0" w:lastColumn="0" w:noHBand="0" w:noVBand="0"/>
      </w:tblPr>
      <w:tblGrid>
        <w:gridCol w:w="4698"/>
        <w:gridCol w:w="630"/>
        <w:gridCol w:w="4248"/>
      </w:tblGrid>
      <w:tr w:rsidR="003636F8" w14:paraId="3A7D36F5" w14:textId="77777777" w:rsidTr="00394D0D">
        <w:tc>
          <w:tcPr>
            <w:tcW w:w="4698" w:type="dxa"/>
          </w:tcPr>
          <w:p w14:paraId="3FD9D4F6"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Matter of</w:t>
            </w:r>
          </w:p>
          <w:p w14:paraId="22CBB61D"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p w14:paraId="7C163AB7"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Communications Marketplace Report</w:t>
            </w:r>
          </w:p>
          <w:p w14:paraId="7BD789EB"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tc>
        <w:tc>
          <w:tcPr>
            <w:tcW w:w="630" w:type="dxa"/>
          </w:tcPr>
          <w:p w14:paraId="16D2FDED"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76422D2"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798B532"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86C1003"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tc>
        <w:tc>
          <w:tcPr>
            <w:tcW w:w="4248" w:type="dxa"/>
          </w:tcPr>
          <w:p w14:paraId="44AF1C8E"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p w14:paraId="0CE748C8"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p w14:paraId="1FDFE84A"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GN Docket No. 18-231</w:t>
            </w:r>
          </w:p>
          <w:p w14:paraId="6BDF2B3B"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p w14:paraId="6B8A7A28" w14:textId="77777777" w:rsidR="003636F8" w:rsidRDefault="003636F8" w:rsidP="00394D0D">
            <w:pPr>
              <w:tabs>
                <w:tab w:val="left" w:pos="4700"/>
              </w:tabs>
              <w:spacing w:after="0" w:line="240" w:lineRule="auto"/>
              <w:rPr>
                <w:rFonts w:ascii="Times New Roman" w:eastAsia="Times New Roman" w:hAnsi="Times New Roman" w:cs="Times New Roman"/>
                <w:sz w:val="24"/>
                <w:szCs w:val="24"/>
              </w:rPr>
            </w:pPr>
          </w:p>
        </w:tc>
      </w:tr>
    </w:tbl>
    <w:p w14:paraId="70B23A87" w14:textId="77777777" w:rsidR="003636F8" w:rsidRDefault="003636F8">
      <w:pPr>
        <w:spacing w:after="0" w:line="240" w:lineRule="auto"/>
        <w:jc w:val="center"/>
        <w:rPr>
          <w:rFonts w:ascii="Times New Roman" w:eastAsia="Times New Roman" w:hAnsi="Times New Roman" w:cs="Times New Roman"/>
          <w:b/>
          <w:sz w:val="24"/>
          <w:szCs w:val="24"/>
        </w:rPr>
      </w:pPr>
    </w:p>
    <w:p w14:paraId="007C51F8" w14:textId="77777777" w:rsidR="00256DBA" w:rsidRPr="003636F8" w:rsidRDefault="009C520A">
      <w:pPr>
        <w:spacing w:after="0" w:line="240" w:lineRule="auto"/>
        <w:jc w:val="center"/>
        <w:rPr>
          <w:rFonts w:ascii="Times New Roman" w:eastAsia="Times New Roman" w:hAnsi="Times New Roman" w:cs="Times New Roman"/>
          <w:b/>
          <w:sz w:val="24"/>
          <w:szCs w:val="24"/>
        </w:rPr>
      </w:pPr>
      <w:r w:rsidRPr="003636F8">
        <w:rPr>
          <w:rFonts w:ascii="Times New Roman" w:eastAsia="Times New Roman" w:hAnsi="Times New Roman" w:cs="Times New Roman"/>
          <w:b/>
          <w:sz w:val="24"/>
          <w:szCs w:val="24"/>
        </w:rPr>
        <w:t>COMMENTS OF NCTA – THE INTERNET &amp; TELEVISION ASSOCIATION</w:t>
      </w:r>
    </w:p>
    <w:p w14:paraId="3C615390" w14:textId="77777777" w:rsidR="00256DBA" w:rsidRDefault="00256DBA">
      <w:pPr>
        <w:spacing w:after="0" w:line="240" w:lineRule="auto"/>
        <w:ind w:firstLine="720"/>
        <w:rPr>
          <w:rFonts w:ascii="Times New Roman" w:eastAsia="Times New Roman" w:hAnsi="Times New Roman" w:cs="Times New Roman"/>
          <w:sz w:val="24"/>
          <w:szCs w:val="24"/>
        </w:rPr>
      </w:pPr>
    </w:p>
    <w:p w14:paraId="7CCF8531" w14:textId="77777777" w:rsidR="003636F8" w:rsidRDefault="009C520A" w:rsidP="003636F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NCTA – The Internet &amp; Television Association (NCTA) submits these comments in response to the </w:t>
      </w:r>
      <w:r>
        <w:rPr>
          <w:rFonts w:ascii="Times New Roman" w:hAnsi="Times New Roman" w:cs="Times New Roman"/>
          <w:i/>
          <w:sz w:val="24"/>
          <w:szCs w:val="24"/>
        </w:rPr>
        <w:t>Notice</w:t>
      </w:r>
      <w:r>
        <w:rPr>
          <w:rFonts w:ascii="Times New Roman" w:hAnsi="Times New Roman" w:cs="Times New Roman"/>
          <w:sz w:val="24"/>
          <w:szCs w:val="24"/>
        </w:rPr>
        <w:t xml:space="preserve"> issued by the Wireline Competition Bureau seeking information in connection with the Commission’s analysis of the communications marketplace as required by RAY BAUM’s Act.</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bookmarkStart w:id="0" w:name="_Toc520733284"/>
    </w:p>
    <w:p w14:paraId="403591DA" w14:textId="77777777" w:rsidR="003636F8" w:rsidRPr="003636F8" w:rsidRDefault="003636F8" w:rsidP="009B6015">
      <w:pPr>
        <w:pStyle w:val="Heading1"/>
      </w:pPr>
      <w:bookmarkStart w:id="1" w:name="_Toc522194557"/>
      <w:r w:rsidRPr="00D2744F">
        <w:t>INTRODUCTION AND SUMMARY</w:t>
      </w:r>
      <w:bookmarkEnd w:id="0"/>
      <w:bookmarkEnd w:id="1"/>
    </w:p>
    <w:p w14:paraId="5AD0041F" w14:textId="6C3064D4" w:rsidR="00690E58" w:rsidRDefault="00690E5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Earlier this year, Congress adopted RAY BAUM’s Act as part of the Consolidated Appropriations Act.</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t>
      </w:r>
      <w:r w:rsidR="001D03CF">
        <w:rPr>
          <w:rFonts w:ascii="Times New Roman" w:hAnsi="Times New Roman" w:cs="Times New Roman"/>
          <w:sz w:val="24"/>
          <w:szCs w:val="24"/>
        </w:rPr>
        <w:t xml:space="preserve">Among its requirements, RAY BAUM’s Act requires the Commission to issue a report on competition and regulatory barriers in the communications marketplace.  </w:t>
      </w:r>
      <w:r w:rsidR="009C520A">
        <w:rPr>
          <w:rFonts w:ascii="Times New Roman" w:hAnsi="Times New Roman" w:cs="Times New Roman"/>
          <w:sz w:val="24"/>
          <w:szCs w:val="24"/>
        </w:rPr>
        <w:t xml:space="preserve">Although the </w:t>
      </w:r>
      <w:r w:rsidR="009C520A">
        <w:rPr>
          <w:rFonts w:ascii="Times New Roman" w:hAnsi="Times New Roman" w:cs="Times New Roman"/>
          <w:i/>
          <w:sz w:val="24"/>
          <w:szCs w:val="24"/>
        </w:rPr>
        <w:t>Notice</w:t>
      </w:r>
      <w:r w:rsidR="009C520A">
        <w:rPr>
          <w:rFonts w:ascii="Times New Roman" w:hAnsi="Times New Roman" w:cs="Times New Roman"/>
          <w:sz w:val="24"/>
          <w:szCs w:val="24"/>
        </w:rPr>
        <w:t xml:space="preserve"> </w:t>
      </w:r>
      <w:r w:rsidR="000E4A14">
        <w:rPr>
          <w:rFonts w:ascii="Times New Roman" w:hAnsi="Times New Roman" w:cs="Times New Roman"/>
          <w:sz w:val="24"/>
          <w:szCs w:val="24"/>
        </w:rPr>
        <w:t xml:space="preserve">only </w:t>
      </w:r>
      <w:r w:rsidR="009C520A">
        <w:rPr>
          <w:rFonts w:ascii="Times New Roman" w:hAnsi="Times New Roman" w:cs="Times New Roman"/>
          <w:sz w:val="24"/>
          <w:szCs w:val="24"/>
        </w:rPr>
        <w:t xml:space="preserve">asks for information regarding fixed broadband services, </w:t>
      </w:r>
      <w:r w:rsidR="00325EF7">
        <w:rPr>
          <w:rFonts w:ascii="Times New Roman" w:hAnsi="Times New Roman" w:cs="Times New Roman"/>
          <w:sz w:val="24"/>
          <w:szCs w:val="24"/>
        </w:rPr>
        <w:t xml:space="preserve">RAY BAUM’s Act has no such limitation and, in fact, </w:t>
      </w:r>
      <w:r w:rsidR="009C520A">
        <w:rPr>
          <w:rFonts w:ascii="Times New Roman" w:hAnsi="Times New Roman" w:cs="Times New Roman"/>
          <w:sz w:val="24"/>
          <w:szCs w:val="24"/>
        </w:rPr>
        <w:t>require</w:t>
      </w:r>
      <w:r w:rsidR="00325EF7">
        <w:rPr>
          <w:rFonts w:ascii="Times New Roman" w:hAnsi="Times New Roman" w:cs="Times New Roman"/>
          <w:sz w:val="24"/>
          <w:szCs w:val="24"/>
        </w:rPr>
        <w:t>s</w:t>
      </w:r>
      <w:r w:rsidR="009C520A">
        <w:rPr>
          <w:rFonts w:ascii="Times New Roman" w:hAnsi="Times New Roman" w:cs="Times New Roman"/>
          <w:sz w:val="24"/>
          <w:szCs w:val="24"/>
        </w:rPr>
        <w:t xml:space="preserve"> the Commission to </w:t>
      </w:r>
      <w:r w:rsidR="001D03CF">
        <w:rPr>
          <w:rFonts w:ascii="Times New Roman" w:hAnsi="Times New Roman" w:cs="Times New Roman"/>
          <w:sz w:val="24"/>
          <w:szCs w:val="24"/>
        </w:rPr>
        <w:t>prepare</w:t>
      </w:r>
      <w:r w:rsidR="009C520A">
        <w:rPr>
          <w:rFonts w:ascii="Times New Roman" w:hAnsi="Times New Roman" w:cs="Times New Roman"/>
          <w:sz w:val="24"/>
          <w:szCs w:val="24"/>
        </w:rPr>
        <w:t xml:space="preserve"> a comprehensive </w:t>
      </w:r>
      <w:r w:rsidR="001D03CF">
        <w:rPr>
          <w:rFonts w:ascii="Times New Roman" w:hAnsi="Times New Roman" w:cs="Times New Roman"/>
          <w:sz w:val="24"/>
          <w:szCs w:val="24"/>
        </w:rPr>
        <w:t>analysis</w:t>
      </w:r>
      <w:r w:rsidR="009C520A">
        <w:rPr>
          <w:rFonts w:ascii="Times New Roman" w:hAnsi="Times New Roman" w:cs="Times New Roman"/>
          <w:sz w:val="24"/>
          <w:szCs w:val="24"/>
        </w:rPr>
        <w:t xml:space="preserve"> that addresses all facets of the communications marketplace.  </w:t>
      </w:r>
    </w:p>
    <w:p w14:paraId="62292525" w14:textId="0DA0DA13" w:rsidR="00256DBA" w:rsidRDefault="00690E58">
      <w:pPr>
        <w:spacing w:after="0" w:line="480" w:lineRule="auto"/>
        <w:ind w:firstLine="720"/>
        <w:rPr>
          <w:rFonts w:ascii="Times New Roman" w:hAnsi="Times New Roman" w:cs="Times New Roman"/>
          <w:b/>
          <w:sz w:val="24"/>
          <w:szCs w:val="24"/>
        </w:rPr>
      </w:pPr>
      <w:r>
        <w:rPr>
          <w:rFonts w:ascii="Times New Roman" w:hAnsi="Times New Roman" w:cs="Times New Roman"/>
          <w:sz w:val="24"/>
          <w:szCs w:val="24"/>
        </w:rPr>
        <w:t>As NCTA explains in these comments, c</w:t>
      </w:r>
      <w:r w:rsidR="009C520A">
        <w:rPr>
          <w:rFonts w:ascii="Times New Roman" w:hAnsi="Times New Roman" w:cs="Times New Roman"/>
          <w:sz w:val="24"/>
          <w:szCs w:val="24"/>
        </w:rPr>
        <w:t xml:space="preserve">ompetition in this marketplace is delivering substantial benefits to American consumers and recent deregulatory actions by the Commission will ensure that these consumer benefits continue well into the future.  There are, however, </w:t>
      </w:r>
      <w:r w:rsidR="009C520A">
        <w:rPr>
          <w:rFonts w:ascii="Times New Roman" w:hAnsi="Times New Roman" w:cs="Times New Roman"/>
          <w:sz w:val="24"/>
          <w:szCs w:val="24"/>
        </w:rPr>
        <w:lastRenderedPageBreak/>
        <w:t>lingering obstacles to investment</w:t>
      </w:r>
      <w:r w:rsidR="00325EF7">
        <w:rPr>
          <w:rFonts w:ascii="Times New Roman" w:hAnsi="Times New Roman" w:cs="Times New Roman"/>
          <w:sz w:val="24"/>
          <w:szCs w:val="24"/>
        </w:rPr>
        <w:t xml:space="preserve"> in communications </w:t>
      </w:r>
      <w:r>
        <w:rPr>
          <w:rFonts w:ascii="Times New Roman" w:hAnsi="Times New Roman" w:cs="Times New Roman"/>
          <w:sz w:val="24"/>
          <w:szCs w:val="24"/>
        </w:rPr>
        <w:t>facilities</w:t>
      </w:r>
      <w:r w:rsidR="00325EF7">
        <w:rPr>
          <w:rFonts w:ascii="Times New Roman" w:hAnsi="Times New Roman" w:cs="Times New Roman"/>
          <w:sz w:val="24"/>
          <w:szCs w:val="24"/>
        </w:rPr>
        <w:t xml:space="preserve"> and services</w:t>
      </w:r>
      <w:r w:rsidR="009C520A">
        <w:rPr>
          <w:rFonts w:ascii="Times New Roman" w:hAnsi="Times New Roman" w:cs="Times New Roman"/>
          <w:sz w:val="24"/>
          <w:szCs w:val="24"/>
        </w:rPr>
        <w:t xml:space="preserve">, such as unwarranted authorization and fee requirements imposed by local governments, that the Commission should address expeditiously by issuing a declaratory ruling in the </w:t>
      </w:r>
      <w:r w:rsidR="009C520A">
        <w:rPr>
          <w:rFonts w:ascii="Times New Roman" w:hAnsi="Times New Roman" w:cs="Times New Roman"/>
          <w:i/>
          <w:sz w:val="24"/>
          <w:szCs w:val="24"/>
        </w:rPr>
        <w:t>Wireline Infrastructure</w:t>
      </w:r>
      <w:r w:rsidR="009C520A">
        <w:rPr>
          <w:rFonts w:ascii="Times New Roman" w:hAnsi="Times New Roman" w:cs="Times New Roman"/>
          <w:sz w:val="24"/>
          <w:szCs w:val="24"/>
        </w:rPr>
        <w:t xml:space="preserve"> proceeding.</w:t>
      </w:r>
    </w:p>
    <w:p w14:paraId="5F82EB2F" w14:textId="77777777" w:rsidR="00256DBA" w:rsidRPr="00D23C66" w:rsidRDefault="009C520A" w:rsidP="009B6015">
      <w:pPr>
        <w:pStyle w:val="Heading1"/>
        <w:rPr>
          <w:rStyle w:val="Heading1Char"/>
          <w:b/>
        </w:rPr>
      </w:pPr>
      <w:bookmarkStart w:id="2" w:name="_Toc522194558"/>
      <w:r w:rsidRPr="00D23C66">
        <w:t xml:space="preserve">I. </w:t>
      </w:r>
      <w:r w:rsidR="009B6015">
        <w:tab/>
      </w:r>
      <w:r w:rsidRPr="00D23C66">
        <w:rPr>
          <w:rStyle w:val="Heading1Char"/>
          <w:b/>
        </w:rPr>
        <w:t>THE COMMISSION IS REQUIRED TO ISSUE A COMPREHENSIVE REPORT ADDRESSING COMPETITION IN THE COMMUNICATIONS MARKETPLACE</w:t>
      </w:r>
      <w:bookmarkEnd w:id="2"/>
    </w:p>
    <w:p w14:paraId="3C8555BF"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adopting RAY BAUM’s Act, Congress expected the Commission to take a fundamentally new approach to reporting on the state of competition in the communications marketplace.  In lieu of multiple separate reports on individual sectors of the marketplace, the statute requires the Commission to issue a single comprehensive report assessing “the state of competition in the communications marketplace, including competition to deliver voice, video, audio, and data services.”</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In particular, the Commission is required to consider “all forms of competition, including the effect of intermodal competition, facilities-based competition, and competition from new and emergent communications services.”</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In this section we elaborate on some of the implications of this new approach.</w:t>
      </w:r>
    </w:p>
    <w:p w14:paraId="62375AE6" w14:textId="77777777" w:rsidR="00256DBA" w:rsidRPr="00D23C66" w:rsidRDefault="009C520A" w:rsidP="009B6015">
      <w:pPr>
        <w:pStyle w:val="Heading2"/>
        <w:rPr>
          <w:rStyle w:val="Heading2Char"/>
          <w:b/>
        </w:rPr>
      </w:pPr>
      <w:bookmarkStart w:id="4" w:name="_Toc522194559"/>
      <w:r w:rsidRPr="00D23C66">
        <w:rPr>
          <w:rStyle w:val="Heading2Char"/>
          <w:b/>
        </w:rPr>
        <w:t>The report should address the significant role that online services play in the communications marketplace</w:t>
      </w:r>
      <w:bookmarkEnd w:id="4"/>
    </w:p>
    <w:p w14:paraId="00A71395"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Any meaningful analysis of the marketplace for communications services must account for the critical role of online services and the companies that provide them.  As Commissioner O’Rielly explained in a recent blog, “current law prevents the Commission from having any role or oversight over numerous modern technologies central to many Americans’ communications habits.  This universe is often called the app economy or gig environment, but we should also </w:t>
      </w:r>
      <w:r>
        <w:rPr>
          <w:rFonts w:ascii="Times New Roman" w:hAnsi="Times New Roman" w:cs="Times New Roman"/>
          <w:sz w:val="24"/>
          <w:szCs w:val="24"/>
        </w:rPr>
        <w:lastRenderedPageBreak/>
        <w:t>call it for what it really is: an FCC regulatory free arena.”</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To illustrate this point, Commissioner O’Rielly’s blog included the following </w:t>
      </w:r>
      <w:r w:rsidR="00FD5690">
        <w:rPr>
          <w:rFonts w:ascii="Times New Roman" w:hAnsi="Times New Roman" w:cs="Times New Roman"/>
          <w:sz w:val="24"/>
          <w:szCs w:val="24"/>
        </w:rPr>
        <w:t xml:space="preserve">infographic </w:t>
      </w:r>
      <w:r>
        <w:rPr>
          <w:rFonts w:ascii="Times New Roman" w:hAnsi="Times New Roman" w:cs="Times New Roman"/>
          <w:sz w:val="24"/>
          <w:szCs w:val="24"/>
        </w:rPr>
        <w:t>identifying the services and providers not subject to Commission regulation:</w:t>
      </w:r>
    </w:p>
    <w:p w14:paraId="24A6EF6E" w14:textId="77777777" w:rsidR="00256DBA" w:rsidRDefault="009C520A">
      <w:pPr>
        <w:numPr>
          <w:ilvl w:val="0"/>
          <w:numId w:val="8"/>
        </w:numPr>
        <w:shd w:val="clear" w:color="auto" w:fill="FFFFFF"/>
        <w:spacing w:before="100" w:beforeAutospacing="1" w:after="240" w:line="240" w:lineRule="auto"/>
        <w:ind w:left="288"/>
        <w:rPr>
          <w:rFonts w:ascii="Helvetica" w:eastAsia="Times New Roman" w:hAnsi="Helvetica" w:cs="Times New Roman"/>
          <w:color w:val="1D2B3E"/>
          <w:sz w:val="21"/>
          <w:szCs w:val="21"/>
        </w:rPr>
      </w:pPr>
      <w:r>
        <w:rPr>
          <w:rFonts w:ascii="Helvetica" w:eastAsia="Times New Roman" w:hAnsi="Helvetica" w:cs="Times New Roman"/>
          <w:b/>
          <w:bCs/>
          <w:color w:val="1D2B3E"/>
        </w:rPr>
        <w:t>All over-the-top video offerings, including:</w:t>
      </w:r>
      <w:r>
        <w:rPr>
          <w:rFonts w:ascii="Helvetica" w:eastAsia="Times New Roman" w:hAnsi="Helvetica" w:cs="Times New Roman"/>
          <w:color w:val="1D2B3E"/>
          <w:sz w:val="21"/>
          <w:szCs w:val="21"/>
        </w:rPr>
        <w:br/>
      </w:r>
      <w:r>
        <w:rPr>
          <w:rFonts w:ascii="Helvetica" w:eastAsia="Times New Roman" w:hAnsi="Helvetica" w:cs="Times New Roman"/>
          <w:noProof/>
          <w:color w:val="1D2B3E"/>
          <w:sz w:val="21"/>
          <w:szCs w:val="21"/>
        </w:rPr>
        <w:drawing>
          <wp:inline distT="0" distB="0" distL="0" distR="0" wp14:anchorId="22078042" wp14:editId="14D03820">
            <wp:extent cx="3907861" cy="408577"/>
            <wp:effectExtent l="19050" t="19050" r="16510" b="10795"/>
            <wp:docPr id="6" name="Picture 6" descr="Netflix, YouTube, Amazon, Sling, DirecTV Now, HBO Now, CBS All Access, Hulu, MLB.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072214" name="Picture 1" descr="Netflix, YouTube, Amazon, Sling, DirecTV Now, HBO Now, CBS All Access, Hulu, MLB.com"/>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876890" cy="509891"/>
                    </a:xfrm>
                    <a:prstGeom prst="rect">
                      <a:avLst/>
                    </a:prstGeom>
                    <a:noFill/>
                    <a:ln>
                      <a:solidFill>
                        <a:schemeClr val="tx1"/>
                      </a:solidFill>
                    </a:ln>
                  </pic:spPr>
                </pic:pic>
              </a:graphicData>
            </a:graphic>
          </wp:inline>
        </w:drawing>
      </w:r>
    </w:p>
    <w:p w14:paraId="333C208F" w14:textId="77777777" w:rsidR="00256DBA" w:rsidRDefault="009C520A">
      <w:pPr>
        <w:numPr>
          <w:ilvl w:val="0"/>
          <w:numId w:val="8"/>
        </w:numPr>
        <w:shd w:val="clear" w:color="auto" w:fill="FFFFFF"/>
        <w:spacing w:before="100" w:beforeAutospacing="1" w:after="120" w:line="240" w:lineRule="auto"/>
        <w:ind w:left="288"/>
        <w:rPr>
          <w:rFonts w:ascii="Helvetica" w:eastAsia="Times New Roman" w:hAnsi="Helvetica" w:cs="Times New Roman"/>
          <w:color w:val="1D2B3E"/>
          <w:sz w:val="21"/>
          <w:szCs w:val="21"/>
        </w:rPr>
      </w:pPr>
      <w:r>
        <w:rPr>
          <w:rFonts w:ascii="Helvetica" w:eastAsia="Times New Roman" w:hAnsi="Helvetica" w:cs="Times New Roman"/>
          <w:b/>
          <w:bCs/>
          <w:color w:val="1D2B3E"/>
        </w:rPr>
        <w:t>All instant messaging and online chat offerings, including:</w:t>
      </w:r>
      <w:r>
        <w:rPr>
          <w:rFonts w:ascii="Helvetica" w:eastAsia="Times New Roman" w:hAnsi="Helvetica" w:cs="Times New Roman"/>
          <w:color w:val="1D2B3E"/>
          <w:sz w:val="24"/>
          <w:szCs w:val="24"/>
        </w:rPr>
        <w:br/>
      </w:r>
      <w:r>
        <w:rPr>
          <w:rFonts w:ascii="Helvetica" w:eastAsia="Times New Roman" w:hAnsi="Helvetica" w:cs="Times New Roman"/>
          <w:noProof/>
          <w:color w:val="1D2B3E"/>
          <w:sz w:val="21"/>
          <w:szCs w:val="21"/>
        </w:rPr>
        <w:drawing>
          <wp:inline distT="0" distB="0" distL="0" distR="0" wp14:anchorId="1305D66E" wp14:editId="61FFF348">
            <wp:extent cx="3480781" cy="460189"/>
            <wp:effectExtent l="19050" t="19050" r="24765" b="16510"/>
            <wp:docPr id="5" name="Picture 5" descr="WhatsApp, Messenger, WeChat, GroupMe, Snapchat, Google Hangouts, Slack, Face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74032" name="Picture 2" descr="WhatsApp, Messenger, WeChat, GroupMe, Snapchat, Google Hangouts, Slack, FaceTim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384055" cy="579610"/>
                    </a:xfrm>
                    <a:prstGeom prst="rect">
                      <a:avLst/>
                    </a:prstGeom>
                    <a:noFill/>
                    <a:ln>
                      <a:solidFill>
                        <a:schemeClr val="tx1"/>
                      </a:solidFill>
                    </a:ln>
                  </pic:spPr>
                </pic:pic>
              </a:graphicData>
            </a:graphic>
          </wp:inline>
        </w:drawing>
      </w:r>
    </w:p>
    <w:p w14:paraId="24B9EBE0" w14:textId="77777777" w:rsidR="00256DBA" w:rsidRDefault="009C520A">
      <w:pPr>
        <w:numPr>
          <w:ilvl w:val="0"/>
          <w:numId w:val="8"/>
        </w:numPr>
        <w:shd w:val="clear" w:color="auto" w:fill="FFFFFF"/>
        <w:spacing w:before="100" w:beforeAutospacing="1" w:after="240" w:line="240" w:lineRule="auto"/>
        <w:ind w:left="288"/>
        <w:rPr>
          <w:rFonts w:ascii="Helvetica" w:eastAsia="Times New Roman" w:hAnsi="Helvetica" w:cs="Times New Roman"/>
          <w:color w:val="1D2B3E"/>
          <w:sz w:val="21"/>
          <w:szCs w:val="21"/>
        </w:rPr>
      </w:pPr>
      <w:r>
        <w:rPr>
          <w:rFonts w:ascii="Helvetica" w:eastAsia="Times New Roman" w:hAnsi="Helvetica" w:cs="Times New Roman"/>
          <w:b/>
          <w:bCs/>
          <w:color w:val="1D2B3E"/>
        </w:rPr>
        <w:t>All social media offerings, including:</w:t>
      </w:r>
      <w:r>
        <w:rPr>
          <w:rFonts w:ascii="Helvetica" w:eastAsia="Times New Roman" w:hAnsi="Helvetica" w:cs="Times New Roman"/>
          <w:color w:val="1D2B3E"/>
          <w:sz w:val="24"/>
          <w:szCs w:val="24"/>
        </w:rPr>
        <w:br/>
      </w:r>
      <w:r>
        <w:rPr>
          <w:rFonts w:ascii="Helvetica" w:eastAsia="Times New Roman" w:hAnsi="Helvetica" w:cs="Times New Roman"/>
          <w:noProof/>
          <w:color w:val="1D2B3E"/>
          <w:sz w:val="21"/>
          <w:szCs w:val="21"/>
        </w:rPr>
        <w:drawing>
          <wp:inline distT="0" distB="0" distL="0" distR="0" wp14:anchorId="3324E946" wp14:editId="2A15ED49">
            <wp:extent cx="2109694" cy="409523"/>
            <wp:effectExtent l="19050" t="19050" r="24130" b="10160"/>
            <wp:docPr id="4" name="Picture 4" descr="Facebook, LinkdIn, Twitter, Instagram, Tumb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005305" name="Picture 3" descr="Facebook, LinkdIn, Twitter, Instagram, Tumblr"/>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474271" cy="480293"/>
                    </a:xfrm>
                    <a:prstGeom prst="rect">
                      <a:avLst/>
                    </a:prstGeom>
                    <a:noFill/>
                    <a:ln>
                      <a:solidFill>
                        <a:schemeClr val="tx1"/>
                      </a:solidFill>
                    </a:ln>
                  </pic:spPr>
                </pic:pic>
              </a:graphicData>
            </a:graphic>
          </wp:inline>
        </w:drawing>
      </w:r>
    </w:p>
    <w:p w14:paraId="0B9AAB03" w14:textId="77777777" w:rsidR="00256DBA" w:rsidRDefault="009C520A">
      <w:pPr>
        <w:numPr>
          <w:ilvl w:val="0"/>
          <w:numId w:val="8"/>
        </w:numPr>
        <w:shd w:val="clear" w:color="auto" w:fill="FFFFFF"/>
        <w:spacing w:before="100" w:beforeAutospacing="1" w:after="240" w:line="240" w:lineRule="auto"/>
        <w:ind w:left="288"/>
        <w:rPr>
          <w:rFonts w:ascii="Helvetica" w:eastAsia="Times New Roman" w:hAnsi="Helvetica" w:cs="Times New Roman"/>
          <w:color w:val="1D2B3E"/>
          <w:sz w:val="21"/>
          <w:szCs w:val="21"/>
        </w:rPr>
      </w:pPr>
      <w:r>
        <w:rPr>
          <w:rFonts w:ascii="Helvetica" w:eastAsia="Times New Roman" w:hAnsi="Helvetica" w:cs="Times New Roman"/>
          <w:b/>
          <w:bCs/>
          <w:color w:val="1D2B3E"/>
        </w:rPr>
        <w:t>All music streaming offerings, including:</w:t>
      </w:r>
      <w:r>
        <w:rPr>
          <w:rFonts w:ascii="Helvetica" w:eastAsia="Times New Roman" w:hAnsi="Helvetica" w:cs="Times New Roman"/>
          <w:color w:val="1D2B3E"/>
        </w:rPr>
        <w:br/>
      </w:r>
      <w:r>
        <w:rPr>
          <w:rFonts w:ascii="Helvetica" w:eastAsia="Times New Roman" w:hAnsi="Helvetica" w:cs="Times New Roman"/>
          <w:noProof/>
          <w:color w:val="1D2B3E"/>
          <w:sz w:val="21"/>
          <w:szCs w:val="21"/>
        </w:rPr>
        <w:drawing>
          <wp:inline distT="0" distB="0" distL="0" distR="0" wp14:anchorId="263CCE9B" wp14:editId="05CED5EC">
            <wp:extent cx="1326776" cy="358828"/>
            <wp:effectExtent l="19050" t="19050" r="26035" b="22225"/>
            <wp:docPr id="3" name="Picture 3" descr="Spotify, Pandora, Apple 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399440" name="Picture 4" descr="Spotify, Pandora, Apple Music"/>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480099" cy="400294"/>
                    </a:xfrm>
                    <a:prstGeom prst="rect">
                      <a:avLst/>
                    </a:prstGeom>
                    <a:noFill/>
                    <a:ln>
                      <a:solidFill>
                        <a:schemeClr val="tx1"/>
                      </a:solidFill>
                    </a:ln>
                  </pic:spPr>
                </pic:pic>
              </a:graphicData>
            </a:graphic>
          </wp:inline>
        </w:drawing>
      </w:r>
    </w:p>
    <w:p w14:paraId="479F3784" w14:textId="77777777" w:rsidR="00256DBA" w:rsidRDefault="009C520A">
      <w:pPr>
        <w:numPr>
          <w:ilvl w:val="0"/>
          <w:numId w:val="8"/>
        </w:numPr>
        <w:shd w:val="clear" w:color="auto" w:fill="FFFFFF"/>
        <w:spacing w:before="100" w:beforeAutospacing="1" w:after="240" w:line="240" w:lineRule="auto"/>
        <w:ind w:left="288"/>
        <w:rPr>
          <w:rFonts w:ascii="Helvetica" w:eastAsia="Times New Roman" w:hAnsi="Helvetica" w:cs="Times New Roman"/>
          <w:color w:val="1D2B3E"/>
          <w:sz w:val="21"/>
          <w:szCs w:val="21"/>
        </w:rPr>
      </w:pPr>
      <w:r>
        <w:rPr>
          <w:rFonts w:ascii="Helvetica" w:eastAsia="Times New Roman" w:hAnsi="Helvetica" w:cs="Times New Roman"/>
          <w:b/>
          <w:bCs/>
          <w:color w:val="1D2B3E"/>
        </w:rPr>
        <w:t>All non-PSTN voice/video offerings, including:</w:t>
      </w:r>
      <w:r>
        <w:rPr>
          <w:rFonts w:ascii="Helvetica" w:eastAsia="Times New Roman" w:hAnsi="Helvetica" w:cs="Times New Roman"/>
          <w:color w:val="1D2B3E"/>
          <w:sz w:val="21"/>
          <w:szCs w:val="21"/>
        </w:rPr>
        <w:br/>
      </w:r>
      <w:r>
        <w:rPr>
          <w:rFonts w:ascii="Helvetica" w:eastAsia="Times New Roman" w:hAnsi="Helvetica" w:cs="Times New Roman"/>
          <w:noProof/>
          <w:color w:val="1D2B3E"/>
          <w:sz w:val="21"/>
          <w:szCs w:val="21"/>
        </w:rPr>
        <w:drawing>
          <wp:inline distT="0" distB="0" distL="0" distR="0" wp14:anchorId="6AF16864" wp14:editId="4A3EC43B">
            <wp:extent cx="770965" cy="365836"/>
            <wp:effectExtent l="19050" t="19050" r="10160" b="15240"/>
            <wp:docPr id="2" name="Picture 2" descr="Skype, Google Vo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21861" name="Picture 5" descr="Skype, Google Voice"/>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855140" cy="405778"/>
                    </a:xfrm>
                    <a:prstGeom prst="rect">
                      <a:avLst/>
                    </a:prstGeom>
                    <a:noFill/>
                    <a:ln>
                      <a:solidFill>
                        <a:schemeClr val="tx1"/>
                      </a:solidFill>
                    </a:ln>
                  </pic:spPr>
                </pic:pic>
              </a:graphicData>
            </a:graphic>
          </wp:inline>
        </w:drawing>
      </w:r>
    </w:p>
    <w:p w14:paraId="4221A599" w14:textId="77777777" w:rsidR="00256DBA" w:rsidRDefault="009C520A">
      <w:pPr>
        <w:numPr>
          <w:ilvl w:val="0"/>
          <w:numId w:val="8"/>
        </w:numPr>
        <w:shd w:val="clear" w:color="auto" w:fill="FFFFFF"/>
        <w:spacing w:before="100" w:beforeAutospacing="1" w:after="360" w:line="240" w:lineRule="auto"/>
        <w:ind w:left="288"/>
        <w:rPr>
          <w:rFonts w:ascii="Helvetica" w:eastAsia="Times New Roman" w:hAnsi="Helvetica" w:cs="Times New Roman"/>
          <w:color w:val="1D2B3E"/>
          <w:sz w:val="21"/>
          <w:szCs w:val="21"/>
        </w:rPr>
      </w:pPr>
      <w:r>
        <w:rPr>
          <w:rFonts w:ascii="Helvetica" w:eastAsia="Times New Roman" w:hAnsi="Helvetica" w:cs="Times New Roman"/>
          <w:b/>
          <w:bCs/>
          <w:color w:val="1D2B3E"/>
        </w:rPr>
        <w:t>All Internet Cloud offerings, including:</w:t>
      </w:r>
      <w:r>
        <w:rPr>
          <w:rFonts w:ascii="Helvetica" w:eastAsia="Times New Roman" w:hAnsi="Helvetica" w:cs="Times New Roman"/>
          <w:color w:val="1D2B3E"/>
        </w:rPr>
        <w:br/>
      </w:r>
      <w:r>
        <w:rPr>
          <w:rFonts w:ascii="Helvetica" w:eastAsia="Times New Roman" w:hAnsi="Helvetica" w:cs="Times New Roman"/>
          <w:noProof/>
          <w:color w:val="1D2B3E"/>
          <w:sz w:val="21"/>
          <w:szCs w:val="21"/>
        </w:rPr>
        <w:drawing>
          <wp:inline distT="0" distB="0" distL="0" distR="0" wp14:anchorId="64FAE7AB" wp14:editId="08967BF8">
            <wp:extent cx="2850776" cy="425755"/>
            <wp:effectExtent l="19050" t="19050" r="26035" b="12700"/>
            <wp:docPr id="1" name="Picture 1" descr="Amazon Web Services, Microsoft Azure, Google Cloud, IBM Cloud, Adobe Creative Cloud, Ora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871985" name="Picture 6" descr="Amazon Web Services, Microsoft Azure, Google Cloud, IBM Cloud, Adobe Creative Cloud, Oracle"/>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3529086" cy="527059"/>
                    </a:xfrm>
                    <a:prstGeom prst="rect">
                      <a:avLst/>
                    </a:prstGeom>
                    <a:noFill/>
                    <a:ln>
                      <a:solidFill>
                        <a:schemeClr val="tx1"/>
                      </a:solidFill>
                    </a:ln>
                  </pic:spPr>
                </pic:pic>
              </a:graphicData>
            </a:graphic>
          </wp:inline>
        </w:drawing>
      </w:r>
    </w:p>
    <w:p w14:paraId="1FDAAA43"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FD5690">
        <w:rPr>
          <w:rFonts w:ascii="Times New Roman" w:hAnsi="Times New Roman" w:cs="Times New Roman"/>
          <w:sz w:val="24"/>
          <w:szCs w:val="24"/>
        </w:rPr>
        <w:t xml:space="preserve">infographic </w:t>
      </w:r>
      <w:r>
        <w:rPr>
          <w:rFonts w:ascii="Times New Roman" w:hAnsi="Times New Roman" w:cs="Times New Roman"/>
          <w:sz w:val="24"/>
          <w:szCs w:val="24"/>
        </w:rPr>
        <w:t xml:space="preserve">illustrates three points that are particularly relevant to the analysis required by RAY BAUM’s Act.  First, many of the companies identified here, such as Google, Facebook, and Amazon, are among the largest, most dominant companies in the world.  These tech giants are far larger than even the biggest companies offering voice, video, and data services </w:t>
      </w:r>
      <w:r>
        <w:rPr>
          <w:rFonts w:ascii="Times New Roman" w:hAnsi="Times New Roman" w:cs="Times New Roman"/>
          <w:sz w:val="24"/>
          <w:szCs w:val="24"/>
        </w:rPr>
        <w:lastRenderedPageBreak/>
        <w:t>within the Commission’s jurisdiction and they dwarf the vast majority of companies the Commission regulates:</w:t>
      </w:r>
    </w:p>
    <w:p w14:paraId="67009654" w14:textId="771596E1" w:rsidR="00256DBA" w:rsidRDefault="008A4F46">
      <w:pPr>
        <w:spacing w:after="0" w:line="240" w:lineRule="auto"/>
        <w:ind w:left="720" w:right="720"/>
        <w:rPr>
          <w:rFonts w:ascii="Times New Roman" w:hAnsi="Times New Roman" w:cs="Times New Roman"/>
          <w:sz w:val="24"/>
          <w:szCs w:val="24"/>
        </w:rPr>
      </w:pPr>
      <w:r>
        <w:rPr>
          <w:noProof/>
        </w:rPr>
        <w:drawing>
          <wp:inline distT="0" distB="0" distL="0" distR="0" wp14:anchorId="0F203956" wp14:editId="499153A1">
            <wp:extent cx="4655820" cy="2546252"/>
            <wp:effectExtent l="0" t="0" r="0" b="6985"/>
            <wp:docPr id="7" name="Picture 7" descr="cid:image004.png@01D43607.3146C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4.png@01D43607.3146C6E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23275" cy="2583143"/>
                    </a:xfrm>
                    <a:prstGeom prst="rect">
                      <a:avLst/>
                    </a:prstGeom>
                    <a:noFill/>
                    <a:ln>
                      <a:noFill/>
                    </a:ln>
                  </pic:spPr>
                </pic:pic>
              </a:graphicData>
            </a:graphic>
          </wp:inline>
        </w:drawing>
      </w:r>
      <w:r w:rsidR="009C520A">
        <w:rPr>
          <w:rFonts w:ascii="Times New Roman" w:hAnsi="Times New Roman" w:cs="Times New Roman"/>
          <w:sz w:val="24"/>
          <w:szCs w:val="24"/>
        </w:rPr>
        <w:tab/>
      </w:r>
      <w:r w:rsidR="009C520A">
        <w:rPr>
          <w:rFonts w:ascii="Times New Roman" w:hAnsi="Times New Roman" w:cs="Times New Roman"/>
          <w:sz w:val="24"/>
          <w:szCs w:val="24"/>
        </w:rPr>
        <w:tab/>
      </w:r>
    </w:p>
    <w:p w14:paraId="1C94129F" w14:textId="77777777" w:rsidR="00256DBA" w:rsidRDefault="009C520A">
      <w:pPr>
        <w:spacing w:after="0" w:line="480" w:lineRule="auto"/>
        <w:rPr>
          <w:rFonts w:ascii="Times New Roman" w:hAnsi="Times New Roman" w:cs="Times New Roman"/>
          <w:sz w:val="24"/>
          <w:szCs w:val="24"/>
        </w:rPr>
      </w:pPr>
      <w:r>
        <w:rPr>
          <w:rFonts w:ascii="Times New Roman" w:hAnsi="Times New Roman" w:cs="Times New Roman"/>
          <w:sz w:val="24"/>
          <w:szCs w:val="24"/>
        </w:rPr>
        <w:t>With their enormous size and scale, these online giants have the wherewithal to enter and quickly become meaningful players in multiple adjacent markets.</w:t>
      </w:r>
    </w:p>
    <w:p w14:paraId="779B2C22"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Second, these online services are all competing successfully with </w:t>
      </w:r>
      <w:r w:rsidR="006D670C">
        <w:rPr>
          <w:rFonts w:ascii="Times New Roman" w:hAnsi="Times New Roman" w:cs="Times New Roman"/>
          <w:sz w:val="24"/>
          <w:szCs w:val="24"/>
        </w:rPr>
        <w:t>traditional</w:t>
      </w:r>
      <w:r>
        <w:rPr>
          <w:rFonts w:ascii="Times New Roman" w:hAnsi="Times New Roman" w:cs="Times New Roman"/>
          <w:sz w:val="24"/>
          <w:szCs w:val="24"/>
        </w:rPr>
        <w:t xml:space="preserve"> video and voice services that are still regulated by the Commission.  For example, the marketplace for streaming video services has experienced explosive growth over the last few years, while the number of subscribers to traditional multichannel video services is declining.</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Similarly, the role of traditional voice services has been steadily shrinking while texting and social media clearly are ascendant forms of communication.</w:t>
      </w:r>
    </w:p>
    <w:p w14:paraId="16F91468"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Third, </w:t>
      </w:r>
      <w:r w:rsidR="00D60B96">
        <w:rPr>
          <w:rFonts w:ascii="Times New Roman" w:hAnsi="Times New Roman" w:cs="Times New Roman"/>
          <w:sz w:val="24"/>
          <w:szCs w:val="24"/>
        </w:rPr>
        <w:t>ISPs’ enormous investment in building out and making</w:t>
      </w:r>
      <w:r>
        <w:rPr>
          <w:rFonts w:ascii="Times New Roman" w:hAnsi="Times New Roman" w:cs="Times New Roman"/>
          <w:sz w:val="24"/>
          <w:szCs w:val="24"/>
        </w:rPr>
        <w:t xml:space="preserve"> high quality broadband Internet access services</w:t>
      </w:r>
      <w:r w:rsidR="00D60B96">
        <w:rPr>
          <w:rFonts w:ascii="Times New Roman" w:hAnsi="Times New Roman" w:cs="Times New Roman"/>
          <w:sz w:val="24"/>
          <w:szCs w:val="24"/>
        </w:rPr>
        <w:t xml:space="preserve"> </w:t>
      </w:r>
      <w:r w:rsidR="00325EF7">
        <w:rPr>
          <w:rFonts w:ascii="Times New Roman" w:hAnsi="Times New Roman" w:cs="Times New Roman"/>
          <w:sz w:val="24"/>
          <w:szCs w:val="24"/>
        </w:rPr>
        <w:t xml:space="preserve">widely available </w:t>
      </w:r>
      <w:r w:rsidR="00D60B96">
        <w:rPr>
          <w:rFonts w:ascii="Times New Roman" w:hAnsi="Times New Roman" w:cs="Times New Roman"/>
          <w:sz w:val="24"/>
          <w:szCs w:val="24"/>
        </w:rPr>
        <w:t>paved the way for the success of these online services</w:t>
      </w:r>
      <w:r>
        <w:rPr>
          <w:rFonts w:ascii="Times New Roman" w:hAnsi="Times New Roman" w:cs="Times New Roman"/>
          <w:sz w:val="24"/>
          <w:szCs w:val="24"/>
        </w:rPr>
        <w:t xml:space="preserve">.  As broadband providers continue to increase the reach and capability of their networks, these </w:t>
      </w:r>
      <w:r>
        <w:rPr>
          <w:rFonts w:ascii="Times New Roman" w:hAnsi="Times New Roman" w:cs="Times New Roman"/>
          <w:sz w:val="24"/>
          <w:szCs w:val="24"/>
        </w:rPr>
        <w:lastRenderedPageBreak/>
        <w:t>online service offerings will only become more potent competitors to regulated voice and video services.</w:t>
      </w:r>
    </w:p>
    <w:p w14:paraId="6C909D97" w14:textId="77777777" w:rsidR="00256DBA" w:rsidRPr="00D23C66" w:rsidRDefault="009C520A" w:rsidP="009B6015">
      <w:pPr>
        <w:pStyle w:val="Heading2"/>
        <w:rPr>
          <w:rStyle w:val="Heading2Char"/>
          <w:b/>
        </w:rPr>
      </w:pPr>
      <w:bookmarkStart w:id="5" w:name="_Toc522194560"/>
      <w:r w:rsidRPr="00D23C66">
        <w:rPr>
          <w:rStyle w:val="Heading2Char"/>
          <w:b/>
        </w:rPr>
        <w:t>The report should consider all communications services, including Internet access services below the 25/3 M</w:t>
      </w:r>
      <w:r w:rsidR="009925F9" w:rsidRPr="00D23C66">
        <w:rPr>
          <w:rStyle w:val="Heading2Char"/>
          <w:b/>
        </w:rPr>
        <w:t>bp</w:t>
      </w:r>
      <w:r w:rsidRPr="00D23C66">
        <w:rPr>
          <w:rStyle w:val="Heading2Char"/>
          <w:b/>
        </w:rPr>
        <w:t>s speed threshold</w:t>
      </w:r>
      <w:bookmarkEnd w:id="5"/>
    </w:p>
    <w:p w14:paraId="02FA9276" w14:textId="1E17C2C4"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assessing the state of competition for broadband services, it is critically important that the Commission not limit its analysis to services that meet or exceed the 25 Mbps downstream/3</w:t>
      </w:r>
      <w:r w:rsidR="00325EF7">
        <w:rPr>
          <w:rFonts w:ascii="Times New Roman" w:hAnsi="Times New Roman" w:cs="Times New Roman"/>
          <w:sz w:val="24"/>
          <w:szCs w:val="24"/>
        </w:rPr>
        <w:t> </w:t>
      </w:r>
      <w:r>
        <w:rPr>
          <w:rFonts w:ascii="Times New Roman" w:hAnsi="Times New Roman" w:cs="Times New Roman"/>
          <w:sz w:val="24"/>
          <w:szCs w:val="24"/>
        </w:rPr>
        <w:t>Mbps upstream (25/3) threshold that it uses to assess deployment of “advanced telecommunications capability” for purposes of its annual broadband progress report.</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Internet access services below the 25/3 threshold provide important capability to consumers, including the ability to perform critical functions</w:t>
      </w:r>
      <w:r w:rsidR="000E4A14">
        <w:rPr>
          <w:rFonts w:ascii="Times New Roman" w:hAnsi="Times New Roman" w:cs="Times New Roman"/>
          <w:sz w:val="24"/>
          <w:szCs w:val="24"/>
        </w:rPr>
        <w:t xml:space="preserve"> on multiple devices,</w:t>
      </w:r>
      <w:r>
        <w:rPr>
          <w:rFonts w:ascii="Times New Roman" w:hAnsi="Times New Roman" w:cs="Times New Roman"/>
          <w:sz w:val="24"/>
          <w:szCs w:val="24"/>
        </w:rPr>
        <w:t xml:space="preserve"> such as doing homework, submitting job applications, and using </w:t>
      </w:r>
      <w:r w:rsidR="000E4A14">
        <w:rPr>
          <w:rFonts w:ascii="Times New Roman" w:hAnsi="Times New Roman" w:cs="Times New Roman"/>
          <w:sz w:val="24"/>
          <w:szCs w:val="24"/>
        </w:rPr>
        <w:t xml:space="preserve">streaming </w:t>
      </w:r>
      <w:r>
        <w:rPr>
          <w:rFonts w:ascii="Times New Roman" w:hAnsi="Times New Roman" w:cs="Times New Roman"/>
          <w:sz w:val="24"/>
          <w:szCs w:val="24"/>
        </w:rPr>
        <w:t>video</w:t>
      </w:r>
      <w:r w:rsidR="000E4A14">
        <w:rPr>
          <w:rFonts w:ascii="Times New Roman" w:hAnsi="Times New Roman" w:cs="Times New Roman"/>
          <w:sz w:val="24"/>
          <w:szCs w:val="24"/>
        </w:rPr>
        <w:t xml:space="preserve"> </w:t>
      </w:r>
      <w:r>
        <w:rPr>
          <w:rFonts w:ascii="Times New Roman" w:hAnsi="Times New Roman" w:cs="Times New Roman"/>
          <w:sz w:val="24"/>
          <w:szCs w:val="24"/>
        </w:rPr>
        <w:t>services.</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Even where </w:t>
      </w:r>
      <w:r w:rsidR="00613298">
        <w:rPr>
          <w:rFonts w:ascii="Times New Roman" w:hAnsi="Times New Roman" w:cs="Times New Roman"/>
          <w:sz w:val="24"/>
          <w:szCs w:val="24"/>
        </w:rPr>
        <w:t>higher speed broadband</w:t>
      </w:r>
      <w:r>
        <w:rPr>
          <w:rFonts w:ascii="Times New Roman" w:hAnsi="Times New Roman" w:cs="Times New Roman"/>
          <w:sz w:val="24"/>
          <w:szCs w:val="24"/>
        </w:rPr>
        <w:t xml:space="preserve"> services are available, millions of consumers choose these lower speed </w:t>
      </w:r>
      <w:r w:rsidR="00613298">
        <w:rPr>
          <w:rFonts w:ascii="Times New Roman" w:hAnsi="Times New Roman" w:cs="Times New Roman"/>
          <w:sz w:val="24"/>
          <w:szCs w:val="24"/>
        </w:rPr>
        <w:t xml:space="preserve">options </w:t>
      </w:r>
      <w:r>
        <w:rPr>
          <w:rFonts w:ascii="Times New Roman" w:hAnsi="Times New Roman" w:cs="Times New Roman"/>
          <w:sz w:val="24"/>
          <w:szCs w:val="24"/>
        </w:rPr>
        <w:t xml:space="preserve">because they provide sufficient service at a lower price.  The Commission’s unanimous decision to approve billions of dollars in subsidies under the Connect America Fund </w:t>
      </w:r>
      <w:r w:rsidR="000E4A14">
        <w:rPr>
          <w:rFonts w:ascii="Times New Roman" w:hAnsi="Times New Roman" w:cs="Times New Roman"/>
          <w:sz w:val="24"/>
          <w:szCs w:val="24"/>
        </w:rPr>
        <w:t xml:space="preserve">Phase </w:t>
      </w:r>
      <w:r>
        <w:rPr>
          <w:rFonts w:ascii="Times New Roman" w:hAnsi="Times New Roman" w:cs="Times New Roman"/>
          <w:sz w:val="24"/>
          <w:szCs w:val="24"/>
        </w:rPr>
        <w:t>II for services at 10 Mbps downstream/1 Mbps upstream (10/1) level confirms that these services are valuable to consumers, particularly consumers that otherwise would be unserved by broadband.</w:t>
      </w:r>
      <w:r>
        <w:rPr>
          <w:rStyle w:val="FootnoteReference"/>
          <w:rFonts w:ascii="Times New Roman" w:hAnsi="Times New Roman" w:cs="Times New Roman"/>
          <w:sz w:val="24"/>
          <w:szCs w:val="24"/>
        </w:rPr>
        <w:footnoteReference w:id="9"/>
      </w:r>
    </w:p>
    <w:p w14:paraId="61D15BDB" w14:textId="77777777" w:rsidR="00256DBA" w:rsidRPr="00D23C66" w:rsidRDefault="009C520A" w:rsidP="009B6015">
      <w:pPr>
        <w:pStyle w:val="Heading2"/>
        <w:rPr>
          <w:rStyle w:val="Heading2Char"/>
          <w:b/>
        </w:rPr>
      </w:pPr>
      <w:bookmarkStart w:id="6" w:name="_Toc522194561"/>
      <w:r w:rsidRPr="00D23C66">
        <w:rPr>
          <w:rStyle w:val="Heading2Char"/>
          <w:b/>
        </w:rPr>
        <w:lastRenderedPageBreak/>
        <w:t>The report must consider intermodal competition</w:t>
      </w:r>
      <w:bookmarkEnd w:id="6"/>
    </w:p>
    <w:p w14:paraId="37BDDA18"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noted above, RAY BAUM’s Act explicitly requires the Commission to consider the effect</w:t>
      </w:r>
      <w:r w:rsidR="00325EF7">
        <w:rPr>
          <w:rFonts w:ascii="Times New Roman" w:hAnsi="Times New Roman" w:cs="Times New Roman"/>
          <w:sz w:val="24"/>
          <w:szCs w:val="24"/>
        </w:rPr>
        <w:t>s</w:t>
      </w:r>
      <w:r>
        <w:rPr>
          <w:rFonts w:ascii="Times New Roman" w:hAnsi="Times New Roman" w:cs="Times New Roman"/>
          <w:sz w:val="24"/>
          <w:szCs w:val="24"/>
        </w:rPr>
        <w:t xml:space="preserve"> of intermodal competition.</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The Commission has issued separate public notices seeking information on mobile broadband and fixed broadband,</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but the statute appropriately requires the Commission to address the interplay between these two sectors in its report.  While the Commission previously has </w:t>
      </w:r>
      <w:r w:rsidR="0095128C">
        <w:rPr>
          <w:rFonts w:ascii="Times New Roman" w:hAnsi="Times New Roman" w:cs="Times New Roman"/>
          <w:sz w:val="24"/>
          <w:szCs w:val="24"/>
        </w:rPr>
        <w:t xml:space="preserve">disagreed with </w:t>
      </w:r>
      <w:r>
        <w:rPr>
          <w:rFonts w:ascii="Times New Roman" w:hAnsi="Times New Roman" w:cs="Times New Roman"/>
          <w:sz w:val="24"/>
          <w:szCs w:val="24"/>
        </w:rPr>
        <w:t xml:space="preserve">the notion that mobile wireless broadband is </w:t>
      </w:r>
      <w:r w:rsidR="0095128C">
        <w:rPr>
          <w:rFonts w:ascii="Times New Roman" w:hAnsi="Times New Roman" w:cs="Times New Roman"/>
          <w:sz w:val="24"/>
          <w:szCs w:val="24"/>
        </w:rPr>
        <w:t xml:space="preserve">currently </w:t>
      </w:r>
      <w:r>
        <w:rPr>
          <w:rFonts w:ascii="Times New Roman" w:hAnsi="Times New Roman" w:cs="Times New Roman"/>
          <w:sz w:val="24"/>
          <w:szCs w:val="24"/>
        </w:rPr>
        <w:t>a “full substitute” for fixed broadband,</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in this report the Commission should acknowledge that millions of Americans have concluded that mobile service meets all their needs and that many more are likely to do so in the future.</w:t>
      </w:r>
      <w:r>
        <w:rPr>
          <w:rStyle w:val="FootnoteReference"/>
          <w:rFonts w:ascii="Times New Roman" w:hAnsi="Times New Roman" w:cs="Times New Roman"/>
          <w:sz w:val="24"/>
          <w:szCs w:val="24"/>
        </w:rPr>
        <w:footnoteReference w:id="13"/>
      </w:r>
      <w:r>
        <w:rPr>
          <w:rFonts w:ascii="Times New Roman" w:hAnsi="Times New Roman" w:cs="Times New Roman"/>
          <w:sz w:val="24"/>
          <w:szCs w:val="24"/>
        </w:rPr>
        <w:t xml:space="preserve">  </w:t>
      </w:r>
    </w:p>
    <w:p w14:paraId="0964AD07"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Moreover, wireline and wireless networks are converging in terms of network architecture and capabilities.  Major wireless companies have made clear that 5G wireless services will be targeting residential broadband.</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At the same time, cable operators are taking steps to enter the mobile wireless market in a meaningful way.</w:t>
      </w:r>
      <w:r>
        <w:rPr>
          <w:rStyle w:val="FootnoteReference"/>
          <w:rFonts w:ascii="Times New Roman" w:hAnsi="Times New Roman" w:cs="Times New Roman"/>
          <w:sz w:val="24"/>
          <w:szCs w:val="24"/>
        </w:rPr>
        <w:footnoteReference w:id="15"/>
      </w:r>
      <w:r>
        <w:rPr>
          <w:rFonts w:ascii="Times New Roman" w:hAnsi="Times New Roman" w:cs="Times New Roman"/>
          <w:sz w:val="24"/>
          <w:szCs w:val="24"/>
        </w:rPr>
        <w:t xml:space="preserve">  These trends may not be </w:t>
      </w:r>
      <w:r>
        <w:rPr>
          <w:rFonts w:ascii="Times New Roman" w:hAnsi="Times New Roman" w:cs="Times New Roman"/>
          <w:sz w:val="24"/>
          <w:szCs w:val="24"/>
        </w:rPr>
        <w:lastRenderedPageBreak/>
        <w:t xml:space="preserve">reflected in any of the current statistics the Commission considers in response to this </w:t>
      </w:r>
      <w:r>
        <w:rPr>
          <w:rFonts w:ascii="Times New Roman" w:hAnsi="Times New Roman" w:cs="Times New Roman"/>
          <w:i/>
          <w:sz w:val="24"/>
          <w:szCs w:val="24"/>
        </w:rPr>
        <w:t>Notice</w:t>
      </w:r>
      <w:r>
        <w:rPr>
          <w:rFonts w:ascii="Times New Roman" w:hAnsi="Times New Roman" w:cs="Times New Roman"/>
          <w:sz w:val="24"/>
          <w:szCs w:val="24"/>
        </w:rPr>
        <w:t xml:space="preserve">, but they are highly relevant to any assessment of competition in this marketplace. </w:t>
      </w:r>
    </w:p>
    <w:p w14:paraId="764EA501" w14:textId="77777777" w:rsidR="00256DBA" w:rsidRPr="00D23C66" w:rsidRDefault="009C520A" w:rsidP="009B6015">
      <w:pPr>
        <w:pStyle w:val="Heading1"/>
        <w:rPr>
          <w:rStyle w:val="Heading1Char"/>
          <w:b/>
        </w:rPr>
      </w:pPr>
      <w:bookmarkStart w:id="7" w:name="_Toc522194562"/>
      <w:r w:rsidRPr="00D23C66">
        <w:t xml:space="preserve">II. </w:t>
      </w:r>
      <w:r w:rsidR="009B6015">
        <w:tab/>
      </w:r>
      <w:r w:rsidRPr="00D23C66">
        <w:rPr>
          <w:rStyle w:val="Heading1Char"/>
          <w:b/>
        </w:rPr>
        <w:t>COMPETITION IN THE COMMUNICATIONS MARKETPLACE IS DELIVERING TREMENDOUS BENEFITS FOR AMERICAN CONSUMERS</w:t>
      </w:r>
      <w:bookmarkEnd w:id="7"/>
    </w:p>
    <w:p w14:paraId="421D11CC" w14:textId="10979214"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assessing the competitiveness of the communications marketplace, the Commission should focus on the tremendous benefits that competition is delivering to American consumers rather than merely counting the number of providers for a </w:t>
      </w:r>
      <w:proofErr w:type="gramStart"/>
      <w:r>
        <w:rPr>
          <w:rFonts w:ascii="Times New Roman" w:hAnsi="Times New Roman" w:cs="Times New Roman"/>
          <w:sz w:val="24"/>
          <w:szCs w:val="24"/>
        </w:rPr>
        <w:t>particular service</w:t>
      </w:r>
      <w:proofErr w:type="gramEnd"/>
      <w:r>
        <w:rPr>
          <w:rFonts w:ascii="Times New Roman" w:hAnsi="Times New Roman" w:cs="Times New Roman"/>
          <w:sz w:val="24"/>
          <w:szCs w:val="24"/>
        </w:rPr>
        <w:t xml:space="preserve"> in a particular location.  At this point there should be no question that the “virtuous cycle” between broadband providers and online services has generated continually increasing benefits for American consumers.  The Commission repeatedly has recognized the substantial benefits that consumers experience as broadband providers increase network capability and online services improve based on that increased capability.</w:t>
      </w:r>
      <w:r>
        <w:rPr>
          <w:rStyle w:val="FootnoteReference"/>
          <w:rFonts w:ascii="Times New Roman" w:hAnsi="Times New Roman" w:cs="Times New Roman"/>
          <w:sz w:val="24"/>
          <w:szCs w:val="24"/>
        </w:rPr>
        <w:footnoteReference w:id="16"/>
      </w:r>
    </w:p>
    <w:p w14:paraId="70409174"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Moreover, suggestions that this marketplace would provide insufficient incentives for broadband providers to deploy gigabit networks have proven to be completely erroneous.</w:t>
      </w:r>
      <w:r>
        <w:rPr>
          <w:rStyle w:val="FootnoteReference"/>
          <w:rFonts w:ascii="Times New Roman" w:hAnsi="Times New Roman" w:cs="Times New Roman"/>
          <w:sz w:val="24"/>
          <w:szCs w:val="24"/>
        </w:rPr>
        <w:footnoteReference w:id="17"/>
      </w:r>
      <w:r>
        <w:rPr>
          <w:rFonts w:ascii="Times New Roman" w:hAnsi="Times New Roman" w:cs="Times New Roman"/>
          <w:sz w:val="24"/>
          <w:szCs w:val="24"/>
        </w:rPr>
        <w:t xml:space="preserve">  </w:t>
      </w:r>
      <w:r>
        <w:rPr>
          <w:rFonts w:ascii="Times New Roman" w:hAnsi="Times New Roman" w:cs="Times New Roman"/>
          <w:sz w:val="24"/>
          <w:szCs w:val="24"/>
        </w:rPr>
        <w:lastRenderedPageBreak/>
        <w:t>Cable operators have been consistently upgrading their networks for years, investing over $50</w:t>
      </w:r>
      <w:r w:rsidR="00325EF7">
        <w:rPr>
          <w:rFonts w:ascii="Times New Roman" w:hAnsi="Times New Roman" w:cs="Times New Roman"/>
          <w:sz w:val="24"/>
          <w:szCs w:val="24"/>
        </w:rPr>
        <w:t> </w:t>
      </w:r>
      <w:r>
        <w:rPr>
          <w:rFonts w:ascii="Times New Roman" w:hAnsi="Times New Roman" w:cs="Times New Roman"/>
          <w:sz w:val="24"/>
          <w:szCs w:val="24"/>
        </w:rPr>
        <w:t>billion in the last three years alone, and by the end of 2018 they are expected to offer gigabit services reaching 70 to 75 percent of American households.</w:t>
      </w:r>
      <w:r>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There would be no reason for cable operators to invest in these upgrades if they were not competi</w:t>
      </w:r>
      <w:r w:rsidR="00325EF7">
        <w:rPr>
          <w:rFonts w:ascii="Times New Roman" w:hAnsi="Times New Roman" w:cs="Times New Roman"/>
          <w:sz w:val="24"/>
          <w:szCs w:val="24"/>
        </w:rPr>
        <w:t xml:space="preserve">ng aggressively </w:t>
      </w:r>
      <w:r>
        <w:rPr>
          <w:rFonts w:ascii="Times New Roman" w:hAnsi="Times New Roman" w:cs="Times New Roman"/>
          <w:sz w:val="24"/>
          <w:szCs w:val="24"/>
        </w:rPr>
        <w:t>in the broadband marketplace.</w:t>
      </w:r>
    </w:p>
    <w:p w14:paraId="781900E1" w14:textId="122DC496"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Indeed, broadband providers have continued to increase the capability of their broadband services even as the widespread availability of such services has enabled the development of online video and voice services that compete with broadband providers’ </w:t>
      </w:r>
      <w:r w:rsidR="006D670C">
        <w:rPr>
          <w:rFonts w:ascii="Times New Roman" w:hAnsi="Times New Roman" w:cs="Times New Roman"/>
          <w:sz w:val="24"/>
          <w:szCs w:val="24"/>
        </w:rPr>
        <w:t>traditional</w:t>
      </w:r>
      <w:r>
        <w:rPr>
          <w:rFonts w:ascii="Times New Roman" w:hAnsi="Times New Roman" w:cs="Times New Roman"/>
          <w:sz w:val="24"/>
          <w:szCs w:val="24"/>
        </w:rPr>
        <w:t xml:space="preserve"> services.  For example, millions of consumers have “cut the cord” and replaced multichannel video services with streaming video services.</w:t>
      </w:r>
      <w:r>
        <w:rPr>
          <w:rStyle w:val="FootnoteReference"/>
          <w:rFonts w:ascii="Times New Roman" w:hAnsi="Times New Roman" w:cs="Times New Roman"/>
          <w:sz w:val="24"/>
          <w:szCs w:val="24"/>
        </w:rPr>
        <w:footnoteReference w:id="19"/>
      </w:r>
      <w:r>
        <w:rPr>
          <w:rFonts w:ascii="Times New Roman" w:hAnsi="Times New Roman" w:cs="Times New Roman"/>
          <w:sz w:val="24"/>
          <w:szCs w:val="24"/>
        </w:rPr>
        <w:t xml:space="preserve">  Yet cable operators continue to invest in broadband network upgrades because they recognize that consumers highly value the ability to use these online services.</w:t>
      </w:r>
    </w:p>
    <w:p w14:paraId="7243ADBF" w14:textId="04275C7D"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trends show no signs of abating as </w:t>
      </w:r>
      <w:r w:rsidRPr="00D67B07">
        <w:rPr>
          <w:rFonts w:ascii="Times New Roman" w:hAnsi="Times New Roman" w:cs="Times New Roman"/>
          <w:i/>
          <w:sz w:val="24"/>
          <w:szCs w:val="24"/>
        </w:rPr>
        <w:t>all</w:t>
      </w:r>
      <w:r>
        <w:rPr>
          <w:rFonts w:ascii="Times New Roman" w:hAnsi="Times New Roman" w:cs="Times New Roman"/>
          <w:sz w:val="24"/>
          <w:szCs w:val="24"/>
        </w:rPr>
        <w:t xml:space="preserve"> broadband providers continu</w:t>
      </w:r>
      <w:r w:rsidR="00325EF7">
        <w:rPr>
          <w:rFonts w:ascii="Times New Roman" w:hAnsi="Times New Roman" w:cs="Times New Roman"/>
          <w:sz w:val="24"/>
          <w:szCs w:val="24"/>
        </w:rPr>
        <w:t>e</w:t>
      </w:r>
      <w:r>
        <w:rPr>
          <w:rFonts w:ascii="Times New Roman" w:hAnsi="Times New Roman" w:cs="Times New Roman"/>
          <w:sz w:val="24"/>
          <w:szCs w:val="24"/>
        </w:rPr>
        <w:t xml:space="preserve"> to invest in expanding and improving their networks, leading to growing coverage and competition.  At lower speeds, consumers now have a plethora of choices from providers using a wide variety of technologies.  In February 2018, the Commission reviewed the latest broadband deployment statistics (now more than 18 months old) and found that 98 percent of developed census blocks had at least two fixed providers offering 10 Mbps or greater broadband service, and that 82 </w:t>
      </w:r>
      <w:r>
        <w:rPr>
          <w:rFonts w:ascii="Times New Roman" w:hAnsi="Times New Roman" w:cs="Times New Roman"/>
          <w:sz w:val="24"/>
          <w:szCs w:val="24"/>
        </w:rPr>
        <w:lastRenderedPageBreak/>
        <w:t>percent had at least three such providers.</w:t>
      </w:r>
      <w:r>
        <w:rPr>
          <w:rFonts w:ascii="Times New Roman" w:hAnsi="Times New Roman" w:cs="Times New Roman"/>
          <w:sz w:val="24"/>
          <w:szCs w:val="24"/>
          <w:vertAlign w:val="superscript"/>
        </w:rPr>
        <w:footnoteReference w:id="20"/>
      </w:r>
      <w:r>
        <w:rPr>
          <w:rFonts w:ascii="Times New Roman" w:hAnsi="Times New Roman" w:cs="Times New Roman"/>
          <w:sz w:val="24"/>
          <w:szCs w:val="24"/>
        </w:rPr>
        <w:t xml:space="preserve">  Notably, these figures were up from 90 percent and 66 percent, respectively, in the prior year’s report.</w:t>
      </w:r>
      <w:r>
        <w:rPr>
          <w:rFonts w:ascii="Times New Roman" w:hAnsi="Times New Roman" w:cs="Times New Roman"/>
          <w:sz w:val="24"/>
          <w:szCs w:val="24"/>
          <w:vertAlign w:val="superscript"/>
        </w:rPr>
        <w:footnoteReference w:id="21"/>
      </w:r>
      <w:r>
        <w:rPr>
          <w:rFonts w:ascii="Times New Roman" w:hAnsi="Times New Roman" w:cs="Times New Roman"/>
          <w:sz w:val="24"/>
          <w:szCs w:val="24"/>
        </w:rPr>
        <w:t xml:space="preserve">  </w:t>
      </w:r>
    </w:p>
    <w:p w14:paraId="296D7BE3"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For speeds at or above the 25/3 “advanced telecommunications capability” threshold, choices may be more limited but competition is growing.  The majority of Americans already have at least two choices at these speeds</w:t>
      </w:r>
      <w:r w:rsidR="00663474">
        <w:rPr>
          <w:rFonts w:ascii="Times New Roman" w:hAnsi="Times New Roman" w:cs="Times New Roman"/>
          <w:sz w:val="24"/>
          <w:szCs w:val="24"/>
        </w:rPr>
        <w:t>,</w:t>
      </w:r>
      <w:r>
        <w:rPr>
          <w:rFonts w:ascii="Times New Roman" w:hAnsi="Times New Roman" w:cs="Times New Roman"/>
          <w:sz w:val="24"/>
          <w:szCs w:val="24"/>
        </w:rPr>
        <w:t xml:space="preserve"> and over time satellite and 5G will considerably expand the options available.</w:t>
      </w:r>
      <w:r>
        <w:rPr>
          <w:rStyle w:val="FootnoteReference"/>
          <w:rFonts w:ascii="Times New Roman" w:hAnsi="Times New Roman" w:cs="Times New Roman"/>
          <w:sz w:val="24"/>
          <w:szCs w:val="24"/>
        </w:rPr>
        <w:footnoteReference w:id="22"/>
      </w:r>
      <w:r>
        <w:rPr>
          <w:rFonts w:ascii="Times New Roman" w:hAnsi="Times New Roman" w:cs="Times New Roman"/>
          <w:sz w:val="24"/>
          <w:szCs w:val="24"/>
        </w:rPr>
        <w:t xml:space="preserve">  As noted above, the major wireless providers have made clear that they intend to use 5G services to compete directly with residential broadband services offered by cable operators, and low earth orbit satellite broadband technology is expected to grow exponentially in the next decade.</w:t>
      </w:r>
      <w:r>
        <w:rPr>
          <w:rStyle w:val="FootnoteReference"/>
          <w:rFonts w:ascii="Times New Roman" w:hAnsi="Times New Roman" w:cs="Times New Roman"/>
          <w:sz w:val="24"/>
          <w:szCs w:val="24"/>
        </w:rPr>
        <w:footnoteReference w:id="23"/>
      </w:r>
    </w:p>
    <w:p w14:paraId="683684E9" w14:textId="77777777" w:rsidR="00256DBA" w:rsidRDefault="0050374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With respect to gigabit services</w:t>
      </w:r>
      <w:r w:rsidR="009C520A">
        <w:rPr>
          <w:rFonts w:ascii="Times New Roman" w:hAnsi="Times New Roman" w:cs="Times New Roman"/>
          <w:sz w:val="24"/>
          <w:szCs w:val="24"/>
        </w:rPr>
        <w:t>, developments in this segment of the marketplace over the last few years are extremely promising.  As noted above, cable operators are expected to offer gigabit services reaching 70 to 75 percent of American households by the end of this year.</w:t>
      </w:r>
      <w:r w:rsidR="009C520A">
        <w:rPr>
          <w:rStyle w:val="FootnoteReference"/>
          <w:rFonts w:ascii="Times New Roman" w:hAnsi="Times New Roman" w:cs="Times New Roman"/>
          <w:sz w:val="24"/>
          <w:szCs w:val="24"/>
        </w:rPr>
        <w:footnoteReference w:id="24"/>
      </w:r>
      <w:r w:rsidR="009C520A">
        <w:rPr>
          <w:rFonts w:ascii="Times New Roman" w:hAnsi="Times New Roman" w:cs="Times New Roman"/>
          <w:sz w:val="24"/>
          <w:szCs w:val="24"/>
        </w:rPr>
        <w:t xml:space="preserve">  The widespread availability of gigabit services promises to unleash a new round of innovation from online services, continuing the virtuous cycle.  </w:t>
      </w:r>
      <w:r w:rsidR="00733DC2">
        <w:rPr>
          <w:rFonts w:ascii="Times New Roman" w:hAnsi="Times New Roman" w:cs="Times New Roman"/>
          <w:sz w:val="24"/>
          <w:szCs w:val="24"/>
        </w:rPr>
        <w:t xml:space="preserve">And as </w:t>
      </w:r>
      <w:r w:rsidR="00EE2F3B">
        <w:rPr>
          <w:rFonts w:ascii="Times New Roman" w:hAnsi="Times New Roman" w:cs="Times New Roman"/>
          <w:sz w:val="24"/>
          <w:szCs w:val="24"/>
        </w:rPr>
        <w:t>consumer demand</w:t>
      </w:r>
      <w:r w:rsidR="009C520A">
        <w:rPr>
          <w:rFonts w:ascii="Times New Roman" w:hAnsi="Times New Roman" w:cs="Times New Roman"/>
          <w:sz w:val="24"/>
          <w:szCs w:val="24"/>
        </w:rPr>
        <w:t xml:space="preserve"> for </w:t>
      </w:r>
      <w:r w:rsidR="00733DC2">
        <w:rPr>
          <w:rFonts w:ascii="Times New Roman" w:hAnsi="Times New Roman" w:cs="Times New Roman"/>
          <w:sz w:val="24"/>
          <w:szCs w:val="24"/>
        </w:rPr>
        <w:t xml:space="preserve">cable’s new </w:t>
      </w:r>
      <w:r w:rsidR="009C520A">
        <w:rPr>
          <w:rFonts w:ascii="Times New Roman" w:hAnsi="Times New Roman" w:cs="Times New Roman"/>
          <w:sz w:val="24"/>
          <w:szCs w:val="24"/>
        </w:rPr>
        <w:lastRenderedPageBreak/>
        <w:t>gigabit services</w:t>
      </w:r>
      <w:r w:rsidR="00733DC2">
        <w:rPr>
          <w:rFonts w:ascii="Times New Roman" w:hAnsi="Times New Roman" w:cs="Times New Roman"/>
          <w:sz w:val="24"/>
          <w:szCs w:val="24"/>
        </w:rPr>
        <w:t xml:space="preserve"> increases</w:t>
      </w:r>
      <w:r w:rsidR="009C520A">
        <w:rPr>
          <w:rFonts w:ascii="Times New Roman" w:hAnsi="Times New Roman" w:cs="Times New Roman"/>
          <w:sz w:val="24"/>
          <w:szCs w:val="24"/>
        </w:rPr>
        <w:t>, there is no doubt that additional providers will enter the market as well</w:t>
      </w:r>
      <w:r w:rsidR="00733DC2">
        <w:rPr>
          <w:rFonts w:ascii="Times New Roman" w:hAnsi="Times New Roman" w:cs="Times New Roman"/>
          <w:sz w:val="24"/>
          <w:szCs w:val="24"/>
        </w:rPr>
        <w:t xml:space="preserve"> – notably, </w:t>
      </w:r>
      <w:r>
        <w:rPr>
          <w:rFonts w:ascii="Times New Roman" w:hAnsi="Times New Roman" w:cs="Times New Roman"/>
          <w:sz w:val="24"/>
          <w:szCs w:val="24"/>
        </w:rPr>
        <w:t>gigabit services are one of the many promises of new 5G networks.</w:t>
      </w:r>
    </w:p>
    <w:p w14:paraId="0E95C97F" w14:textId="77777777" w:rsidR="00256DBA" w:rsidRPr="00D23C66" w:rsidRDefault="009C520A" w:rsidP="009B6015">
      <w:pPr>
        <w:pStyle w:val="Heading1"/>
        <w:rPr>
          <w:rStyle w:val="Heading1Char"/>
          <w:b/>
        </w:rPr>
      </w:pPr>
      <w:bookmarkStart w:id="8" w:name="_Toc522194563"/>
      <w:r w:rsidRPr="00D23C66">
        <w:t xml:space="preserve">III. </w:t>
      </w:r>
      <w:r w:rsidR="009B6015">
        <w:tab/>
      </w:r>
      <w:r w:rsidRPr="00D23C66">
        <w:rPr>
          <w:rStyle w:val="Heading1Char"/>
          <w:b/>
        </w:rPr>
        <w:t>THE COMMISSION SHOULD CONTINUE TO PROMOTE DEPLOYMENT AND COMPETITION FOR ALL SECTORS OF THE MARKETPLACE</w:t>
      </w:r>
      <w:bookmarkEnd w:id="8"/>
    </w:p>
    <w:p w14:paraId="235FC15D"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addition to reporting on the state of the communications marketplace, RAY BAUM’s Act requires the Commission to assess whether regulation poses a barrier to “competitive entry into the communications marketplace or to the competitive expansion of existing providers of communications services.”</w:t>
      </w:r>
      <w:r>
        <w:rPr>
          <w:rStyle w:val="FootnoteReference"/>
          <w:rFonts w:ascii="Times New Roman" w:hAnsi="Times New Roman" w:cs="Times New Roman"/>
          <w:sz w:val="24"/>
          <w:szCs w:val="24"/>
        </w:rPr>
        <w:footnoteReference w:id="25"/>
      </w:r>
      <w:r>
        <w:rPr>
          <w:rFonts w:ascii="Times New Roman" w:hAnsi="Times New Roman" w:cs="Times New Roman"/>
          <w:sz w:val="24"/>
          <w:szCs w:val="24"/>
        </w:rPr>
        <w:t xml:space="preserve">  As described in this section, in recent years the Commission has made significant strides to streamline regulation, but there are a variety of state and local regulations that continue to serve as barrier</w:t>
      </w:r>
      <w:r w:rsidR="00663474">
        <w:rPr>
          <w:rFonts w:ascii="Times New Roman" w:hAnsi="Times New Roman" w:cs="Times New Roman"/>
          <w:sz w:val="24"/>
          <w:szCs w:val="24"/>
        </w:rPr>
        <w:t>s</w:t>
      </w:r>
      <w:r>
        <w:rPr>
          <w:rFonts w:ascii="Times New Roman" w:hAnsi="Times New Roman" w:cs="Times New Roman"/>
          <w:sz w:val="24"/>
          <w:szCs w:val="24"/>
        </w:rPr>
        <w:t xml:space="preserve"> to the competitive expansion by cable operators that the Commission should address expeditiously.  In addition, while the Commission should actively encourage competition in the marketplace, it should end the practice of providing subsidies to incumbent LECs operating in areas where they face competition.</w:t>
      </w:r>
    </w:p>
    <w:p w14:paraId="2B89D76A" w14:textId="77777777" w:rsidR="00256DBA" w:rsidRPr="009B6015" w:rsidRDefault="009C520A" w:rsidP="009B6015">
      <w:pPr>
        <w:pStyle w:val="Heading2"/>
        <w:numPr>
          <w:ilvl w:val="0"/>
          <w:numId w:val="16"/>
        </w:numPr>
        <w:rPr>
          <w:rStyle w:val="Heading2Char"/>
          <w:b/>
        </w:rPr>
      </w:pPr>
      <w:bookmarkStart w:id="9" w:name="_Toc522194564"/>
      <w:r w:rsidRPr="009B6015">
        <w:rPr>
          <w:rStyle w:val="Heading2Char"/>
          <w:b/>
        </w:rPr>
        <w:t>The Commission has taken important steps in recent years to promote deployment and competition</w:t>
      </w:r>
      <w:bookmarkEnd w:id="9"/>
    </w:p>
    <w:p w14:paraId="6219D40C"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Commission consistently has recognized that the regulatory landscape can be a key consideration as companies consider the size and timing of new investments in the communications marketplace</w:t>
      </w:r>
      <w:r w:rsidR="003C2F33">
        <w:rPr>
          <w:rFonts w:ascii="Times New Roman" w:hAnsi="Times New Roman" w:cs="Times New Roman"/>
          <w:sz w:val="24"/>
          <w:szCs w:val="24"/>
        </w:rPr>
        <w:t>,</w:t>
      </w:r>
      <w:r>
        <w:rPr>
          <w:rFonts w:ascii="Times New Roman" w:hAnsi="Times New Roman" w:cs="Times New Roman"/>
          <w:sz w:val="24"/>
          <w:szCs w:val="24"/>
        </w:rPr>
        <w:t xml:space="preserve"> and that deregulatory actions can improve the business case for new investment.</w:t>
      </w:r>
      <w:r>
        <w:rPr>
          <w:rStyle w:val="FootnoteReference"/>
          <w:rFonts w:ascii="Times New Roman" w:hAnsi="Times New Roman" w:cs="Times New Roman"/>
          <w:sz w:val="24"/>
          <w:szCs w:val="24"/>
        </w:rPr>
        <w:footnoteReference w:id="26"/>
      </w:r>
      <w:r>
        <w:rPr>
          <w:rFonts w:ascii="Times New Roman" w:hAnsi="Times New Roman" w:cs="Times New Roman"/>
          <w:sz w:val="24"/>
          <w:szCs w:val="24"/>
        </w:rPr>
        <w:t xml:space="preserve">  Over the last two years, the Commission has taken a number of important deregulatory actions that will serve to promote increased deployment and competition, including the following:</w:t>
      </w:r>
    </w:p>
    <w:p w14:paraId="13E8C8B2"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b/>
          <w:i/>
          <w:sz w:val="24"/>
          <w:szCs w:val="24"/>
        </w:rPr>
        <w:lastRenderedPageBreak/>
        <w:t>Restoring Internet Freedom Order</w:t>
      </w:r>
      <w:r>
        <w:rPr>
          <w:rFonts w:ascii="Times New Roman" w:hAnsi="Times New Roman" w:cs="Times New Roman"/>
          <w:sz w:val="24"/>
          <w:szCs w:val="24"/>
        </w:rPr>
        <w:t>.  The Commission’s 2017 decision to return to a light-touch regulatory regime for broadband Internet access services under Title I, rather than treating these services as telecommunications services subject to common carrier regulation under Title II, creates a strong foundation for continued network investment by broadband providers.</w:t>
      </w:r>
      <w:r>
        <w:rPr>
          <w:rStyle w:val="FootnoteReference"/>
          <w:rFonts w:ascii="Times New Roman" w:hAnsi="Times New Roman" w:cs="Times New Roman"/>
          <w:sz w:val="24"/>
          <w:szCs w:val="24"/>
        </w:rPr>
        <w:footnoteReference w:id="27"/>
      </w:r>
      <w:r>
        <w:rPr>
          <w:rFonts w:ascii="Times New Roman" w:hAnsi="Times New Roman" w:cs="Times New Roman"/>
          <w:sz w:val="24"/>
          <w:szCs w:val="24"/>
        </w:rPr>
        <w:t xml:space="preserve">  By eliminating the overhang of potential rate regulation and </w:t>
      </w:r>
      <w:r w:rsidR="003C2F33">
        <w:rPr>
          <w:rFonts w:ascii="Times New Roman" w:hAnsi="Times New Roman" w:cs="Times New Roman"/>
          <w:sz w:val="24"/>
          <w:szCs w:val="24"/>
        </w:rPr>
        <w:t xml:space="preserve">significant regulatory uncertainty created by </w:t>
      </w:r>
      <w:r>
        <w:rPr>
          <w:rFonts w:ascii="Times New Roman" w:hAnsi="Times New Roman" w:cs="Times New Roman"/>
          <w:sz w:val="24"/>
          <w:szCs w:val="24"/>
        </w:rPr>
        <w:t>other common carrier requirements, companies are more likely to increase the size and pace of new network investments.</w:t>
      </w:r>
    </w:p>
    <w:p w14:paraId="64682390"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b/>
          <w:i/>
          <w:sz w:val="24"/>
          <w:szCs w:val="24"/>
        </w:rPr>
        <w:t>Business Data Services Order</w:t>
      </w:r>
      <w:r>
        <w:rPr>
          <w:rFonts w:ascii="Times New Roman" w:hAnsi="Times New Roman" w:cs="Times New Roman"/>
          <w:sz w:val="24"/>
          <w:szCs w:val="24"/>
        </w:rPr>
        <w:t xml:space="preserve">.  The 2017 decision to deregulate the rates for business data services (BDS) in areas where competition exists or is likely to develop, and to reject Chairman Wheeler’s proposal to regulate virtually all BDS, including </w:t>
      </w:r>
      <w:r w:rsidR="00EE2F3B">
        <w:rPr>
          <w:rFonts w:ascii="Times New Roman" w:hAnsi="Times New Roman" w:cs="Times New Roman"/>
          <w:sz w:val="24"/>
          <w:szCs w:val="24"/>
        </w:rPr>
        <w:t>packet</w:t>
      </w:r>
      <w:r>
        <w:rPr>
          <w:rFonts w:ascii="Times New Roman" w:hAnsi="Times New Roman" w:cs="Times New Roman"/>
          <w:sz w:val="24"/>
          <w:szCs w:val="24"/>
        </w:rPr>
        <w:t>-based services offered by competitive providers, will pave the way for significant new investment.</w:t>
      </w:r>
      <w:r>
        <w:rPr>
          <w:rStyle w:val="FootnoteReference"/>
          <w:rFonts w:ascii="Times New Roman" w:hAnsi="Times New Roman" w:cs="Times New Roman"/>
          <w:sz w:val="24"/>
          <w:szCs w:val="24"/>
        </w:rPr>
        <w:footnoteReference w:id="28"/>
      </w:r>
      <w:r>
        <w:rPr>
          <w:rFonts w:ascii="Times New Roman" w:hAnsi="Times New Roman" w:cs="Times New Roman"/>
          <w:sz w:val="24"/>
          <w:szCs w:val="24"/>
        </w:rPr>
        <w:t xml:space="preserve">  Since that order, cable operators have continued to expand their networks to reach commercial customers and recent data demonstrates that the number of commercial buildings connected to fiber is increasing at record levels.</w:t>
      </w:r>
      <w:r>
        <w:rPr>
          <w:rStyle w:val="FootnoteReference"/>
          <w:rFonts w:ascii="Times New Roman" w:hAnsi="Times New Roman" w:cs="Times New Roman"/>
          <w:sz w:val="24"/>
          <w:szCs w:val="24"/>
        </w:rPr>
        <w:footnoteReference w:id="29"/>
      </w:r>
      <w:r w:rsidR="00D67B07">
        <w:rPr>
          <w:rFonts w:ascii="Times New Roman" w:hAnsi="Times New Roman" w:cs="Times New Roman"/>
          <w:sz w:val="24"/>
          <w:szCs w:val="24"/>
        </w:rPr>
        <w:t xml:space="preserve">  These examples illustrate the positive effect that eliminating regulatory obstacles can have on new investment in communications networks.  </w:t>
      </w:r>
    </w:p>
    <w:p w14:paraId="0A292F6C"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b/>
          <w:i/>
          <w:sz w:val="24"/>
          <w:szCs w:val="24"/>
        </w:rPr>
        <w:lastRenderedPageBreak/>
        <w:t>Infrastructure Reforms</w:t>
      </w:r>
      <w:r>
        <w:rPr>
          <w:rFonts w:ascii="Times New Roman" w:hAnsi="Times New Roman" w:cs="Times New Roman"/>
          <w:sz w:val="24"/>
          <w:szCs w:val="24"/>
        </w:rPr>
        <w:t>.  In 2017</w:t>
      </w:r>
      <w:r w:rsidR="003C2F33">
        <w:rPr>
          <w:rFonts w:ascii="Times New Roman" w:hAnsi="Times New Roman" w:cs="Times New Roman"/>
          <w:sz w:val="24"/>
          <w:szCs w:val="24"/>
        </w:rPr>
        <w:t>,</w:t>
      </w:r>
      <w:r>
        <w:rPr>
          <w:rFonts w:ascii="Times New Roman" w:hAnsi="Times New Roman" w:cs="Times New Roman"/>
          <w:sz w:val="24"/>
          <w:szCs w:val="24"/>
        </w:rPr>
        <w:t xml:space="preserve"> the Commission commenced proceedings designed to reduce or eliminate obstacles to new deployment of broadband networks.</w:t>
      </w:r>
      <w:r>
        <w:rPr>
          <w:rStyle w:val="FootnoteReference"/>
          <w:rFonts w:ascii="Times New Roman" w:hAnsi="Times New Roman" w:cs="Times New Roman"/>
          <w:sz w:val="24"/>
          <w:szCs w:val="24"/>
        </w:rPr>
        <w:footnoteReference w:id="30"/>
      </w:r>
      <w:r>
        <w:rPr>
          <w:rFonts w:ascii="Times New Roman" w:hAnsi="Times New Roman" w:cs="Times New Roman"/>
          <w:sz w:val="24"/>
          <w:szCs w:val="24"/>
        </w:rPr>
        <w:t xml:space="preserve">  In a series of orders, the Commission has streamlined pole attachment and discontinuance procedures,</w:t>
      </w:r>
      <w:r>
        <w:rPr>
          <w:rStyle w:val="FootnoteReference"/>
          <w:rFonts w:ascii="Times New Roman" w:hAnsi="Times New Roman" w:cs="Times New Roman"/>
          <w:sz w:val="24"/>
          <w:szCs w:val="24"/>
        </w:rPr>
        <w:footnoteReference w:id="31"/>
      </w:r>
      <w:r>
        <w:rPr>
          <w:rFonts w:ascii="Times New Roman" w:hAnsi="Times New Roman" w:cs="Times New Roman"/>
          <w:sz w:val="24"/>
          <w:szCs w:val="24"/>
        </w:rPr>
        <w:t xml:space="preserve"> preempted unnecessary environment</w:t>
      </w:r>
      <w:r w:rsidR="00EE2F3B">
        <w:rPr>
          <w:rFonts w:ascii="Times New Roman" w:hAnsi="Times New Roman" w:cs="Times New Roman"/>
          <w:sz w:val="24"/>
          <w:szCs w:val="24"/>
        </w:rPr>
        <w:t>al</w:t>
      </w:r>
      <w:r>
        <w:rPr>
          <w:rFonts w:ascii="Times New Roman" w:hAnsi="Times New Roman" w:cs="Times New Roman"/>
          <w:sz w:val="24"/>
          <w:szCs w:val="24"/>
        </w:rPr>
        <w:t xml:space="preserve"> and historical regulation of small wireless facilities,</w:t>
      </w:r>
      <w:r>
        <w:rPr>
          <w:rStyle w:val="FootnoteReference"/>
          <w:rFonts w:ascii="Times New Roman" w:hAnsi="Times New Roman" w:cs="Times New Roman"/>
          <w:sz w:val="24"/>
          <w:szCs w:val="24"/>
        </w:rPr>
        <w:footnoteReference w:id="32"/>
      </w:r>
      <w:r>
        <w:rPr>
          <w:rFonts w:ascii="Times New Roman" w:hAnsi="Times New Roman" w:cs="Times New Roman"/>
          <w:sz w:val="24"/>
          <w:szCs w:val="24"/>
        </w:rPr>
        <w:t xml:space="preserve"> and taken a variety of other steps to speed new deployment.</w:t>
      </w:r>
      <w:r w:rsidR="00D67B07">
        <w:rPr>
          <w:rFonts w:ascii="Times New Roman" w:hAnsi="Times New Roman" w:cs="Times New Roman"/>
          <w:sz w:val="24"/>
          <w:szCs w:val="24"/>
        </w:rPr>
        <w:t xml:space="preserve">  </w:t>
      </w:r>
      <w:r>
        <w:rPr>
          <w:rFonts w:ascii="Times New Roman" w:hAnsi="Times New Roman" w:cs="Times New Roman"/>
          <w:sz w:val="24"/>
          <w:szCs w:val="24"/>
        </w:rPr>
        <w:t>As described in the following section, the Commission should continue looking for opportunities to making deployment easier, faster, and less expensive.</w:t>
      </w:r>
    </w:p>
    <w:p w14:paraId="690CE91F" w14:textId="77777777" w:rsidR="00256DBA" w:rsidRPr="00D23C66" w:rsidRDefault="009C520A" w:rsidP="009B6015">
      <w:pPr>
        <w:pStyle w:val="Heading2"/>
        <w:rPr>
          <w:rStyle w:val="Heading2Char"/>
          <w:b/>
        </w:rPr>
      </w:pPr>
      <w:bookmarkStart w:id="10" w:name="_Toc522194565"/>
      <w:r w:rsidRPr="00D23C66">
        <w:rPr>
          <w:rStyle w:val="Heading2Char"/>
          <w:b/>
        </w:rPr>
        <w:t xml:space="preserve">The Commission should </w:t>
      </w:r>
      <w:r w:rsidR="003C2F33" w:rsidRPr="00D23C66">
        <w:rPr>
          <w:rStyle w:val="Heading2Char"/>
          <w:b/>
        </w:rPr>
        <w:t>preempt and declare unlawful</w:t>
      </w:r>
      <w:r w:rsidRPr="00D23C66">
        <w:rPr>
          <w:rStyle w:val="Heading2Char"/>
          <w:b/>
        </w:rPr>
        <w:t xml:space="preserve"> state and local regulations that are </w:t>
      </w:r>
      <w:r w:rsidR="003C2F33" w:rsidRPr="00D23C66">
        <w:rPr>
          <w:rStyle w:val="Heading2Char"/>
          <w:b/>
        </w:rPr>
        <w:t xml:space="preserve">barriers to </w:t>
      </w:r>
      <w:r w:rsidRPr="00D23C66">
        <w:rPr>
          <w:rStyle w:val="Heading2Char"/>
          <w:b/>
        </w:rPr>
        <w:t>deployment of broadband</w:t>
      </w:r>
      <w:bookmarkEnd w:id="10"/>
    </w:p>
    <w:p w14:paraId="2F582E84" w14:textId="59B218B3"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Commission has appropriately focused on eliminating regulatory obstacles to broadband deployment.  These obstacles exist for both wireline and wireless providers and the Commission should address them all.  In particular, in the </w:t>
      </w:r>
      <w:r>
        <w:rPr>
          <w:rFonts w:ascii="Times New Roman" w:hAnsi="Times New Roman" w:cs="Times New Roman"/>
          <w:i/>
          <w:sz w:val="24"/>
          <w:szCs w:val="24"/>
        </w:rPr>
        <w:t>Wireline Infrastructure</w:t>
      </w:r>
      <w:r>
        <w:rPr>
          <w:rFonts w:ascii="Times New Roman" w:hAnsi="Times New Roman" w:cs="Times New Roman"/>
          <w:sz w:val="24"/>
          <w:szCs w:val="24"/>
        </w:rPr>
        <w:t xml:space="preserve"> proceeding, NCTA identified a number of significant concerns regarding unwarranted regulation by local governments.</w:t>
      </w:r>
      <w:r>
        <w:rPr>
          <w:rStyle w:val="FootnoteReference"/>
          <w:rFonts w:ascii="Times New Roman" w:hAnsi="Times New Roman" w:cs="Times New Roman"/>
          <w:sz w:val="24"/>
          <w:szCs w:val="24"/>
        </w:rPr>
        <w:footnoteReference w:id="33"/>
      </w:r>
      <w:r>
        <w:rPr>
          <w:rFonts w:ascii="Times New Roman" w:hAnsi="Times New Roman" w:cs="Times New Roman"/>
          <w:sz w:val="24"/>
          <w:szCs w:val="24"/>
        </w:rPr>
        <w:t xml:space="preserve">  For example, we explained that a number of communities in Oregon have imposed revenue-based fees on broadband and telecommunications services provided by cable operators in violation of the statutory limits </w:t>
      </w:r>
      <w:r w:rsidR="00663474">
        <w:rPr>
          <w:rFonts w:ascii="Times New Roman" w:hAnsi="Times New Roman" w:cs="Times New Roman"/>
          <w:sz w:val="24"/>
          <w:szCs w:val="24"/>
        </w:rPr>
        <w:t xml:space="preserve">on cable franchise fees </w:t>
      </w:r>
      <w:r>
        <w:rPr>
          <w:rFonts w:ascii="Times New Roman" w:hAnsi="Times New Roman" w:cs="Times New Roman"/>
          <w:sz w:val="24"/>
          <w:szCs w:val="24"/>
        </w:rPr>
        <w:t>contained in Section 621 of the Communications Act.</w:t>
      </w:r>
      <w:r>
        <w:rPr>
          <w:rStyle w:val="FootnoteReference"/>
          <w:rFonts w:ascii="Times New Roman" w:hAnsi="Times New Roman" w:cs="Times New Roman"/>
          <w:sz w:val="24"/>
          <w:szCs w:val="24"/>
        </w:rPr>
        <w:footnoteReference w:id="34"/>
      </w:r>
      <w:r>
        <w:rPr>
          <w:rFonts w:ascii="Times New Roman" w:hAnsi="Times New Roman" w:cs="Times New Roman"/>
          <w:sz w:val="24"/>
          <w:szCs w:val="24"/>
        </w:rPr>
        <w:t xml:space="preserve">  We also identified a variety of other problems, such as unwarranted </w:t>
      </w:r>
      <w:r>
        <w:rPr>
          <w:rFonts w:ascii="Times New Roman" w:hAnsi="Times New Roman" w:cs="Times New Roman"/>
          <w:sz w:val="24"/>
          <w:szCs w:val="24"/>
        </w:rPr>
        <w:lastRenderedPageBreak/>
        <w:t>authorization requirements and excessive permitting requirements, that are interfering with the deployment of new plant.</w:t>
      </w:r>
      <w:r>
        <w:rPr>
          <w:rStyle w:val="FootnoteReference"/>
          <w:rFonts w:ascii="Times New Roman" w:hAnsi="Times New Roman" w:cs="Times New Roman"/>
          <w:sz w:val="24"/>
          <w:szCs w:val="24"/>
        </w:rPr>
        <w:footnoteReference w:id="35"/>
      </w:r>
      <w:r>
        <w:rPr>
          <w:rFonts w:ascii="Times New Roman" w:hAnsi="Times New Roman" w:cs="Times New Roman"/>
          <w:sz w:val="24"/>
          <w:szCs w:val="24"/>
        </w:rPr>
        <w:t xml:space="preserve">  The validity of NCTA’s concerns about regulatory roadblocks recently was confirmed by a different community in Oregon that advanced the radical suggestion that a franchised cable operator should be required to “apply for a telecom franchise” before it can deploy Wi-Fi equipment in right</w:t>
      </w:r>
      <w:r w:rsidR="003C2F33">
        <w:rPr>
          <w:rFonts w:ascii="Times New Roman" w:hAnsi="Times New Roman" w:cs="Times New Roman"/>
          <w:sz w:val="24"/>
          <w:szCs w:val="24"/>
        </w:rPr>
        <w:t>s</w:t>
      </w:r>
      <w:r>
        <w:rPr>
          <w:rFonts w:ascii="Times New Roman" w:hAnsi="Times New Roman" w:cs="Times New Roman"/>
          <w:sz w:val="24"/>
          <w:szCs w:val="24"/>
        </w:rPr>
        <w:t>-of-way</w:t>
      </w:r>
      <w:r w:rsidR="003C2F33">
        <w:rPr>
          <w:rFonts w:ascii="Times New Roman" w:hAnsi="Times New Roman" w:cs="Times New Roman"/>
          <w:sz w:val="24"/>
          <w:szCs w:val="24"/>
        </w:rPr>
        <w:t xml:space="preserve"> </w:t>
      </w:r>
      <w:r w:rsidR="006C5ABB">
        <w:rPr>
          <w:rFonts w:ascii="Times New Roman" w:hAnsi="Times New Roman" w:cs="Times New Roman"/>
          <w:sz w:val="24"/>
          <w:szCs w:val="24"/>
        </w:rPr>
        <w:t xml:space="preserve">for which </w:t>
      </w:r>
      <w:r w:rsidR="003C2F33">
        <w:rPr>
          <w:rFonts w:ascii="Times New Roman" w:hAnsi="Times New Roman" w:cs="Times New Roman"/>
          <w:sz w:val="24"/>
          <w:szCs w:val="24"/>
        </w:rPr>
        <w:t xml:space="preserve">it already has </w:t>
      </w:r>
      <w:r w:rsidR="006C5ABB">
        <w:rPr>
          <w:rFonts w:ascii="Times New Roman" w:hAnsi="Times New Roman" w:cs="Times New Roman"/>
          <w:sz w:val="24"/>
          <w:szCs w:val="24"/>
        </w:rPr>
        <w:t>authority to deploy a cable system</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36"/>
      </w:r>
      <w:r>
        <w:rPr>
          <w:rFonts w:ascii="Times New Roman" w:hAnsi="Times New Roman" w:cs="Times New Roman"/>
          <w:sz w:val="24"/>
          <w:szCs w:val="24"/>
        </w:rPr>
        <w:t xml:space="preserve">  </w:t>
      </w:r>
    </w:p>
    <w:p w14:paraId="64FD5924"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All of these policies place unnecessary and unlawful obstacles on the ability of cable operators to expand broadband services for the benefit of consumers.  For example, when a cable operator chooses to expand Wi-Fi capability in its network, it enables consumers to use their video and broadband services outside of the home with no additional burden on the public right-of-way.  The fact that some local governments view this type of investment in the community as an excuse to require an additional franchise or impose new fees is a serious problem</w:t>
      </w:r>
      <w:r w:rsidR="009C01D0">
        <w:rPr>
          <w:rFonts w:ascii="Times New Roman" w:hAnsi="Times New Roman" w:cs="Times New Roman"/>
          <w:sz w:val="24"/>
          <w:szCs w:val="24"/>
        </w:rPr>
        <w:t>,</w:t>
      </w:r>
      <w:r>
        <w:rPr>
          <w:rFonts w:ascii="Times New Roman" w:hAnsi="Times New Roman" w:cs="Times New Roman"/>
          <w:sz w:val="24"/>
          <w:szCs w:val="24"/>
        </w:rPr>
        <w:t xml:space="preserve"> and Commission action urgently is needed before these misguided policies are adopted by more communities.  In particular, as NCTA has explained, the Commission can and should expeditiously address these concerns by issuing a declaratory ruling in the </w:t>
      </w:r>
      <w:r>
        <w:rPr>
          <w:rFonts w:ascii="Times New Roman" w:hAnsi="Times New Roman" w:cs="Times New Roman"/>
          <w:i/>
          <w:sz w:val="24"/>
          <w:szCs w:val="24"/>
        </w:rPr>
        <w:t>Wireline Infrastructure</w:t>
      </w:r>
      <w:r>
        <w:rPr>
          <w:rFonts w:ascii="Times New Roman" w:hAnsi="Times New Roman" w:cs="Times New Roman"/>
          <w:sz w:val="24"/>
          <w:szCs w:val="24"/>
        </w:rPr>
        <w:t xml:space="preserve"> proceeding.</w:t>
      </w:r>
    </w:p>
    <w:p w14:paraId="66519617" w14:textId="77777777" w:rsidR="00D23C66" w:rsidRPr="00D23C66" w:rsidRDefault="009C520A" w:rsidP="009B6015">
      <w:pPr>
        <w:pStyle w:val="Heading2"/>
      </w:pPr>
      <w:bookmarkStart w:id="11" w:name="_Toc522194566"/>
      <w:r w:rsidRPr="00D23C66">
        <w:rPr>
          <w:rStyle w:val="Heading2Char"/>
          <w:b/>
        </w:rPr>
        <w:t>All subsidy programs should be targeted to unserved areas and made available to all provider</w:t>
      </w:r>
      <w:r w:rsidRPr="00D23C66">
        <w:t>s</w:t>
      </w:r>
      <w:bookmarkEnd w:id="11"/>
    </w:p>
    <w:p w14:paraId="62F7CC4A" w14:textId="0A1362CF"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NCTA fully supports the Commission’s efforts to encourage more competition in the broadband marketplace, but these efforts should be competitively and technologically neutral to the greatest extent possible.  One area where the Commission sometimes falls short of this goal </w:t>
      </w:r>
      <w:r>
        <w:rPr>
          <w:rFonts w:ascii="Times New Roman" w:hAnsi="Times New Roman" w:cs="Times New Roman"/>
          <w:sz w:val="24"/>
          <w:szCs w:val="24"/>
        </w:rPr>
        <w:lastRenderedPageBreak/>
        <w:t xml:space="preserve">is in its effort to close the digital divide and make broadband available to all Americans.  </w:t>
      </w:r>
      <w:r w:rsidR="00AE3B0C">
        <w:rPr>
          <w:rFonts w:ascii="Times New Roman" w:hAnsi="Times New Roman" w:cs="Times New Roman"/>
          <w:sz w:val="24"/>
          <w:szCs w:val="24"/>
        </w:rPr>
        <w:t>Although the goal o</w:t>
      </w:r>
      <w:r w:rsidR="00CD3B58">
        <w:rPr>
          <w:rFonts w:ascii="Times New Roman" w:hAnsi="Times New Roman" w:cs="Times New Roman"/>
          <w:sz w:val="24"/>
          <w:szCs w:val="24"/>
        </w:rPr>
        <w:t>f</w:t>
      </w:r>
      <w:r w:rsidR="00AE3B0C">
        <w:rPr>
          <w:rFonts w:ascii="Times New Roman" w:hAnsi="Times New Roman" w:cs="Times New Roman"/>
          <w:sz w:val="24"/>
          <w:szCs w:val="24"/>
        </w:rPr>
        <w:t xml:space="preserve"> closing the digital divide is laudable</w:t>
      </w:r>
      <w:r>
        <w:rPr>
          <w:rFonts w:ascii="Times New Roman" w:hAnsi="Times New Roman" w:cs="Times New Roman"/>
          <w:sz w:val="24"/>
          <w:szCs w:val="24"/>
        </w:rPr>
        <w:t xml:space="preserve">, </w:t>
      </w:r>
      <w:r w:rsidR="009A6B0B">
        <w:rPr>
          <w:rFonts w:ascii="Times New Roman" w:hAnsi="Times New Roman" w:cs="Times New Roman"/>
          <w:sz w:val="24"/>
          <w:szCs w:val="24"/>
        </w:rPr>
        <w:t>some existing</w:t>
      </w:r>
      <w:r>
        <w:rPr>
          <w:rFonts w:ascii="Times New Roman" w:hAnsi="Times New Roman" w:cs="Times New Roman"/>
          <w:sz w:val="24"/>
          <w:szCs w:val="24"/>
        </w:rPr>
        <w:t xml:space="preserve"> programs </w:t>
      </w:r>
      <w:r w:rsidR="009C01D0">
        <w:rPr>
          <w:rFonts w:ascii="Times New Roman" w:hAnsi="Times New Roman" w:cs="Times New Roman"/>
          <w:sz w:val="24"/>
          <w:szCs w:val="24"/>
        </w:rPr>
        <w:t xml:space="preserve">impede that goal by </w:t>
      </w:r>
      <w:r>
        <w:rPr>
          <w:rFonts w:ascii="Times New Roman" w:hAnsi="Times New Roman" w:cs="Times New Roman"/>
          <w:sz w:val="24"/>
          <w:szCs w:val="24"/>
        </w:rPr>
        <w:t>subsidiz</w:t>
      </w:r>
      <w:r w:rsidR="009C01D0">
        <w:rPr>
          <w:rFonts w:ascii="Times New Roman" w:hAnsi="Times New Roman" w:cs="Times New Roman"/>
          <w:sz w:val="24"/>
          <w:szCs w:val="24"/>
        </w:rPr>
        <w:t>ing</w:t>
      </w:r>
      <w:r>
        <w:rPr>
          <w:rFonts w:ascii="Times New Roman" w:hAnsi="Times New Roman" w:cs="Times New Roman"/>
          <w:sz w:val="24"/>
          <w:szCs w:val="24"/>
        </w:rPr>
        <w:t xml:space="preserve"> one set of competitors (incumbent LECs) at the expense of </w:t>
      </w:r>
      <w:r w:rsidR="009A6B0B">
        <w:rPr>
          <w:rFonts w:ascii="Times New Roman" w:hAnsi="Times New Roman" w:cs="Times New Roman"/>
          <w:sz w:val="24"/>
          <w:szCs w:val="24"/>
        </w:rPr>
        <w:t xml:space="preserve">all </w:t>
      </w:r>
      <w:r>
        <w:rPr>
          <w:rFonts w:ascii="Times New Roman" w:hAnsi="Times New Roman" w:cs="Times New Roman"/>
          <w:sz w:val="24"/>
          <w:szCs w:val="24"/>
        </w:rPr>
        <w:t>other</w:t>
      </w:r>
      <w:r w:rsidR="009A6B0B">
        <w:rPr>
          <w:rFonts w:ascii="Times New Roman" w:hAnsi="Times New Roman" w:cs="Times New Roman"/>
          <w:sz w:val="24"/>
          <w:szCs w:val="24"/>
        </w:rPr>
        <w:t xml:space="preserve"> provider</w:t>
      </w:r>
      <w:r>
        <w:rPr>
          <w:rFonts w:ascii="Times New Roman" w:hAnsi="Times New Roman" w:cs="Times New Roman"/>
          <w:sz w:val="24"/>
          <w:szCs w:val="24"/>
        </w:rPr>
        <w:t xml:space="preserve">s.  </w:t>
      </w:r>
    </w:p>
    <w:p w14:paraId="57652E37" w14:textId="21CBB793"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Commission </w:t>
      </w:r>
      <w:r w:rsidR="00D04395">
        <w:rPr>
          <w:rFonts w:ascii="Times New Roman" w:hAnsi="Times New Roman" w:cs="Times New Roman"/>
          <w:sz w:val="24"/>
          <w:szCs w:val="24"/>
        </w:rPr>
        <w:t>has found</w:t>
      </w:r>
      <w:r w:rsidR="009A6B0B">
        <w:rPr>
          <w:rFonts w:ascii="Times New Roman" w:hAnsi="Times New Roman" w:cs="Times New Roman"/>
          <w:sz w:val="24"/>
          <w:szCs w:val="24"/>
        </w:rPr>
        <w:t xml:space="preserve"> </w:t>
      </w:r>
      <w:r w:rsidR="00D04395">
        <w:rPr>
          <w:rFonts w:ascii="Times New Roman" w:hAnsi="Times New Roman" w:cs="Times New Roman"/>
          <w:sz w:val="24"/>
          <w:szCs w:val="24"/>
        </w:rPr>
        <w:t xml:space="preserve">that market-based mechanisms such as </w:t>
      </w:r>
      <w:r w:rsidR="009A6B0B">
        <w:rPr>
          <w:rFonts w:ascii="Times New Roman" w:hAnsi="Times New Roman" w:cs="Times New Roman"/>
          <w:sz w:val="24"/>
          <w:szCs w:val="24"/>
        </w:rPr>
        <w:t xml:space="preserve">competitive bidding </w:t>
      </w:r>
      <w:r w:rsidR="00D04395">
        <w:rPr>
          <w:rFonts w:ascii="Times New Roman" w:hAnsi="Times New Roman" w:cs="Times New Roman"/>
          <w:sz w:val="24"/>
          <w:szCs w:val="24"/>
        </w:rPr>
        <w:t>“</w:t>
      </w:r>
      <w:r w:rsidR="00D04395" w:rsidRPr="00D04395">
        <w:rPr>
          <w:rFonts w:ascii="Times New Roman" w:hAnsi="Times New Roman" w:cs="Times New Roman"/>
          <w:sz w:val="24"/>
          <w:szCs w:val="24"/>
        </w:rPr>
        <w:t>ensure the most efficient and effective use of public resources</w:t>
      </w:r>
      <w:r w:rsidR="00D04395">
        <w:rPr>
          <w:rFonts w:ascii="Times New Roman" w:hAnsi="Times New Roman" w:cs="Times New Roman"/>
          <w:sz w:val="24"/>
          <w:szCs w:val="24"/>
        </w:rPr>
        <w:t>”</w:t>
      </w:r>
      <w:r w:rsidR="00D04395" w:rsidRPr="00D04395">
        <w:rPr>
          <w:rFonts w:ascii="Times New Roman" w:hAnsi="Times New Roman" w:cs="Times New Roman"/>
          <w:sz w:val="24"/>
          <w:szCs w:val="24"/>
        </w:rPr>
        <w:t xml:space="preserve"> </w:t>
      </w:r>
      <w:r w:rsidR="009A6B0B">
        <w:rPr>
          <w:rFonts w:ascii="Times New Roman" w:hAnsi="Times New Roman" w:cs="Times New Roman"/>
          <w:sz w:val="24"/>
          <w:szCs w:val="24"/>
        </w:rPr>
        <w:t xml:space="preserve">and </w:t>
      </w:r>
      <w:r w:rsidR="00D04395">
        <w:rPr>
          <w:rFonts w:ascii="Times New Roman" w:hAnsi="Times New Roman" w:cs="Times New Roman"/>
          <w:sz w:val="24"/>
          <w:szCs w:val="24"/>
        </w:rPr>
        <w:t>in recent years it</w:t>
      </w:r>
      <w:r w:rsidR="009A6B0B">
        <w:rPr>
          <w:rFonts w:ascii="Times New Roman" w:hAnsi="Times New Roman" w:cs="Times New Roman"/>
          <w:sz w:val="24"/>
          <w:szCs w:val="24"/>
        </w:rPr>
        <w:t xml:space="preserve"> has </w:t>
      </w:r>
      <w:r>
        <w:rPr>
          <w:rFonts w:ascii="Times New Roman" w:hAnsi="Times New Roman" w:cs="Times New Roman"/>
          <w:sz w:val="24"/>
          <w:szCs w:val="24"/>
        </w:rPr>
        <w:t>implemented competitive bidding for many of its high-cost universal service support programs</w:t>
      </w:r>
      <w:r w:rsidR="009A6B0B">
        <w:rPr>
          <w:rFonts w:ascii="Times New Roman" w:hAnsi="Times New Roman" w:cs="Times New Roman"/>
          <w:sz w:val="24"/>
          <w:szCs w:val="24"/>
        </w:rPr>
        <w:t>.</w:t>
      </w:r>
      <w:r w:rsidR="00185C47">
        <w:rPr>
          <w:rStyle w:val="FootnoteReference"/>
          <w:rFonts w:ascii="Times New Roman" w:hAnsi="Times New Roman" w:cs="Times New Roman"/>
          <w:sz w:val="24"/>
          <w:szCs w:val="24"/>
        </w:rPr>
        <w:footnoteReference w:id="37"/>
      </w:r>
      <w:r w:rsidR="009A6B0B">
        <w:rPr>
          <w:rFonts w:ascii="Times New Roman" w:hAnsi="Times New Roman" w:cs="Times New Roman"/>
          <w:sz w:val="24"/>
          <w:szCs w:val="24"/>
        </w:rPr>
        <w:t xml:space="preserve">  The</w:t>
      </w:r>
      <w:r>
        <w:rPr>
          <w:rFonts w:ascii="Times New Roman" w:hAnsi="Times New Roman" w:cs="Times New Roman"/>
          <w:sz w:val="24"/>
          <w:szCs w:val="24"/>
        </w:rPr>
        <w:t xml:space="preserve"> strong interest in the Connect America Fund Phase II auction confirms that this is a highly effective approach.  The Commission should follow this approach for all high-cost support</w:t>
      </w:r>
      <w:r w:rsidR="00D04395">
        <w:rPr>
          <w:rFonts w:ascii="Times New Roman" w:hAnsi="Times New Roman" w:cs="Times New Roman"/>
          <w:sz w:val="24"/>
          <w:szCs w:val="24"/>
        </w:rPr>
        <w:t xml:space="preserve"> instead of expanding the size of legacy </w:t>
      </w:r>
      <w:r w:rsidR="003A649C">
        <w:rPr>
          <w:rFonts w:ascii="Times New Roman" w:hAnsi="Times New Roman" w:cs="Times New Roman"/>
          <w:sz w:val="24"/>
          <w:szCs w:val="24"/>
        </w:rPr>
        <w:t>incumbent</w:t>
      </w:r>
      <w:r w:rsidR="00D04395">
        <w:rPr>
          <w:rFonts w:ascii="Times New Roman" w:hAnsi="Times New Roman" w:cs="Times New Roman"/>
          <w:sz w:val="24"/>
          <w:szCs w:val="24"/>
        </w:rPr>
        <w:t>-only programs</w:t>
      </w:r>
      <w:r>
        <w:rPr>
          <w:rFonts w:ascii="Times New Roman" w:hAnsi="Times New Roman" w:cs="Times New Roman"/>
          <w:sz w:val="24"/>
          <w:szCs w:val="24"/>
        </w:rPr>
        <w:t>.  As NCTA explained in recent comments, “Given the demonstrated success of the Commission’s policy decision to rely on competitive bidding as the most efficient way to distribute support, it is inexplicable that the Commission is now seeking comment on potentially increasing the amount of support given exclusively to a limited subset of providers, without regard to the fact that other providers may be able to offer broadband to rural consumers more efficiently and affordably in these areas.”</w:t>
      </w:r>
      <w:r>
        <w:rPr>
          <w:rStyle w:val="FootnoteReference"/>
          <w:rFonts w:ascii="Times New Roman" w:hAnsi="Times New Roman" w:cs="Times New Roman"/>
          <w:sz w:val="24"/>
          <w:szCs w:val="24"/>
        </w:rPr>
        <w:footnoteReference w:id="38"/>
      </w:r>
      <w:r>
        <w:rPr>
          <w:rFonts w:ascii="Times New Roman" w:hAnsi="Times New Roman" w:cs="Times New Roman"/>
          <w:sz w:val="24"/>
          <w:szCs w:val="24"/>
        </w:rPr>
        <w:t xml:space="preserve">  Going forward, as the Commission considers how to advance its goal of bringing broadband to unserved areas, it should not provide new funding for legacy programs that enable overbuilding of existing networks or that are limited to a particular class of companies.  </w:t>
      </w:r>
    </w:p>
    <w:p w14:paraId="5FAACD12" w14:textId="77777777" w:rsidR="00256DBA" w:rsidRDefault="009C520A" w:rsidP="009B6015">
      <w:pPr>
        <w:pStyle w:val="Heading1"/>
      </w:pPr>
      <w:bookmarkStart w:id="12" w:name="_Toc522194567"/>
      <w:r>
        <w:lastRenderedPageBreak/>
        <w:t>CONCLUSION</w:t>
      </w:r>
      <w:bookmarkEnd w:id="12"/>
    </w:p>
    <w:p w14:paraId="368A0441" w14:textId="77777777" w:rsidR="00256DBA" w:rsidRDefault="009C520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communications marketplace is experiencing robust competition across all services and delivering substantial benefits to American consumers and businesses.  The Commission should continue to create a regulatory environment that encourages more deployment by eliminating unnecessary regulation.  In particular, the Commission should quickly move forward with a declaratory ruling in its </w:t>
      </w:r>
      <w:r>
        <w:rPr>
          <w:rFonts w:ascii="Times New Roman" w:hAnsi="Times New Roman" w:cs="Times New Roman"/>
          <w:i/>
          <w:sz w:val="24"/>
          <w:szCs w:val="24"/>
        </w:rPr>
        <w:t>Wireline Infrastructure</w:t>
      </w:r>
      <w:r>
        <w:rPr>
          <w:rFonts w:ascii="Times New Roman" w:hAnsi="Times New Roman" w:cs="Times New Roman"/>
          <w:sz w:val="24"/>
          <w:szCs w:val="24"/>
        </w:rPr>
        <w:t xml:space="preserve"> proceeding prohibiting local governments from imposing duplicative franchise requirements </w:t>
      </w:r>
      <w:r w:rsidR="009C01D0">
        <w:rPr>
          <w:rFonts w:ascii="Times New Roman" w:hAnsi="Times New Roman" w:cs="Times New Roman"/>
          <w:sz w:val="24"/>
          <w:szCs w:val="24"/>
        </w:rPr>
        <w:t xml:space="preserve">on broadband and other new services </w:t>
      </w:r>
      <w:r w:rsidR="008E010D">
        <w:rPr>
          <w:rFonts w:ascii="Times New Roman" w:hAnsi="Times New Roman" w:cs="Times New Roman"/>
          <w:sz w:val="24"/>
          <w:szCs w:val="24"/>
        </w:rPr>
        <w:t xml:space="preserve">provided </w:t>
      </w:r>
      <w:r w:rsidR="009C01D0">
        <w:rPr>
          <w:rFonts w:ascii="Times New Roman" w:hAnsi="Times New Roman" w:cs="Times New Roman"/>
          <w:sz w:val="24"/>
          <w:szCs w:val="24"/>
        </w:rPr>
        <w:t xml:space="preserve">over the same network, </w:t>
      </w:r>
      <w:r>
        <w:rPr>
          <w:rFonts w:ascii="Times New Roman" w:hAnsi="Times New Roman" w:cs="Times New Roman"/>
          <w:sz w:val="24"/>
          <w:szCs w:val="24"/>
        </w:rPr>
        <w:t>and it should implement competitive bidding procedures in all of its high-cost universal service programs.</w:t>
      </w:r>
    </w:p>
    <w:p w14:paraId="67D20DD9" w14:textId="77777777" w:rsidR="00256DBA" w:rsidRDefault="009C520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Respectfully submitted,</w:t>
      </w:r>
    </w:p>
    <w:p w14:paraId="006A2EAE" w14:textId="77777777" w:rsidR="00256DBA" w:rsidRDefault="00256DBA">
      <w:pPr>
        <w:spacing w:after="0" w:line="240" w:lineRule="auto"/>
        <w:ind w:firstLine="720"/>
        <w:rPr>
          <w:rFonts w:ascii="Times New Roman" w:eastAsia="Times New Roman" w:hAnsi="Times New Roman" w:cs="Times New Roman"/>
          <w:sz w:val="24"/>
          <w:szCs w:val="24"/>
        </w:rPr>
      </w:pPr>
    </w:p>
    <w:p w14:paraId="048D6B75" w14:textId="0B96C5D7" w:rsidR="00256DBA" w:rsidRPr="00E633EB" w:rsidRDefault="009C520A">
      <w:pPr>
        <w:spacing w:after="0" w:line="24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E633EB" w:rsidRPr="00E633EB">
        <w:rPr>
          <w:rFonts w:ascii="Times New Roman" w:eastAsia="Times New Roman" w:hAnsi="Times New Roman" w:cs="Times New Roman"/>
          <w:b/>
          <w:sz w:val="24"/>
          <w:szCs w:val="24"/>
        </w:rPr>
        <w:t>/s/ Steven F. Morris</w:t>
      </w:r>
    </w:p>
    <w:p w14:paraId="40601B5B" w14:textId="77777777" w:rsidR="00256DBA" w:rsidRDefault="00256DBA">
      <w:pPr>
        <w:spacing w:after="0" w:line="240" w:lineRule="auto"/>
        <w:ind w:firstLine="720"/>
        <w:rPr>
          <w:rFonts w:ascii="Times New Roman" w:eastAsia="Times New Roman" w:hAnsi="Times New Roman" w:cs="Times New Roman"/>
          <w:sz w:val="24"/>
          <w:szCs w:val="24"/>
        </w:rPr>
      </w:pPr>
    </w:p>
    <w:p w14:paraId="42064BB5" w14:textId="77777777" w:rsidR="00256DBA" w:rsidRDefault="009C520A">
      <w:pPr>
        <w:spacing w:after="0" w:line="240" w:lineRule="auto"/>
        <w:ind w:left="4608" w:firstLine="432"/>
        <w:rPr>
          <w:rFonts w:ascii="Times New Roman" w:eastAsia="Times New Roman" w:hAnsi="Times New Roman" w:cs="Times New Roman"/>
          <w:sz w:val="24"/>
          <w:szCs w:val="24"/>
        </w:rPr>
      </w:pPr>
      <w:r>
        <w:rPr>
          <w:rFonts w:ascii="Times New Roman" w:eastAsia="Times New Roman" w:hAnsi="Times New Roman" w:cs="Times New Roman"/>
          <w:sz w:val="24"/>
          <w:szCs w:val="24"/>
        </w:rPr>
        <w:t>Steven F. Morris</w:t>
      </w:r>
    </w:p>
    <w:p w14:paraId="06932A96" w14:textId="77777777" w:rsidR="00256DBA" w:rsidRDefault="009C520A">
      <w:pPr>
        <w:spacing w:after="0" w:line="240" w:lineRule="auto"/>
        <w:ind w:left="4608" w:firstLine="432"/>
        <w:rPr>
          <w:rFonts w:ascii="Times New Roman" w:eastAsia="Times New Roman" w:hAnsi="Times New Roman" w:cs="Times New Roman"/>
          <w:sz w:val="24"/>
          <w:szCs w:val="24"/>
        </w:rPr>
      </w:pPr>
      <w:r>
        <w:rPr>
          <w:rFonts w:ascii="Times New Roman" w:eastAsia="Times New Roman" w:hAnsi="Times New Roman" w:cs="Times New Roman"/>
          <w:sz w:val="24"/>
          <w:szCs w:val="24"/>
        </w:rPr>
        <w:t>Jennifer K. McKee</w:t>
      </w:r>
    </w:p>
    <w:p w14:paraId="56D56913" w14:textId="77777777" w:rsidR="00256DBA" w:rsidRDefault="009C520A">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NCTA – The Internet &amp; Television</w:t>
      </w:r>
    </w:p>
    <w:p w14:paraId="542CDAAA" w14:textId="77777777" w:rsidR="00256DBA" w:rsidRDefault="009C520A">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Association</w:t>
      </w:r>
    </w:p>
    <w:p w14:paraId="57CD80A7" w14:textId="77777777" w:rsidR="00256DBA" w:rsidRDefault="009C520A">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25 Massachusetts Avenue, N.W. – Suite 100</w:t>
      </w:r>
    </w:p>
    <w:p w14:paraId="01CD58CB" w14:textId="77777777" w:rsidR="00256DBA" w:rsidRDefault="009C520A">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Washington, D.C.  20001-1431</w:t>
      </w:r>
    </w:p>
    <w:p w14:paraId="3DD41A38" w14:textId="77777777" w:rsidR="00256DBA" w:rsidRDefault="009C520A" w:rsidP="00D23C66">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(202) 222-2445</w:t>
      </w:r>
    </w:p>
    <w:p w14:paraId="0CFEB236" w14:textId="77777777" w:rsidR="00256DBA" w:rsidRPr="00D23C66" w:rsidRDefault="00D23C66" w:rsidP="00D23C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August 17, 2018</w:t>
      </w:r>
    </w:p>
    <w:sectPr w:rsidR="00256DBA" w:rsidRPr="00D23C66" w:rsidSect="002A20AA">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E5473" w14:textId="77777777" w:rsidR="008039D0" w:rsidRDefault="008039D0">
      <w:pPr>
        <w:spacing w:after="0" w:line="240" w:lineRule="auto"/>
      </w:pPr>
      <w:r>
        <w:separator/>
      </w:r>
    </w:p>
  </w:endnote>
  <w:endnote w:type="continuationSeparator" w:id="0">
    <w:p w14:paraId="33FCEFBF" w14:textId="77777777" w:rsidR="008039D0" w:rsidRDefault="00803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122142"/>
      <w:docPartObj>
        <w:docPartGallery w:val="Page Numbers (Bottom of Page)"/>
        <w:docPartUnique/>
      </w:docPartObj>
    </w:sdtPr>
    <w:sdtEndPr>
      <w:rPr>
        <w:rFonts w:ascii="Times New Roman" w:hAnsi="Times New Roman" w:cs="Times New Roman"/>
        <w:noProof/>
        <w:sz w:val="24"/>
        <w:szCs w:val="24"/>
      </w:rPr>
    </w:sdtEndPr>
    <w:sdtContent>
      <w:p w14:paraId="0004A04C" w14:textId="77777777" w:rsidR="00256DBA" w:rsidRDefault="009C520A">
        <w:pPr>
          <w:pStyle w:val="Foote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956946">
          <w:rPr>
            <w:rFonts w:ascii="Times New Roman" w:hAnsi="Times New Roman" w:cs="Times New Roman"/>
            <w:noProof/>
            <w:sz w:val="24"/>
            <w:szCs w:val="24"/>
          </w:rPr>
          <w:t>15</w:t>
        </w:r>
        <w:r>
          <w:rPr>
            <w:rFonts w:ascii="Times New Roman" w:hAnsi="Times New Roman" w:cs="Times New Roman"/>
            <w:noProof/>
            <w:sz w:val="24"/>
            <w:szCs w:val="24"/>
          </w:rPr>
          <w:fldChar w:fldCharType="end"/>
        </w:r>
      </w:p>
    </w:sdtContent>
  </w:sdt>
  <w:p w14:paraId="4C8641B9" w14:textId="77777777" w:rsidR="00256DBA" w:rsidRDefault="00256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8787182"/>
      <w:docPartObj>
        <w:docPartGallery w:val="Page Numbers (Bottom of Page)"/>
        <w:docPartUnique/>
      </w:docPartObj>
    </w:sdtPr>
    <w:sdtEndPr>
      <w:rPr>
        <w:rFonts w:ascii="Times New Roman" w:hAnsi="Times New Roman" w:cs="Times New Roman"/>
        <w:noProof/>
        <w:sz w:val="24"/>
        <w:szCs w:val="24"/>
      </w:rPr>
    </w:sdtEndPr>
    <w:sdtContent>
      <w:p w14:paraId="2D177BB9" w14:textId="77777777" w:rsidR="002A20AA" w:rsidRDefault="002A20AA">
        <w:pPr>
          <w:pStyle w:val="Foote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noProof/>
            <w:sz w:val="24"/>
            <w:szCs w:val="24"/>
          </w:rPr>
          <w:t>15</w:t>
        </w:r>
        <w:r>
          <w:rPr>
            <w:rFonts w:ascii="Times New Roman" w:hAnsi="Times New Roman" w:cs="Times New Roman"/>
            <w:noProof/>
            <w:sz w:val="24"/>
            <w:szCs w:val="24"/>
          </w:rPr>
          <w:fldChar w:fldCharType="end"/>
        </w:r>
      </w:p>
    </w:sdtContent>
  </w:sdt>
  <w:p w14:paraId="78F23E85" w14:textId="77777777" w:rsidR="002A20AA" w:rsidRDefault="002A2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E29A6" w14:textId="77777777" w:rsidR="008039D0" w:rsidRDefault="008039D0">
      <w:pPr>
        <w:spacing w:after="0" w:line="240" w:lineRule="auto"/>
      </w:pPr>
      <w:r>
        <w:separator/>
      </w:r>
    </w:p>
  </w:footnote>
  <w:footnote w:type="continuationSeparator" w:id="0">
    <w:p w14:paraId="60373E3A" w14:textId="77777777" w:rsidR="008039D0" w:rsidRDefault="008039D0">
      <w:pPr>
        <w:spacing w:after="0" w:line="240" w:lineRule="auto"/>
      </w:pPr>
      <w:r>
        <w:continuationSeparator/>
      </w:r>
    </w:p>
  </w:footnote>
  <w:footnote w:id="1">
    <w:p w14:paraId="755FC3E5"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 xml:space="preserve">Public Notice, </w:t>
      </w:r>
      <w:r>
        <w:rPr>
          <w:rFonts w:ascii="Times New Roman" w:hAnsi="Times New Roman" w:cs="Times New Roman"/>
          <w:i/>
        </w:rPr>
        <w:t>Wireline Competition Bureau Seeks Comment on the State of Fixed Broadband Competition</w:t>
      </w:r>
      <w:r>
        <w:rPr>
          <w:rFonts w:ascii="Times New Roman" w:hAnsi="Times New Roman" w:cs="Times New Roman"/>
        </w:rPr>
        <w:t>, GN Docket No. 18-231, DA 18-784 (rel. July 27, 2018) (</w:t>
      </w:r>
      <w:r>
        <w:rPr>
          <w:rFonts w:ascii="Times New Roman" w:hAnsi="Times New Roman" w:cs="Times New Roman"/>
          <w:i/>
        </w:rPr>
        <w:t>Notice</w:t>
      </w:r>
      <w:r>
        <w:rPr>
          <w:rFonts w:ascii="Times New Roman" w:hAnsi="Times New Roman" w:cs="Times New Roman"/>
        </w:rPr>
        <w:t>).</w:t>
      </w:r>
    </w:p>
  </w:footnote>
  <w:footnote w:id="2">
    <w:p w14:paraId="044D78FB" w14:textId="4C9E11AB" w:rsidR="00690E58" w:rsidRPr="00690E58" w:rsidRDefault="00690E58" w:rsidP="00690E58">
      <w:pPr>
        <w:pStyle w:val="FootnoteText"/>
        <w:spacing w:after="120"/>
        <w:ind w:left="360" w:hanging="360"/>
        <w:rPr>
          <w:rFonts w:ascii="Times New Roman" w:hAnsi="Times New Roman" w:cs="Times New Roman"/>
        </w:rPr>
      </w:pPr>
      <w:r w:rsidRPr="00690E58">
        <w:rPr>
          <w:rStyle w:val="FootnoteReference"/>
          <w:rFonts w:ascii="Times New Roman" w:hAnsi="Times New Roman" w:cs="Times New Roman"/>
        </w:rPr>
        <w:footnoteRef/>
      </w:r>
      <w:r w:rsidRPr="00690E58">
        <w:rPr>
          <w:rFonts w:ascii="Times New Roman" w:hAnsi="Times New Roman" w:cs="Times New Roman"/>
        </w:rPr>
        <w:t xml:space="preserve"> </w:t>
      </w:r>
      <w:r>
        <w:rPr>
          <w:rFonts w:ascii="Times New Roman" w:hAnsi="Times New Roman" w:cs="Times New Roman"/>
        </w:rPr>
        <w:tab/>
        <w:t>Consolidated Appropriations Act, 2018, Pub. L. No. 115-141, Div. P – Repack Airwaves Yielding Better Access for Users of Modern Services Act of 2018, 132 Stat. 348, 1087 (2018) (RAY BAUM’s Act).</w:t>
      </w:r>
    </w:p>
  </w:footnote>
  <w:footnote w:id="3">
    <w:p w14:paraId="75EB1DD3" w14:textId="698CC294"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47 U.S.C. § 163(b)(1).</w:t>
      </w:r>
    </w:p>
  </w:footnote>
  <w:footnote w:id="4">
    <w:p w14:paraId="57E42EBF" w14:textId="1146E9B4"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47 U.S.C. § 163(d)(1)</w:t>
      </w:r>
      <w:r w:rsidR="00913DE7">
        <w:rPr>
          <w:rFonts w:ascii="Times New Roman" w:hAnsi="Times New Roman" w:cs="Times New Roman"/>
        </w:rPr>
        <w:t>.</w:t>
      </w:r>
      <w:bookmarkStart w:id="3" w:name="_GoBack"/>
      <w:bookmarkEnd w:id="3"/>
    </w:p>
  </w:footnote>
  <w:footnote w:id="5">
    <w:p w14:paraId="67E24268"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 xml:space="preserve">FCC Blog, Commissioner Michael O’Rielly, </w:t>
      </w:r>
      <w:r>
        <w:rPr>
          <w:rFonts w:ascii="Times New Roman" w:hAnsi="Times New Roman" w:cs="Times New Roman"/>
          <w:i/>
        </w:rPr>
        <w:t>Regulatory Free Arena</w:t>
      </w:r>
      <w:r>
        <w:rPr>
          <w:rFonts w:ascii="Times New Roman" w:hAnsi="Times New Roman" w:cs="Times New Roman"/>
        </w:rPr>
        <w:t xml:space="preserve"> (June 1, 2018).</w:t>
      </w:r>
    </w:p>
  </w:footnote>
  <w:footnote w:id="6">
    <w:p w14:paraId="6E1A74A2"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 Chart of the day: The incredible rise of Netflix, from mailboxes to Letterman</w:t>
      </w:r>
      <w:r>
        <w:rPr>
          <w:rFonts w:ascii="Times New Roman" w:hAnsi="Times New Roman" w:cs="Times New Roman"/>
        </w:rPr>
        <w:t xml:space="preserve">, Recode (Jan. 23, 2018), </w:t>
      </w:r>
      <w:hyperlink r:id="rId1" w:history="1">
        <w:r>
          <w:rPr>
            <w:rStyle w:val="Hyperlink"/>
            <w:rFonts w:ascii="Times New Roman" w:hAnsi="Times New Roman" w:cs="Times New Roman"/>
          </w:rPr>
          <w:t>https://www.recode.net/2018/1/23/16857600/netflix-hulu-cable-streaming-tv-movies-david-letterman-chart</w:t>
        </w:r>
      </w:hyperlink>
      <w:r>
        <w:rPr>
          <w:rFonts w:ascii="Times New Roman" w:hAnsi="Times New Roman" w:cs="Times New Roman"/>
        </w:rPr>
        <w:t>.</w:t>
      </w:r>
    </w:p>
  </w:footnote>
  <w:footnote w:id="7">
    <w:p w14:paraId="07F9576D" w14:textId="6FF1BE81"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Inquiry Concerning Deployment of Advanced Telecommunications Capability to All Americans in a Reasonable and Timely Fashion</w:t>
      </w:r>
      <w:r>
        <w:rPr>
          <w:rFonts w:ascii="Times New Roman" w:hAnsi="Times New Roman" w:cs="Times New Roman"/>
        </w:rPr>
        <w:t xml:space="preserve">, GN Docket No. 17-199, 2018 Broadband Deployment Report, 33 FCC Rcd </w:t>
      </w:r>
      <w:r w:rsidR="00AB2302">
        <w:rPr>
          <w:rFonts w:ascii="Times New Roman" w:hAnsi="Times New Roman" w:cs="Times New Roman"/>
        </w:rPr>
        <w:t>1660</w:t>
      </w:r>
      <w:r>
        <w:rPr>
          <w:rFonts w:ascii="Times New Roman" w:hAnsi="Times New Roman" w:cs="Times New Roman"/>
        </w:rPr>
        <w:t xml:space="preserve">, </w:t>
      </w:r>
      <w:r w:rsidR="00AB2302">
        <w:rPr>
          <w:rFonts w:ascii="Times New Roman" w:hAnsi="Times New Roman" w:cs="Times New Roman"/>
        </w:rPr>
        <w:t>1667</w:t>
      </w:r>
      <w:r>
        <w:rPr>
          <w:rFonts w:ascii="Times New Roman" w:hAnsi="Times New Roman" w:cs="Times New Roman"/>
        </w:rPr>
        <w:t>, ¶ 21 (2018 Broadband Deployment Report).</w:t>
      </w:r>
    </w:p>
  </w:footnote>
  <w:footnote w:id="8">
    <w:p w14:paraId="039BABB8"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 xml:space="preserve">For example, Netflix recommends that downstream speeds of 5 Mbps are sufficient for HD-quality video streaming.  </w:t>
      </w:r>
      <w:r>
        <w:rPr>
          <w:rFonts w:ascii="Times New Roman" w:hAnsi="Times New Roman" w:cs="Times New Roman"/>
          <w:i/>
        </w:rPr>
        <w:t>See</w:t>
      </w:r>
      <w:r>
        <w:rPr>
          <w:rFonts w:ascii="Times New Roman" w:hAnsi="Times New Roman" w:cs="Times New Roman"/>
        </w:rPr>
        <w:t xml:space="preserve"> Netflix, Internet Connection Speed Recommendations, </w:t>
      </w:r>
      <w:hyperlink r:id="rId2" w:history="1">
        <w:r>
          <w:rPr>
            <w:rStyle w:val="Hyperlink"/>
            <w:rFonts w:ascii="Times New Roman" w:hAnsi="Times New Roman" w:cs="Times New Roman"/>
          </w:rPr>
          <w:t>https://help.netflix.com/en/node/306</w:t>
        </w:r>
      </w:hyperlink>
      <w:r>
        <w:rPr>
          <w:rFonts w:ascii="Times New Roman" w:hAnsi="Times New Roman" w:cs="Times New Roman"/>
        </w:rPr>
        <w:t xml:space="preserve">. </w:t>
      </w:r>
    </w:p>
  </w:footnote>
  <w:footnote w:id="9">
    <w:p w14:paraId="06177163" w14:textId="09FBB404"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Connect America Fund</w:t>
      </w:r>
      <w:r>
        <w:rPr>
          <w:rFonts w:ascii="Times New Roman" w:hAnsi="Times New Roman" w:cs="Times New Roman"/>
        </w:rPr>
        <w:t>, WC Docket No. 10-90,</w:t>
      </w:r>
      <w:r w:rsidR="00AB2302">
        <w:rPr>
          <w:rFonts w:ascii="Times New Roman" w:hAnsi="Times New Roman" w:cs="Times New Roman"/>
        </w:rPr>
        <w:t xml:space="preserve"> Report and Order, 29 FCC Rcd 15644, 15649, ¶ 17 (2014)</w:t>
      </w:r>
      <w:r>
        <w:rPr>
          <w:rFonts w:ascii="Times New Roman" w:hAnsi="Times New Roman" w:cs="Times New Roman"/>
        </w:rPr>
        <w:t xml:space="preserve">.  Similarly, when the Commission reformed the Lifeline program to support broadband, it used the same 10/1 threshold as the minimum service level eligible for support.  </w:t>
      </w:r>
      <w:r>
        <w:rPr>
          <w:rFonts w:ascii="Times New Roman" w:hAnsi="Times New Roman" w:cs="Times New Roman"/>
          <w:i/>
        </w:rPr>
        <w:t>See Lifeline and Link Up Reform and Modernization</w:t>
      </w:r>
      <w:r>
        <w:rPr>
          <w:rFonts w:ascii="Times New Roman" w:hAnsi="Times New Roman" w:cs="Times New Roman"/>
        </w:rPr>
        <w:t xml:space="preserve">, WC Docket No. 11-42, Third Report and Order, Further Report and Order, and Order on Reconsideration, 31 FCC Rcd, </w:t>
      </w:r>
      <w:r w:rsidR="00AB2302">
        <w:rPr>
          <w:rFonts w:ascii="Times New Roman" w:hAnsi="Times New Roman" w:cs="Times New Roman"/>
        </w:rPr>
        <w:t>3962</w:t>
      </w:r>
      <w:r>
        <w:rPr>
          <w:rFonts w:ascii="Times New Roman" w:hAnsi="Times New Roman" w:cs="Times New Roman"/>
        </w:rPr>
        <w:t xml:space="preserve">, </w:t>
      </w:r>
      <w:r w:rsidR="00AB2302">
        <w:rPr>
          <w:rFonts w:ascii="Times New Roman" w:hAnsi="Times New Roman" w:cs="Times New Roman"/>
        </w:rPr>
        <w:t>3993</w:t>
      </w:r>
      <w:r>
        <w:rPr>
          <w:rFonts w:ascii="Times New Roman" w:hAnsi="Times New Roman" w:cs="Times New Roman"/>
        </w:rPr>
        <w:t xml:space="preserve">, ¶ 86 (2016). </w:t>
      </w:r>
      <w:r w:rsidR="00AB2302">
        <w:rPr>
          <w:rFonts w:ascii="Times New Roman" w:hAnsi="Times New Roman" w:cs="Times New Roman"/>
        </w:rPr>
        <w:t xml:space="preserve">The Commission recently updated that standard to 18 Mbps downstream and 2 Mbps upstream.  Public Notice, </w:t>
      </w:r>
      <w:r w:rsidR="00AB2302" w:rsidRPr="00AB2302">
        <w:rPr>
          <w:rFonts w:ascii="Times New Roman" w:hAnsi="Times New Roman" w:cs="Times New Roman"/>
          <w:i/>
        </w:rPr>
        <w:t>Wireline Competition Bureau Announces Updated Lifeline Minimum Service Standards and Indexed Budget</w:t>
      </w:r>
      <w:r w:rsidR="00AB2302">
        <w:rPr>
          <w:rFonts w:ascii="Times New Roman" w:hAnsi="Times New Roman" w:cs="Times New Roman"/>
        </w:rPr>
        <w:t>, WC Docket No. 11-42, DA 18-739 (July 18, 2018).</w:t>
      </w:r>
    </w:p>
  </w:footnote>
  <w:footnote w:id="10">
    <w:p w14:paraId="4C6597A4"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47 U.S.C. § 163(d)(1).</w:t>
      </w:r>
    </w:p>
  </w:footnote>
  <w:footnote w:id="11">
    <w:p w14:paraId="70773CA7"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Notice</w:t>
      </w:r>
      <w:r>
        <w:rPr>
          <w:rFonts w:ascii="Times New Roman" w:hAnsi="Times New Roman" w:cs="Times New Roman"/>
        </w:rPr>
        <w:t xml:space="preserve"> at 1; Public Notice, </w:t>
      </w:r>
      <w:r>
        <w:rPr>
          <w:rFonts w:ascii="Times New Roman" w:hAnsi="Times New Roman" w:cs="Times New Roman"/>
          <w:i/>
        </w:rPr>
        <w:t>Wireless Telecommunications Bureau Seeks Comment on the State of Mobile Wireless Competition</w:t>
      </w:r>
      <w:r>
        <w:rPr>
          <w:rFonts w:ascii="Times New Roman" w:hAnsi="Times New Roman" w:cs="Times New Roman"/>
        </w:rPr>
        <w:t>, WT Docket No. 18-203, DA 18-663 (rel. June 26, 2018).</w:t>
      </w:r>
    </w:p>
  </w:footnote>
  <w:footnote w:id="12">
    <w:p w14:paraId="295EB6D9"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2018 Broadband Deployment Report at ¶ 18.</w:t>
      </w:r>
    </w:p>
  </w:footnote>
  <w:footnote w:id="13">
    <w:p w14:paraId="31997721" w14:textId="745BCCB9"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w:t>
      </w:r>
      <w:r>
        <w:rPr>
          <w:rFonts w:ascii="Times New Roman" w:hAnsi="Times New Roman" w:cs="Times New Roman"/>
        </w:rPr>
        <w:t xml:space="preserve"> </w:t>
      </w:r>
      <w:r>
        <w:rPr>
          <w:rFonts w:ascii="Times New Roman" w:hAnsi="Times New Roman" w:cs="Times New Roman"/>
          <w:i/>
        </w:rPr>
        <w:t>Evolving Preferences – Consumer Preferences Tilting Towards Mobile Broadband</w:t>
      </w:r>
      <w:r>
        <w:rPr>
          <w:rFonts w:ascii="Times New Roman" w:hAnsi="Times New Roman" w:cs="Times New Roman"/>
        </w:rPr>
        <w:t>, Internet Innovation Alliance (July 17, 2018)</w:t>
      </w:r>
      <w:r w:rsidR="00153C31">
        <w:rPr>
          <w:rFonts w:ascii="Times New Roman" w:hAnsi="Times New Roman" w:cs="Times New Roman"/>
        </w:rPr>
        <w:t xml:space="preserve">, </w:t>
      </w:r>
      <w:hyperlink r:id="rId3" w:history="1">
        <w:r w:rsidR="00153C31" w:rsidRPr="000B5E70">
          <w:rPr>
            <w:rStyle w:val="Hyperlink"/>
            <w:rFonts w:ascii="Times New Roman" w:hAnsi="Times New Roman" w:cs="Times New Roman"/>
          </w:rPr>
          <w:t>https://internetinnovation.org/special-reports/consumer-preferences-tilting-towards-mobile-broadband/</w:t>
        </w:r>
      </w:hyperlink>
      <w:r>
        <w:rPr>
          <w:rFonts w:ascii="Times New Roman" w:hAnsi="Times New Roman" w:cs="Times New Roman"/>
        </w:rPr>
        <w:t>; Comments of the Free State Foundation, WT Docket No. 18-203, at 10-14 (filed July 26, 2018).</w:t>
      </w:r>
    </w:p>
  </w:footnote>
  <w:footnote w:id="14">
    <w:p w14:paraId="677BEDB9"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 Applications of T-Mobile US, Inc. and Sprint Corp for Consent to Transfer of Control of Licenses and Authorizations</w:t>
      </w:r>
      <w:r>
        <w:rPr>
          <w:rFonts w:ascii="Times New Roman" w:hAnsi="Times New Roman" w:cs="Times New Roman"/>
        </w:rPr>
        <w:t xml:space="preserve">, WT Docket No. 18-197, Description of Transaction, Public Interest Statement, and Related Demonstrations at 63 (June 18, 2018) (“5G technologies are expected to provide a much closer substitute to high-speed BIAS because they will give carriers the capacity to handle customer demand for large amounts of data; carriers will provide data speeds and latency that are generally consistent with or exceed what consumers can get with Wi-Fi networks attached to fixed broadband; and they will charge prices per GB that will make it affordable to use mobile rather than fixed broadband.”); </w:t>
      </w:r>
      <w:r w:rsidRPr="00274BEA">
        <w:rPr>
          <w:rFonts w:ascii="Times New Roman" w:hAnsi="Times New Roman" w:cs="Times New Roman"/>
          <w:i/>
        </w:rPr>
        <w:t>For Better or Worse, Verizon Bets the Farm on 5G, Fierce Wireless</w:t>
      </w:r>
      <w:r>
        <w:rPr>
          <w:rFonts w:ascii="Times New Roman" w:hAnsi="Times New Roman" w:cs="Times New Roman"/>
        </w:rPr>
        <w:t xml:space="preserve"> (July 24, 2018) (“Vestberg reiterated that in-home residential broadband—where Verizon will use 5G to beam internet services into fixed locations like homes and offices—is just one of many types of services that Verizon will provide through 5G.”), </w:t>
      </w:r>
      <w:hyperlink r:id="rId4" w:history="1">
        <w:r>
          <w:rPr>
            <w:rStyle w:val="Hyperlink"/>
            <w:rFonts w:ascii="Times New Roman" w:hAnsi="Times New Roman" w:cs="Times New Roman"/>
          </w:rPr>
          <w:t>https://www.fiercewireless.com/5g/editor-s-corner-for-better-or-worse-verizon-bets-farm-5g</w:t>
        </w:r>
      </w:hyperlink>
      <w:r>
        <w:rPr>
          <w:rFonts w:ascii="Times New Roman" w:hAnsi="Times New Roman" w:cs="Times New Roman"/>
        </w:rPr>
        <w:t xml:space="preserve">. </w:t>
      </w:r>
    </w:p>
  </w:footnote>
  <w:footnote w:id="15">
    <w:p w14:paraId="185BD004"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 Comcast wireless growth outpaces rivals</w:t>
      </w:r>
      <w:r>
        <w:rPr>
          <w:rFonts w:ascii="Times New Roman" w:hAnsi="Times New Roman" w:cs="Times New Roman"/>
        </w:rPr>
        <w:t xml:space="preserve">, Mobile World Live (July 26, 2018), </w:t>
      </w:r>
      <w:hyperlink r:id="rId5" w:history="1">
        <w:r>
          <w:rPr>
            <w:rStyle w:val="Hyperlink"/>
            <w:rFonts w:ascii="Times New Roman" w:hAnsi="Times New Roman" w:cs="Times New Roman"/>
          </w:rPr>
          <w:t>https://www.mobileworldlive.com/featured-content/top-three/comcast-wireless-sub-growth-outpaces-rivals/</w:t>
        </w:r>
      </w:hyperlink>
      <w:r>
        <w:rPr>
          <w:rFonts w:ascii="Times New Roman" w:hAnsi="Times New Roman" w:cs="Times New Roman"/>
        </w:rPr>
        <w:t xml:space="preserve">; </w:t>
      </w:r>
      <w:r>
        <w:rPr>
          <w:rFonts w:ascii="Times New Roman" w:hAnsi="Times New Roman" w:cs="Times New Roman"/>
          <w:i/>
        </w:rPr>
        <w:t>Charter Launches Spectrum Mobile</w:t>
      </w:r>
      <w:r>
        <w:rPr>
          <w:rFonts w:ascii="Times New Roman" w:hAnsi="Times New Roman" w:cs="Times New Roman"/>
        </w:rPr>
        <w:t xml:space="preserve">, Multichannel News (July 3, 2018), </w:t>
      </w:r>
      <w:hyperlink r:id="rId6" w:history="1">
        <w:r>
          <w:rPr>
            <w:rStyle w:val="Hyperlink"/>
            <w:rFonts w:ascii="Times New Roman" w:hAnsi="Times New Roman" w:cs="Times New Roman"/>
          </w:rPr>
          <w:t>https://www.multichannel.com/news/charter-launches-spectrum-mobile</w:t>
        </w:r>
      </w:hyperlink>
      <w:r>
        <w:rPr>
          <w:rFonts w:ascii="Times New Roman" w:hAnsi="Times New Roman" w:cs="Times New Roman"/>
        </w:rPr>
        <w:t xml:space="preserve">. </w:t>
      </w:r>
    </w:p>
  </w:footnote>
  <w:footnote w:id="16">
    <w:p w14:paraId="1547DBF5" w14:textId="65CD986A"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Restoring Internet Freedom</w:t>
      </w:r>
      <w:r>
        <w:rPr>
          <w:rFonts w:ascii="Times New Roman" w:hAnsi="Times New Roman" w:cs="Times New Roman"/>
        </w:rPr>
        <w:t xml:space="preserve">, Declaratory Ruling, Order, and Report and Order, 33 FCC Rcd 311, </w:t>
      </w:r>
      <w:r w:rsidR="00274BEA">
        <w:rPr>
          <w:rFonts w:ascii="Times New Roman" w:hAnsi="Times New Roman" w:cs="Times New Roman"/>
        </w:rPr>
        <w:t>415</w:t>
      </w:r>
      <w:r>
        <w:rPr>
          <w:rFonts w:ascii="Times New Roman" w:hAnsi="Times New Roman" w:cs="Times New Roman"/>
        </w:rPr>
        <w:t>, ¶ 171 (2018) (</w:t>
      </w:r>
      <w:r>
        <w:rPr>
          <w:rFonts w:ascii="Times New Roman" w:hAnsi="Times New Roman" w:cs="Times New Roman"/>
          <w:i/>
        </w:rPr>
        <w:t>RIF Order</w:t>
      </w:r>
      <w:r>
        <w:rPr>
          <w:rFonts w:ascii="Times New Roman" w:hAnsi="Times New Roman" w:cs="Times New Roman"/>
        </w:rPr>
        <w:t>) (“[E]dge providers, including OVDs, are complementary to ISPs’ broadband business, and reducing the value of these complementary products would harm ISPs by reducing demand for their services.”);</w:t>
      </w:r>
      <w:r>
        <w:rPr>
          <w:rFonts w:ascii="Times New Roman" w:hAnsi="Times New Roman" w:cs="Times New Roman"/>
          <w:b/>
        </w:rPr>
        <w:t xml:space="preserve"> </w:t>
      </w:r>
      <w:r>
        <w:rPr>
          <w:rFonts w:ascii="Times New Roman" w:hAnsi="Times New Roman" w:cs="Times New Roman"/>
          <w:i/>
        </w:rPr>
        <w:t>Protecting and Promoting the Open Internet</w:t>
      </w:r>
      <w:r>
        <w:rPr>
          <w:rFonts w:ascii="Times New Roman" w:hAnsi="Times New Roman" w:cs="Times New Roman"/>
        </w:rPr>
        <w:t xml:space="preserve">, GN Docket No. 14-28, Report and Order on Remand, Declaratory Ruling, and Order, 30 FCC Rcd </w:t>
      </w:r>
      <w:r w:rsidR="00274BEA">
        <w:rPr>
          <w:rFonts w:ascii="Times New Roman" w:hAnsi="Times New Roman" w:cs="Times New Roman"/>
        </w:rPr>
        <w:t>5601</w:t>
      </w:r>
      <w:r>
        <w:rPr>
          <w:rFonts w:ascii="Times New Roman" w:hAnsi="Times New Roman" w:cs="Times New Roman"/>
        </w:rPr>
        <w:t xml:space="preserve">, </w:t>
      </w:r>
      <w:r w:rsidR="00274BEA">
        <w:rPr>
          <w:rFonts w:ascii="Times New Roman" w:hAnsi="Times New Roman" w:cs="Times New Roman"/>
        </w:rPr>
        <w:t>5753</w:t>
      </w:r>
      <w:r>
        <w:rPr>
          <w:rFonts w:ascii="Times New Roman" w:hAnsi="Times New Roman" w:cs="Times New Roman"/>
        </w:rPr>
        <w:t>, ¶ 347 (2015) (“This widespread penetration of broadband Internet access service has led to the development of third-party services and devices and has increased the modular way consumers have come to use them. As more American households have gained access to broadband Internet access service, the market for Internet-based services provided by parties other than broadband Internet access providers has flourished.”).</w:t>
      </w:r>
    </w:p>
  </w:footnote>
  <w:footnote w:id="17">
    <w:p w14:paraId="00CE09D1"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w:t>
      </w:r>
      <w:r>
        <w:rPr>
          <w:rFonts w:ascii="Times New Roman" w:hAnsi="Times New Roman" w:cs="Times New Roman"/>
        </w:rPr>
        <w:t xml:space="preserve"> Blair Levin, </w:t>
      </w:r>
      <w:r>
        <w:rPr>
          <w:rFonts w:ascii="Times New Roman" w:hAnsi="Times New Roman" w:cs="Times New Roman"/>
          <w:smallCaps/>
        </w:rPr>
        <w:t>Achieving Bandwidth Abundance: The Three Policy Levers for Intensifying Broadband Competition</w:t>
      </w:r>
      <w:r>
        <w:rPr>
          <w:rFonts w:ascii="Times New Roman" w:hAnsi="Times New Roman" w:cs="Times New Roman"/>
        </w:rPr>
        <w:t xml:space="preserve">, 68 Fed. Comm. Law J. 397, 410 (2016) (“In the summer of 2009, the National Broadband Plan team looked at the data and realized that for the first time since the beginning of the commercial Internet, there was no national carrier with plans to deploy a better network than the current best available network. The data suggested, and subsequent experience confirmed, that current market forces would not drive deployment of world-leading wireline networks in the United States.”); Eduardo Porter, </w:t>
      </w:r>
      <w:r>
        <w:rPr>
          <w:rFonts w:ascii="Times New Roman" w:hAnsi="Times New Roman" w:cs="Times New Roman"/>
          <w:i/>
        </w:rPr>
        <w:t>Yanking Broadband from the Slow Lane</w:t>
      </w:r>
      <w:r>
        <w:rPr>
          <w:rFonts w:ascii="Times New Roman" w:hAnsi="Times New Roman" w:cs="Times New Roman"/>
        </w:rPr>
        <w:t>, New York Times (May 7, 2013) (“What’s most worrying is that the handful of companies offering high-speed broadband to American consumers may have little incentive to expand their networks, increase their speeds and lower their prices.”).</w:t>
      </w:r>
    </w:p>
  </w:footnote>
  <w:footnote w:id="18">
    <w:p w14:paraId="7B5B5929"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 Charter’s ‘Summer of Gig’ Promotion Brings Spectrum Gigabit to 6 Million More Locations</w:t>
      </w:r>
      <w:r>
        <w:rPr>
          <w:rFonts w:ascii="Times New Roman" w:hAnsi="Times New Roman" w:cs="Times New Roman"/>
        </w:rPr>
        <w:t xml:space="preserve">, Telecompetitor (Aug. 10, 2018) (“Charter now reports Spectrum gigabit service is available to 70% of their footprint.”), </w:t>
      </w:r>
      <w:hyperlink r:id="rId7" w:history="1">
        <w:r>
          <w:rPr>
            <w:rStyle w:val="Hyperlink"/>
            <w:rFonts w:ascii="Times New Roman" w:hAnsi="Times New Roman" w:cs="Times New Roman"/>
          </w:rPr>
          <w:t>https://www.telecompetitor.com/charters-summer-of-gig-promotion-brings-spectrum-gigabit-to-6-million-more-locations/</w:t>
        </w:r>
      </w:hyperlink>
      <w:r>
        <w:rPr>
          <w:rFonts w:ascii="Times New Roman" w:hAnsi="Times New Roman" w:cs="Times New Roman"/>
        </w:rPr>
        <w:t xml:space="preserve">; </w:t>
      </w:r>
      <w:r>
        <w:rPr>
          <w:rFonts w:ascii="Times New Roman" w:hAnsi="Times New Roman" w:cs="Times New Roman"/>
          <w:i/>
        </w:rPr>
        <w:t>Gig-speed Internet from Xfinity is here. This changes everything</w:t>
      </w:r>
      <w:r>
        <w:rPr>
          <w:rFonts w:ascii="Times New Roman" w:hAnsi="Times New Roman" w:cs="Times New Roman"/>
        </w:rPr>
        <w:t xml:space="preserve">., Comcast website (showing nationwide gigabit rollout), </w:t>
      </w:r>
      <w:hyperlink r:id="rId8" w:history="1">
        <w:r>
          <w:rPr>
            <w:rStyle w:val="Hyperlink"/>
            <w:rFonts w:ascii="Times New Roman" w:hAnsi="Times New Roman" w:cs="Times New Roman"/>
          </w:rPr>
          <w:t>https://www.xfinity.com/gig</w:t>
        </w:r>
      </w:hyperlink>
      <w:r>
        <w:rPr>
          <w:rFonts w:ascii="Times New Roman" w:hAnsi="Times New Roman" w:cs="Times New Roman"/>
        </w:rPr>
        <w:t xml:space="preserve">. </w:t>
      </w:r>
    </w:p>
  </w:footnote>
  <w:footnote w:id="19">
    <w:p w14:paraId="7A78699C" w14:textId="477DC154"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How Netflix Went from Pioneer to Powerhouse</w:t>
      </w:r>
      <w:r>
        <w:rPr>
          <w:rFonts w:ascii="Times New Roman" w:hAnsi="Times New Roman" w:cs="Times New Roman"/>
        </w:rPr>
        <w:t>, BBC News (July 22, 2018) (“</w:t>
      </w:r>
      <w:r w:rsidR="004E2EA9" w:rsidRPr="004E2EA9">
        <w:rPr>
          <w:rFonts w:ascii="Times New Roman" w:hAnsi="Times New Roman" w:cs="Times New Roman"/>
        </w:rPr>
        <w:t>About 79% of US households paid for cable or satellite service, according to a September 2017 survey by the Leichtman Research Group. That compared to a peak of 88% in 2010</w:t>
      </w:r>
      <w:r>
        <w:rPr>
          <w:rFonts w:ascii="Times New Roman" w:hAnsi="Times New Roman" w:cs="Times New Roman"/>
        </w:rPr>
        <w:t xml:space="preserve">.”), </w:t>
      </w:r>
      <w:hyperlink r:id="rId9" w:history="1">
        <w:r>
          <w:rPr>
            <w:rStyle w:val="Hyperlink"/>
            <w:rFonts w:ascii="Times New Roman" w:hAnsi="Times New Roman" w:cs="Times New Roman"/>
          </w:rPr>
          <w:t>https://www.bbc.com/news/business-44904368</w:t>
        </w:r>
      </w:hyperlink>
      <w:r>
        <w:rPr>
          <w:rFonts w:ascii="Times New Roman" w:hAnsi="Times New Roman" w:cs="Times New Roman"/>
        </w:rPr>
        <w:t>.</w:t>
      </w:r>
    </w:p>
  </w:footnote>
  <w:footnote w:id="20">
    <w:p w14:paraId="78788AD1" w14:textId="3FA4BD52"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 xml:space="preserve">Federal Communications Commission, </w:t>
      </w:r>
      <w:r>
        <w:rPr>
          <w:rFonts w:ascii="Times New Roman" w:hAnsi="Times New Roman" w:cs="Times New Roman"/>
          <w:i/>
        </w:rPr>
        <w:t>Internet Access Services: Status as of December 31, 2016</w:t>
      </w:r>
      <w:r>
        <w:rPr>
          <w:rFonts w:ascii="Times New Roman" w:hAnsi="Times New Roman" w:cs="Times New Roman"/>
        </w:rPr>
        <w:t xml:space="preserve">, at 6, Figure 4 (Feb. 2018), </w:t>
      </w:r>
      <w:hyperlink r:id="rId10" w:history="1">
        <w:r>
          <w:rPr>
            <w:rStyle w:val="Hyperlink"/>
            <w:rFonts w:ascii="Times New Roman" w:hAnsi="Times New Roman" w:cs="Times New Roman"/>
          </w:rPr>
          <w:t>https://docs.fcc.gov/public/attachments/DOC-349074A1.pdf</w:t>
        </w:r>
      </w:hyperlink>
      <w:r>
        <w:rPr>
          <w:rFonts w:ascii="Times New Roman" w:hAnsi="Times New Roman" w:cs="Times New Roman"/>
        </w:rPr>
        <w:t xml:space="preserve"> (“</w:t>
      </w:r>
      <w:r w:rsidR="00274BEA">
        <w:rPr>
          <w:rFonts w:ascii="Times New Roman" w:hAnsi="Times New Roman" w:cs="Times New Roman"/>
        </w:rPr>
        <w:t>February 2018</w:t>
      </w:r>
      <w:r>
        <w:rPr>
          <w:rFonts w:ascii="Times New Roman" w:hAnsi="Times New Roman" w:cs="Times New Roman"/>
        </w:rPr>
        <w:t xml:space="preserve"> IAS Report”). </w:t>
      </w:r>
    </w:p>
  </w:footnote>
  <w:footnote w:id="21">
    <w:p w14:paraId="43726B96" w14:textId="4929305C"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 xml:space="preserve">Federal Communications Commission, </w:t>
      </w:r>
      <w:r>
        <w:rPr>
          <w:rFonts w:ascii="Times New Roman" w:hAnsi="Times New Roman" w:cs="Times New Roman"/>
          <w:i/>
        </w:rPr>
        <w:t>Internet Access Services: Status as of December 31, 2015</w:t>
      </w:r>
      <w:r>
        <w:rPr>
          <w:rFonts w:ascii="Times New Roman" w:hAnsi="Times New Roman" w:cs="Times New Roman"/>
        </w:rPr>
        <w:t xml:space="preserve">, at 6, Figure 4 (Nov. 2016), </w:t>
      </w:r>
      <w:hyperlink r:id="rId11" w:history="1">
        <w:r w:rsidR="00273D0C" w:rsidRPr="00594CAB">
          <w:rPr>
            <w:rStyle w:val="Hyperlink"/>
            <w:rFonts w:ascii="Times New Roman" w:hAnsi="Times New Roman" w:cs="Times New Roman"/>
          </w:rPr>
          <w:t>https://docs.fcc.gov/public/attachments/DOC-342358A1.pdf</w:t>
        </w:r>
      </w:hyperlink>
      <w:r>
        <w:rPr>
          <w:rFonts w:ascii="Times New Roman" w:hAnsi="Times New Roman" w:cs="Times New Roman"/>
        </w:rPr>
        <w:t xml:space="preserve">. </w:t>
      </w:r>
    </w:p>
  </w:footnote>
  <w:footnote w:id="22">
    <w:p w14:paraId="1796367B" w14:textId="4C310C24"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sidR="00274BEA">
        <w:rPr>
          <w:rFonts w:ascii="Times New Roman" w:hAnsi="Times New Roman" w:cs="Times New Roman"/>
        </w:rPr>
        <w:t>Febr</w:t>
      </w:r>
      <w:r w:rsidR="0044399C">
        <w:rPr>
          <w:rFonts w:ascii="Times New Roman" w:hAnsi="Times New Roman" w:cs="Times New Roman"/>
        </w:rPr>
        <w:t>u</w:t>
      </w:r>
      <w:r w:rsidR="00274BEA">
        <w:rPr>
          <w:rFonts w:ascii="Times New Roman" w:hAnsi="Times New Roman" w:cs="Times New Roman"/>
        </w:rPr>
        <w:t>ary 2018</w:t>
      </w:r>
      <w:r>
        <w:rPr>
          <w:rFonts w:ascii="Times New Roman" w:hAnsi="Times New Roman" w:cs="Times New Roman"/>
        </w:rPr>
        <w:t xml:space="preserve"> IAS Report</w:t>
      </w:r>
      <w:r>
        <w:rPr>
          <w:rFonts w:ascii="Times New Roman" w:hAnsi="Times New Roman" w:cs="Times New Roman"/>
          <w:i/>
        </w:rPr>
        <w:t xml:space="preserve"> </w:t>
      </w:r>
      <w:r>
        <w:rPr>
          <w:rFonts w:ascii="Times New Roman" w:hAnsi="Times New Roman" w:cs="Times New Roman"/>
        </w:rPr>
        <w:t xml:space="preserve">at </w:t>
      </w:r>
      <w:r w:rsidR="00274BEA">
        <w:rPr>
          <w:rFonts w:ascii="Times New Roman" w:hAnsi="Times New Roman" w:cs="Times New Roman"/>
        </w:rPr>
        <w:t>6, Figure 4</w:t>
      </w:r>
      <w:r>
        <w:rPr>
          <w:rFonts w:ascii="Times New Roman" w:hAnsi="Times New Roman" w:cs="Times New Roman"/>
        </w:rPr>
        <w:t>.  Moreover, these numbers understate the current reality in the marketplace.  Data from December 2016 does not capture the billions of dollars that have been invested in 2017 and 2018, which has produced increased speeds, increased expansion to unserved areas, and increased competition.</w:t>
      </w:r>
    </w:p>
  </w:footnote>
  <w:footnote w:id="23">
    <w:p w14:paraId="78B4D01E" w14:textId="1F20A448"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Frost &amp; Sullivan: Small communications satellites to surge by 2030</w:t>
      </w:r>
      <w:r>
        <w:rPr>
          <w:rFonts w:ascii="Times New Roman" w:hAnsi="Times New Roman" w:cs="Times New Roman"/>
        </w:rPr>
        <w:t xml:space="preserve">, FierceWireless (Aug. 13, 2018), </w:t>
      </w:r>
      <w:hyperlink r:id="rId12" w:history="1">
        <w:r w:rsidR="00273D0C" w:rsidRPr="00594CAB">
          <w:rPr>
            <w:rStyle w:val="Hyperlink"/>
            <w:rFonts w:ascii="Times New Roman" w:hAnsi="Times New Roman" w:cs="Times New Roman"/>
          </w:rPr>
          <w:t>https://www.fiercewireless.com/tech/frost-sullivan-small-communications-satellites-to-surge-by-2030</w:t>
        </w:r>
      </w:hyperlink>
      <w:r>
        <w:rPr>
          <w:rFonts w:ascii="Times New Roman" w:hAnsi="Times New Roman" w:cs="Times New Roman"/>
        </w:rPr>
        <w:t>.</w:t>
      </w:r>
    </w:p>
  </w:footnote>
  <w:footnote w:id="24">
    <w:p w14:paraId="4BA0FB05" w14:textId="2570D7DE"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 xml:space="preserve">The incredible deployment of gigabit services by cable operators will not be fully captured by the Commission’s current </w:t>
      </w:r>
      <w:r w:rsidR="00FB7705">
        <w:rPr>
          <w:rFonts w:ascii="Times New Roman" w:hAnsi="Times New Roman" w:cs="Times New Roman"/>
        </w:rPr>
        <w:t>broadband map</w:t>
      </w:r>
      <w:r>
        <w:rPr>
          <w:rFonts w:ascii="Times New Roman" w:hAnsi="Times New Roman" w:cs="Times New Roman"/>
        </w:rPr>
        <w:t xml:space="preserve">.  Specifically, the Commission’s arbitrary definition of gigabit services as those offering 100 Mbps upload speeds will radically understate the progress cable operators have made in expanding the availability of such services.  The Commission should revisit this definition </w:t>
      </w:r>
      <w:r w:rsidR="00FB7705">
        <w:rPr>
          <w:rFonts w:ascii="Times New Roman" w:hAnsi="Times New Roman" w:cs="Times New Roman"/>
        </w:rPr>
        <w:t>before releasing a new version of the map</w:t>
      </w:r>
      <w:r>
        <w:rPr>
          <w:rFonts w:ascii="Times New Roman" w:hAnsi="Times New Roman" w:cs="Times New Roman"/>
        </w:rPr>
        <w:t>.</w:t>
      </w:r>
    </w:p>
  </w:footnote>
  <w:footnote w:id="25">
    <w:p w14:paraId="79CACCD9"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47 U.S.C. § 163(b)(3).</w:t>
      </w:r>
    </w:p>
  </w:footnote>
  <w:footnote w:id="26">
    <w:p w14:paraId="74219F75" w14:textId="10927268"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RIF Order</w:t>
      </w:r>
      <w:r>
        <w:rPr>
          <w:rFonts w:ascii="Times New Roman" w:hAnsi="Times New Roman" w:cs="Times New Roman"/>
        </w:rPr>
        <w:t xml:space="preserve">, 33 FCC Rcd at </w:t>
      </w:r>
      <w:r w:rsidR="00713A63">
        <w:rPr>
          <w:rFonts w:ascii="Times New Roman" w:hAnsi="Times New Roman" w:cs="Times New Roman"/>
        </w:rPr>
        <w:t>364</w:t>
      </w:r>
      <w:r>
        <w:rPr>
          <w:rFonts w:ascii="Times New Roman" w:hAnsi="Times New Roman" w:cs="Times New Roman"/>
        </w:rPr>
        <w:t xml:space="preserve">, ¶ 88 (“The Commission has long recognized that regulatory burdens and uncertainty, such as those inherent in Title II, can deter investment by regulated entities and, until the </w:t>
      </w:r>
      <w:r>
        <w:rPr>
          <w:rFonts w:ascii="Times New Roman" w:hAnsi="Times New Roman" w:cs="Times New Roman"/>
          <w:i/>
        </w:rPr>
        <w:t>Title II Order</w:t>
      </w:r>
      <w:r>
        <w:rPr>
          <w:rFonts w:ascii="Times New Roman" w:hAnsi="Times New Roman" w:cs="Times New Roman"/>
        </w:rPr>
        <w:t>, its regulatory framework for cable, wireline, and wireless broadband Internet access services reflected that reality.”).</w:t>
      </w:r>
    </w:p>
  </w:footnote>
  <w:footnote w:id="27">
    <w:p w14:paraId="48EF4ACF" w14:textId="529C2560"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Id</w:t>
      </w:r>
      <w:r>
        <w:rPr>
          <w:rFonts w:ascii="Times New Roman" w:hAnsi="Times New Roman" w:cs="Times New Roman"/>
        </w:rPr>
        <w:t xml:space="preserve">. at </w:t>
      </w:r>
      <w:r w:rsidR="00713A63">
        <w:rPr>
          <w:rFonts w:ascii="Times New Roman" w:hAnsi="Times New Roman" w:cs="Times New Roman"/>
        </w:rPr>
        <w:t>368</w:t>
      </w:r>
      <w:r>
        <w:rPr>
          <w:rFonts w:ascii="Times New Roman" w:hAnsi="Times New Roman" w:cs="Times New Roman"/>
        </w:rPr>
        <w:t>, ¶ 98 (“In light of the foregoing record evidence, we conclude that reclassification of broadband Internet access service from Title II to Title I is likely to increase ISP investment and output.”).</w:t>
      </w:r>
    </w:p>
  </w:footnote>
  <w:footnote w:id="28">
    <w:p w14:paraId="1F15B20E" w14:textId="43CF61B9"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Business Data Services in an Internet Protocol Environment</w:t>
      </w:r>
      <w:r>
        <w:rPr>
          <w:rFonts w:ascii="Times New Roman" w:hAnsi="Times New Roman" w:cs="Times New Roman"/>
        </w:rPr>
        <w:t xml:space="preserve">, WC Docket No. 16-143, Report and Order, 32 FCC Rcd </w:t>
      </w:r>
      <w:r w:rsidR="00713A63">
        <w:rPr>
          <w:rFonts w:ascii="Times New Roman" w:hAnsi="Times New Roman" w:cs="Times New Roman"/>
        </w:rPr>
        <w:t>3459, 3462, ¶ 4 (“Indeed, there is a significant likelihood that ex ante pricing regulation will inhibit growth and investment.  In such circumstances, we should not continue unnecessary regulations, much less extend them to new services or providers.”)</w:t>
      </w:r>
      <w:r>
        <w:rPr>
          <w:rFonts w:ascii="Times New Roman" w:hAnsi="Times New Roman" w:cs="Times New Roman"/>
        </w:rPr>
        <w:t xml:space="preserve"> (2017).</w:t>
      </w:r>
    </w:p>
  </w:footnote>
  <w:footnote w:id="29">
    <w:p w14:paraId="1E5C882C" w14:textId="77777777" w:rsidR="00256DBA" w:rsidRDefault="009C520A">
      <w:pPr>
        <w:pStyle w:val="FootnoteText"/>
        <w:spacing w:after="120"/>
        <w:ind w:left="360" w:hanging="360"/>
        <w:rPr>
          <w:rFonts w:ascii="Times New Roman" w:hAnsi="Times New Roman" w:cs="Times New Roman"/>
          <w:b/>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See, e.g., Charter’s Enterprise Unit Earmarks $1B-Plus for Fiber Plan</w:t>
      </w:r>
      <w:r>
        <w:rPr>
          <w:rFonts w:ascii="Times New Roman" w:hAnsi="Times New Roman" w:cs="Times New Roman"/>
        </w:rPr>
        <w:t xml:space="preserve">, Multichannel News (May 14, 2018), </w:t>
      </w:r>
      <w:hyperlink r:id="rId13" w:history="1">
        <w:r>
          <w:rPr>
            <w:rStyle w:val="Hyperlink"/>
            <w:rFonts w:ascii="Times New Roman" w:hAnsi="Times New Roman" w:cs="Times New Roman"/>
          </w:rPr>
          <w:t>https://www.multichannel.com/news/charters-enterprise-unit-earmarks-1b-plus-fiber-plan</w:t>
        </w:r>
      </w:hyperlink>
      <w:r>
        <w:rPr>
          <w:rFonts w:ascii="Times New Roman" w:hAnsi="Times New Roman" w:cs="Times New Roman"/>
        </w:rPr>
        <w:t xml:space="preserve">; </w:t>
      </w:r>
      <w:r>
        <w:rPr>
          <w:rFonts w:ascii="Times New Roman" w:hAnsi="Times New Roman" w:cs="Times New Roman"/>
          <w:i/>
        </w:rPr>
        <w:t>More than half of U.S. buildings connected to fiber: Vertical Systems Group</w:t>
      </w:r>
      <w:r>
        <w:rPr>
          <w:rFonts w:ascii="Times New Roman" w:hAnsi="Times New Roman" w:cs="Times New Roman"/>
        </w:rPr>
        <w:t xml:space="preserve">, Lightwave Online (Apr. 6, 2018) (“‘More commercial U.S. buildings were newly lit with fiber during 2017 than in any other year since we initiated this research in 2004. The number of net new fiber lit buildings increased across every building size segment, and most substantially for medium size sites,’ said Rosemary Cochran, principal at Vertical Systems Group. ‘Deployments will continue to accelerate because fiber is both a strategic asset for delivery of wireline business services, as well as a necessity for enabling 5G.’"), </w:t>
      </w:r>
      <w:hyperlink r:id="rId14" w:history="1">
        <w:r>
          <w:rPr>
            <w:rStyle w:val="Hyperlink"/>
            <w:rFonts w:ascii="Times New Roman" w:hAnsi="Times New Roman" w:cs="Times New Roman"/>
          </w:rPr>
          <w:t>https://www.lightwaveonline.com/articles/2018/04/more-than-half-of-u-s-buildings-connected-to-fiber-vertical-systems-group.html</w:t>
        </w:r>
      </w:hyperlink>
      <w:r>
        <w:rPr>
          <w:rFonts w:ascii="Times New Roman" w:hAnsi="Times New Roman" w:cs="Times New Roman"/>
        </w:rPr>
        <w:t>.</w:t>
      </w:r>
    </w:p>
  </w:footnote>
  <w:footnote w:id="30">
    <w:p w14:paraId="5EE0C597"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Accelerating Wireline Broadband Deployment by Removing Barriers to Infrastructure Investment</w:t>
      </w:r>
      <w:r>
        <w:rPr>
          <w:rFonts w:ascii="Times New Roman" w:hAnsi="Times New Roman" w:cs="Times New Roman"/>
        </w:rPr>
        <w:t xml:space="preserve">, WC Docket No. 17-84, Notice of Proposed Rulemaking, Notice of Inquiry, and Request for Comment, 32 FCC Rcd 3266 (2017); </w:t>
      </w:r>
      <w:r>
        <w:rPr>
          <w:rFonts w:ascii="Times New Roman" w:hAnsi="Times New Roman" w:cs="Times New Roman"/>
          <w:i/>
        </w:rPr>
        <w:t>Accelerating Wireless Broadband Deployment by Removing Barriers to Infrastructure Investment</w:t>
      </w:r>
      <w:r>
        <w:rPr>
          <w:rFonts w:ascii="Times New Roman" w:hAnsi="Times New Roman" w:cs="Times New Roman"/>
        </w:rPr>
        <w:t xml:space="preserve">, WT Docket No. 17-79, Notice of Proposed Rulemaking and Notice of Inquiry, 32 FCC Rcd 3330 (2017). </w:t>
      </w:r>
    </w:p>
  </w:footnote>
  <w:footnote w:id="31">
    <w:p w14:paraId="7009283D" w14:textId="4904B62B"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Accelerating Wireline Broadband Deployment by Removing Barriers to Infrastructure Investment</w:t>
      </w:r>
      <w:r>
        <w:rPr>
          <w:rFonts w:ascii="Times New Roman" w:hAnsi="Times New Roman" w:cs="Times New Roman"/>
        </w:rPr>
        <w:t xml:space="preserve">, WC Docket No. 17-84, Report and Order, Declaratory Ruling, and Further Notice of Proposed Rulemaking, 32 FCC Rcd </w:t>
      </w:r>
      <w:r w:rsidR="00713A63">
        <w:rPr>
          <w:rFonts w:ascii="Times New Roman" w:hAnsi="Times New Roman" w:cs="Times New Roman"/>
        </w:rPr>
        <w:t>11128</w:t>
      </w:r>
      <w:r>
        <w:rPr>
          <w:rFonts w:ascii="Times New Roman" w:hAnsi="Times New Roman" w:cs="Times New Roman"/>
        </w:rPr>
        <w:t xml:space="preserve"> (2017).</w:t>
      </w:r>
    </w:p>
  </w:footnote>
  <w:footnote w:id="32">
    <w:p w14:paraId="2A59AC10" w14:textId="5E3FADB3"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Accelerating Wireless Broadband Deployment by Removing Barriers to Infrastructure Investment</w:t>
      </w:r>
      <w:r>
        <w:rPr>
          <w:rFonts w:ascii="Times New Roman" w:hAnsi="Times New Roman" w:cs="Times New Roman"/>
        </w:rPr>
        <w:t xml:space="preserve">, WT Docket No. 17-79, Second Report and Order, </w:t>
      </w:r>
      <w:r w:rsidR="00713A63">
        <w:rPr>
          <w:rFonts w:ascii="Times New Roman" w:hAnsi="Times New Roman" w:cs="Times New Roman"/>
        </w:rPr>
        <w:t>FCC 18-30</w:t>
      </w:r>
      <w:r>
        <w:rPr>
          <w:rFonts w:ascii="Times New Roman" w:hAnsi="Times New Roman" w:cs="Times New Roman"/>
        </w:rPr>
        <w:t xml:space="preserve"> (2018).</w:t>
      </w:r>
    </w:p>
  </w:footnote>
  <w:footnote w:id="33">
    <w:p w14:paraId="4D2ABE0C"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 xml:space="preserve">See </w:t>
      </w:r>
      <w:r>
        <w:rPr>
          <w:rFonts w:ascii="Times New Roman" w:hAnsi="Times New Roman" w:cs="Times New Roman"/>
        </w:rPr>
        <w:t>Letter from Rick Chessen, NCTA, to Marlene H. Dortch, Secretary, Federal Communications Commission, WC Docket No. 17-84 (June 11, 2018).</w:t>
      </w:r>
    </w:p>
  </w:footnote>
  <w:footnote w:id="34">
    <w:p w14:paraId="7BC9C333"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Id.</w:t>
      </w:r>
      <w:r>
        <w:rPr>
          <w:rFonts w:ascii="Times New Roman" w:hAnsi="Times New Roman" w:cs="Times New Roman"/>
        </w:rPr>
        <w:t xml:space="preserve"> at 3-7.</w:t>
      </w:r>
    </w:p>
  </w:footnote>
  <w:footnote w:id="35">
    <w:p w14:paraId="06526A80"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rPr>
        <w:t>Id.</w:t>
      </w:r>
      <w:r>
        <w:rPr>
          <w:rFonts w:ascii="Times New Roman" w:hAnsi="Times New Roman" w:cs="Times New Roman"/>
        </w:rPr>
        <w:t xml:space="preserve"> at 3-9.</w:t>
      </w:r>
    </w:p>
  </w:footnote>
  <w:footnote w:id="36">
    <w:p w14:paraId="22CC646D"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Letter from Mark Shepard, City Manager, Corvallis, Oregon, to Marlene H. Dortch, Secretary, Federal Communications Commission, WC Docket No. 17-84 (July 26, 2018).</w:t>
      </w:r>
    </w:p>
  </w:footnote>
  <w:footnote w:id="37">
    <w:p w14:paraId="17051D5F" w14:textId="6FBFB8E0" w:rsidR="00185C47" w:rsidRPr="00185C47" w:rsidRDefault="00185C47" w:rsidP="00185C47">
      <w:pPr>
        <w:pStyle w:val="FootnoteText"/>
        <w:spacing w:after="120"/>
        <w:ind w:left="360" w:hanging="360"/>
        <w:rPr>
          <w:rFonts w:ascii="Times New Roman" w:hAnsi="Times New Roman" w:cs="Times New Roman"/>
        </w:rPr>
      </w:pPr>
      <w:r w:rsidRPr="00185C47">
        <w:rPr>
          <w:rStyle w:val="FootnoteReference"/>
          <w:rFonts w:ascii="Times New Roman" w:hAnsi="Times New Roman" w:cs="Times New Roman"/>
        </w:rPr>
        <w:footnoteRef/>
      </w:r>
      <w:r w:rsidRPr="00185C47">
        <w:rPr>
          <w:rFonts w:ascii="Times New Roman" w:hAnsi="Times New Roman" w:cs="Times New Roman"/>
        </w:rPr>
        <w:t xml:space="preserve"> </w:t>
      </w:r>
      <w:r>
        <w:rPr>
          <w:rFonts w:ascii="Times New Roman" w:hAnsi="Times New Roman" w:cs="Times New Roman"/>
        </w:rPr>
        <w:tab/>
      </w:r>
      <w:r w:rsidRPr="00185C47">
        <w:rPr>
          <w:rFonts w:ascii="Times New Roman" w:hAnsi="Times New Roman" w:cs="Times New Roman"/>
          <w:i/>
        </w:rPr>
        <w:t>Connect America Fund</w:t>
      </w:r>
      <w:r>
        <w:rPr>
          <w:rFonts w:ascii="Times New Roman" w:hAnsi="Times New Roman" w:cs="Times New Roman"/>
        </w:rPr>
        <w:t xml:space="preserve">, WC Docket No. 10-90, </w:t>
      </w:r>
      <w:r w:rsidR="0036484A">
        <w:rPr>
          <w:rFonts w:ascii="Times New Roman" w:hAnsi="Times New Roman" w:cs="Times New Roman"/>
        </w:rPr>
        <w:t xml:space="preserve">Report and Order and Further Notice of Proposed Rulemaking, </w:t>
      </w:r>
      <w:r w:rsidR="00852C93">
        <w:rPr>
          <w:rFonts w:ascii="Times New Roman" w:hAnsi="Times New Roman" w:cs="Times New Roman"/>
        </w:rPr>
        <w:t>26</w:t>
      </w:r>
      <w:r w:rsidR="0036484A">
        <w:rPr>
          <w:rFonts w:ascii="Times New Roman" w:hAnsi="Times New Roman" w:cs="Times New Roman"/>
        </w:rPr>
        <w:t xml:space="preserve"> FCC Rcd </w:t>
      </w:r>
      <w:r w:rsidR="00852C93">
        <w:rPr>
          <w:rFonts w:ascii="Times New Roman" w:hAnsi="Times New Roman" w:cs="Times New Roman"/>
        </w:rPr>
        <w:t>17663</w:t>
      </w:r>
      <w:r w:rsidR="0036484A">
        <w:rPr>
          <w:rFonts w:ascii="Times New Roman" w:hAnsi="Times New Roman" w:cs="Times New Roman"/>
        </w:rPr>
        <w:t xml:space="preserve">, </w:t>
      </w:r>
      <w:r w:rsidR="00852C93">
        <w:rPr>
          <w:rFonts w:ascii="Times New Roman" w:hAnsi="Times New Roman" w:cs="Times New Roman"/>
        </w:rPr>
        <w:t>17727</w:t>
      </w:r>
      <w:r w:rsidR="0036484A">
        <w:rPr>
          <w:rFonts w:ascii="Times New Roman" w:hAnsi="Times New Roman" w:cs="Times New Roman"/>
        </w:rPr>
        <w:t xml:space="preserve">, ¶ </w:t>
      </w:r>
      <w:r w:rsidR="005E1042">
        <w:rPr>
          <w:rFonts w:ascii="Times New Roman" w:hAnsi="Times New Roman" w:cs="Times New Roman"/>
        </w:rPr>
        <w:t>165</w:t>
      </w:r>
      <w:r w:rsidR="0036484A">
        <w:rPr>
          <w:rFonts w:ascii="Times New Roman" w:hAnsi="Times New Roman" w:cs="Times New Roman"/>
        </w:rPr>
        <w:t xml:space="preserve"> (2011) (“</w:t>
      </w:r>
      <w:r w:rsidR="0036484A" w:rsidRPr="0036484A">
        <w:rPr>
          <w:rFonts w:ascii="Times New Roman" w:hAnsi="Times New Roman" w:cs="Times New Roman"/>
        </w:rPr>
        <w:t>We conclude that the Connect America Fund should ultimately rely on market-based mechanisms, such as competitive bidding, to ensure the most efficient and effective use of public resources.</w:t>
      </w:r>
      <w:r w:rsidR="0036484A">
        <w:rPr>
          <w:rFonts w:ascii="Times New Roman" w:hAnsi="Times New Roman" w:cs="Times New Roman"/>
        </w:rPr>
        <w:t>”).</w:t>
      </w:r>
    </w:p>
  </w:footnote>
  <w:footnote w:id="38">
    <w:p w14:paraId="16357EB8" w14:textId="77777777" w:rsidR="00256DBA" w:rsidRDefault="009C520A">
      <w:pPr>
        <w:pStyle w:val="FootnoteText"/>
        <w:spacing w:after="120"/>
        <w:ind w:left="360" w:hanging="36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ab/>
        <w:t>Comments of NCTA—The Internet &amp; Television Association, WC Docket No. 10-90 at 2 (May 25,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97157"/>
    <w:multiLevelType w:val="hybridMultilevel"/>
    <w:tmpl w:val="E6A87A76"/>
    <w:lvl w:ilvl="0" w:tplc="E99E1642">
      <w:start w:val="1"/>
      <w:numFmt w:val="bullet"/>
      <w:lvlText w:val=""/>
      <w:lvlJc w:val="left"/>
      <w:pPr>
        <w:ind w:left="720" w:hanging="360"/>
      </w:pPr>
      <w:rPr>
        <w:rFonts w:ascii="Symbol" w:hAnsi="Symbol" w:hint="default"/>
      </w:rPr>
    </w:lvl>
    <w:lvl w:ilvl="1" w:tplc="5B400F86">
      <w:start w:val="1"/>
      <w:numFmt w:val="bullet"/>
      <w:lvlText w:val="o"/>
      <w:lvlJc w:val="left"/>
      <w:pPr>
        <w:ind w:left="1440" w:hanging="360"/>
      </w:pPr>
      <w:rPr>
        <w:rFonts w:ascii="Courier New" w:hAnsi="Courier New" w:cs="Courier New" w:hint="default"/>
      </w:rPr>
    </w:lvl>
    <w:lvl w:ilvl="2" w:tplc="EC1C7E82">
      <w:start w:val="1"/>
      <w:numFmt w:val="bullet"/>
      <w:lvlText w:val=""/>
      <w:lvlJc w:val="left"/>
      <w:pPr>
        <w:ind w:left="2160" w:hanging="360"/>
      </w:pPr>
      <w:rPr>
        <w:rFonts w:ascii="Wingdings" w:hAnsi="Wingdings" w:hint="default"/>
      </w:rPr>
    </w:lvl>
    <w:lvl w:ilvl="3" w:tplc="E514DB3E">
      <w:start w:val="1"/>
      <w:numFmt w:val="bullet"/>
      <w:lvlText w:val=""/>
      <w:lvlJc w:val="left"/>
      <w:pPr>
        <w:ind w:left="2880" w:hanging="360"/>
      </w:pPr>
      <w:rPr>
        <w:rFonts w:ascii="Symbol" w:hAnsi="Symbol" w:hint="default"/>
      </w:rPr>
    </w:lvl>
    <w:lvl w:ilvl="4" w:tplc="922637E4">
      <w:start w:val="1"/>
      <w:numFmt w:val="bullet"/>
      <w:lvlText w:val="o"/>
      <w:lvlJc w:val="left"/>
      <w:pPr>
        <w:ind w:left="3600" w:hanging="360"/>
      </w:pPr>
      <w:rPr>
        <w:rFonts w:ascii="Courier New" w:hAnsi="Courier New" w:cs="Courier New" w:hint="default"/>
      </w:rPr>
    </w:lvl>
    <w:lvl w:ilvl="5" w:tplc="9BFCA526">
      <w:start w:val="1"/>
      <w:numFmt w:val="bullet"/>
      <w:lvlText w:val=""/>
      <w:lvlJc w:val="left"/>
      <w:pPr>
        <w:ind w:left="4320" w:hanging="360"/>
      </w:pPr>
      <w:rPr>
        <w:rFonts w:ascii="Wingdings" w:hAnsi="Wingdings" w:hint="default"/>
      </w:rPr>
    </w:lvl>
    <w:lvl w:ilvl="6" w:tplc="369A3280">
      <w:start w:val="1"/>
      <w:numFmt w:val="bullet"/>
      <w:lvlText w:val=""/>
      <w:lvlJc w:val="left"/>
      <w:pPr>
        <w:ind w:left="5040" w:hanging="360"/>
      </w:pPr>
      <w:rPr>
        <w:rFonts w:ascii="Symbol" w:hAnsi="Symbol" w:hint="default"/>
      </w:rPr>
    </w:lvl>
    <w:lvl w:ilvl="7" w:tplc="D790443E">
      <w:start w:val="1"/>
      <w:numFmt w:val="bullet"/>
      <w:lvlText w:val="o"/>
      <w:lvlJc w:val="left"/>
      <w:pPr>
        <w:ind w:left="5760" w:hanging="360"/>
      </w:pPr>
      <w:rPr>
        <w:rFonts w:ascii="Courier New" w:hAnsi="Courier New" w:cs="Courier New" w:hint="default"/>
      </w:rPr>
    </w:lvl>
    <w:lvl w:ilvl="8" w:tplc="83F86634">
      <w:start w:val="1"/>
      <w:numFmt w:val="bullet"/>
      <w:lvlText w:val=""/>
      <w:lvlJc w:val="left"/>
      <w:pPr>
        <w:ind w:left="6480" w:hanging="360"/>
      </w:pPr>
      <w:rPr>
        <w:rFonts w:ascii="Wingdings" w:hAnsi="Wingdings" w:hint="default"/>
      </w:rPr>
    </w:lvl>
  </w:abstractNum>
  <w:abstractNum w:abstractNumId="1" w15:restartNumberingAfterBreak="0">
    <w:nsid w:val="1B3D1777"/>
    <w:multiLevelType w:val="hybridMultilevel"/>
    <w:tmpl w:val="BBFEAE72"/>
    <w:lvl w:ilvl="0" w:tplc="DC4C11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D635E"/>
    <w:multiLevelType w:val="hybridMultilevel"/>
    <w:tmpl w:val="31C01FC8"/>
    <w:lvl w:ilvl="0" w:tplc="4AF27680">
      <w:start w:val="1"/>
      <w:numFmt w:val="bullet"/>
      <w:lvlText w:val=""/>
      <w:lvlJc w:val="left"/>
      <w:pPr>
        <w:ind w:left="720" w:hanging="360"/>
      </w:pPr>
      <w:rPr>
        <w:rFonts w:ascii="Symbol" w:hAnsi="Symbol" w:hint="default"/>
      </w:rPr>
    </w:lvl>
    <w:lvl w:ilvl="1" w:tplc="B2422BCA">
      <w:start w:val="1"/>
      <w:numFmt w:val="bullet"/>
      <w:lvlText w:val="o"/>
      <w:lvlJc w:val="left"/>
      <w:pPr>
        <w:ind w:left="1440" w:hanging="360"/>
      </w:pPr>
      <w:rPr>
        <w:rFonts w:ascii="Courier New" w:hAnsi="Courier New" w:cs="Courier New" w:hint="default"/>
      </w:rPr>
    </w:lvl>
    <w:lvl w:ilvl="2" w:tplc="5C0EEEF6">
      <w:start w:val="1"/>
      <w:numFmt w:val="bullet"/>
      <w:lvlText w:val=""/>
      <w:lvlJc w:val="left"/>
      <w:pPr>
        <w:ind w:left="2160" w:hanging="360"/>
      </w:pPr>
      <w:rPr>
        <w:rFonts w:ascii="Wingdings" w:hAnsi="Wingdings" w:hint="default"/>
      </w:rPr>
    </w:lvl>
    <w:lvl w:ilvl="3" w:tplc="F65AA00E">
      <w:start w:val="1"/>
      <w:numFmt w:val="bullet"/>
      <w:lvlText w:val=""/>
      <w:lvlJc w:val="left"/>
      <w:pPr>
        <w:ind w:left="2880" w:hanging="360"/>
      </w:pPr>
      <w:rPr>
        <w:rFonts w:ascii="Symbol" w:hAnsi="Symbol" w:hint="default"/>
      </w:rPr>
    </w:lvl>
    <w:lvl w:ilvl="4" w:tplc="CAC21BE4">
      <w:start w:val="1"/>
      <w:numFmt w:val="bullet"/>
      <w:lvlText w:val="o"/>
      <w:lvlJc w:val="left"/>
      <w:pPr>
        <w:ind w:left="3600" w:hanging="360"/>
      </w:pPr>
      <w:rPr>
        <w:rFonts w:ascii="Courier New" w:hAnsi="Courier New" w:cs="Courier New" w:hint="default"/>
      </w:rPr>
    </w:lvl>
    <w:lvl w:ilvl="5" w:tplc="6388EDB4">
      <w:start w:val="1"/>
      <w:numFmt w:val="bullet"/>
      <w:lvlText w:val=""/>
      <w:lvlJc w:val="left"/>
      <w:pPr>
        <w:ind w:left="4320" w:hanging="360"/>
      </w:pPr>
      <w:rPr>
        <w:rFonts w:ascii="Wingdings" w:hAnsi="Wingdings" w:hint="default"/>
      </w:rPr>
    </w:lvl>
    <w:lvl w:ilvl="6" w:tplc="96EA0F94">
      <w:start w:val="1"/>
      <w:numFmt w:val="bullet"/>
      <w:lvlText w:val=""/>
      <w:lvlJc w:val="left"/>
      <w:pPr>
        <w:ind w:left="5040" w:hanging="360"/>
      </w:pPr>
      <w:rPr>
        <w:rFonts w:ascii="Symbol" w:hAnsi="Symbol" w:hint="default"/>
      </w:rPr>
    </w:lvl>
    <w:lvl w:ilvl="7" w:tplc="1BAC0EEA">
      <w:start w:val="1"/>
      <w:numFmt w:val="bullet"/>
      <w:lvlText w:val="o"/>
      <w:lvlJc w:val="left"/>
      <w:pPr>
        <w:ind w:left="5760" w:hanging="360"/>
      </w:pPr>
      <w:rPr>
        <w:rFonts w:ascii="Courier New" w:hAnsi="Courier New" w:cs="Courier New" w:hint="default"/>
      </w:rPr>
    </w:lvl>
    <w:lvl w:ilvl="8" w:tplc="A0CE91F0">
      <w:start w:val="1"/>
      <w:numFmt w:val="bullet"/>
      <w:lvlText w:val=""/>
      <w:lvlJc w:val="left"/>
      <w:pPr>
        <w:ind w:left="6480" w:hanging="360"/>
      </w:pPr>
      <w:rPr>
        <w:rFonts w:ascii="Wingdings" w:hAnsi="Wingdings" w:hint="default"/>
      </w:rPr>
    </w:lvl>
  </w:abstractNum>
  <w:abstractNum w:abstractNumId="3" w15:restartNumberingAfterBreak="0">
    <w:nsid w:val="231F01FD"/>
    <w:multiLevelType w:val="hybridMultilevel"/>
    <w:tmpl w:val="DAC6A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F0900"/>
    <w:multiLevelType w:val="multilevel"/>
    <w:tmpl w:val="DC4AB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440393"/>
    <w:multiLevelType w:val="hybridMultilevel"/>
    <w:tmpl w:val="9EA6AE9E"/>
    <w:lvl w:ilvl="0" w:tplc="94B46C1A">
      <w:start w:val="1"/>
      <w:numFmt w:val="bullet"/>
      <w:lvlText w:val=""/>
      <w:lvlJc w:val="left"/>
      <w:pPr>
        <w:ind w:left="720" w:hanging="360"/>
      </w:pPr>
      <w:rPr>
        <w:rFonts w:ascii="Symbol" w:hAnsi="Symbol" w:hint="default"/>
      </w:rPr>
    </w:lvl>
    <w:lvl w:ilvl="1" w:tplc="824E9260">
      <w:start w:val="1"/>
      <w:numFmt w:val="bullet"/>
      <w:lvlText w:val="o"/>
      <w:lvlJc w:val="left"/>
      <w:pPr>
        <w:ind w:left="1440" w:hanging="360"/>
      </w:pPr>
      <w:rPr>
        <w:rFonts w:ascii="Courier New" w:hAnsi="Courier New" w:cs="Courier New" w:hint="default"/>
      </w:rPr>
    </w:lvl>
    <w:lvl w:ilvl="2" w:tplc="F3B4E070">
      <w:start w:val="1"/>
      <w:numFmt w:val="bullet"/>
      <w:lvlText w:val=""/>
      <w:lvlJc w:val="left"/>
      <w:pPr>
        <w:ind w:left="2160" w:hanging="360"/>
      </w:pPr>
      <w:rPr>
        <w:rFonts w:ascii="Wingdings" w:hAnsi="Wingdings" w:hint="default"/>
      </w:rPr>
    </w:lvl>
    <w:lvl w:ilvl="3" w:tplc="DCF8D670">
      <w:start w:val="1"/>
      <w:numFmt w:val="bullet"/>
      <w:lvlText w:val=""/>
      <w:lvlJc w:val="left"/>
      <w:pPr>
        <w:ind w:left="2880" w:hanging="360"/>
      </w:pPr>
      <w:rPr>
        <w:rFonts w:ascii="Symbol" w:hAnsi="Symbol" w:hint="default"/>
      </w:rPr>
    </w:lvl>
    <w:lvl w:ilvl="4" w:tplc="3F6EB698">
      <w:start w:val="1"/>
      <w:numFmt w:val="bullet"/>
      <w:lvlText w:val="o"/>
      <w:lvlJc w:val="left"/>
      <w:pPr>
        <w:ind w:left="3600" w:hanging="360"/>
      </w:pPr>
      <w:rPr>
        <w:rFonts w:ascii="Courier New" w:hAnsi="Courier New" w:cs="Courier New" w:hint="default"/>
      </w:rPr>
    </w:lvl>
    <w:lvl w:ilvl="5" w:tplc="8F8C85E0">
      <w:start w:val="1"/>
      <w:numFmt w:val="bullet"/>
      <w:lvlText w:val=""/>
      <w:lvlJc w:val="left"/>
      <w:pPr>
        <w:ind w:left="4320" w:hanging="360"/>
      </w:pPr>
      <w:rPr>
        <w:rFonts w:ascii="Wingdings" w:hAnsi="Wingdings" w:hint="default"/>
      </w:rPr>
    </w:lvl>
    <w:lvl w:ilvl="6" w:tplc="4A90D96E">
      <w:start w:val="1"/>
      <w:numFmt w:val="bullet"/>
      <w:lvlText w:val=""/>
      <w:lvlJc w:val="left"/>
      <w:pPr>
        <w:ind w:left="5040" w:hanging="360"/>
      </w:pPr>
      <w:rPr>
        <w:rFonts w:ascii="Symbol" w:hAnsi="Symbol" w:hint="default"/>
      </w:rPr>
    </w:lvl>
    <w:lvl w:ilvl="7" w:tplc="C9BCE81E">
      <w:start w:val="1"/>
      <w:numFmt w:val="bullet"/>
      <w:lvlText w:val="o"/>
      <w:lvlJc w:val="left"/>
      <w:pPr>
        <w:ind w:left="5760" w:hanging="360"/>
      </w:pPr>
      <w:rPr>
        <w:rFonts w:ascii="Courier New" w:hAnsi="Courier New" w:cs="Courier New" w:hint="default"/>
      </w:rPr>
    </w:lvl>
    <w:lvl w:ilvl="8" w:tplc="6C186058">
      <w:start w:val="1"/>
      <w:numFmt w:val="bullet"/>
      <w:lvlText w:val=""/>
      <w:lvlJc w:val="left"/>
      <w:pPr>
        <w:ind w:left="6480" w:hanging="360"/>
      </w:pPr>
      <w:rPr>
        <w:rFonts w:ascii="Wingdings" w:hAnsi="Wingdings" w:hint="default"/>
      </w:rPr>
    </w:lvl>
  </w:abstractNum>
  <w:abstractNum w:abstractNumId="6" w15:restartNumberingAfterBreak="0">
    <w:nsid w:val="40651D98"/>
    <w:multiLevelType w:val="hybridMultilevel"/>
    <w:tmpl w:val="4EB03D92"/>
    <w:lvl w:ilvl="0" w:tplc="76C8518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D0F7C61"/>
    <w:multiLevelType w:val="hybridMultilevel"/>
    <w:tmpl w:val="32FC4764"/>
    <w:lvl w:ilvl="0" w:tplc="4F6071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12796D"/>
    <w:multiLevelType w:val="hybridMultilevel"/>
    <w:tmpl w:val="26FE38CE"/>
    <w:lvl w:ilvl="0" w:tplc="CE702A56">
      <w:start w:val="1"/>
      <w:numFmt w:val="bullet"/>
      <w:lvlText w:val=""/>
      <w:lvlJc w:val="left"/>
      <w:pPr>
        <w:ind w:left="720" w:hanging="360"/>
      </w:pPr>
      <w:rPr>
        <w:rFonts w:ascii="Symbol" w:hAnsi="Symbol" w:hint="default"/>
      </w:rPr>
    </w:lvl>
    <w:lvl w:ilvl="1" w:tplc="87BA911C" w:tentative="1">
      <w:start w:val="1"/>
      <w:numFmt w:val="bullet"/>
      <w:lvlText w:val="o"/>
      <w:lvlJc w:val="left"/>
      <w:pPr>
        <w:ind w:left="1440" w:hanging="360"/>
      </w:pPr>
      <w:rPr>
        <w:rFonts w:ascii="Courier New" w:hAnsi="Courier New" w:cs="Courier New" w:hint="default"/>
      </w:rPr>
    </w:lvl>
    <w:lvl w:ilvl="2" w:tplc="54E09118" w:tentative="1">
      <w:start w:val="1"/>
      <w:numFmt w:val="bullet"/>
      <w:lvlText w:val=""/>
      <w:lvlJc w:val="left"/>
      <w:pPr>
        <w:ind w:left="2160" w:hanging="360"/>
      </w:pPr>
      <w:rPr>
        <w:rFonts w:ascii="Wingdings" w:hAnsi="Wingdings" w:hint="default"/>
      </w:rPr>
    </w:lvl>
    <w:lvl w:ilvl="3" w:tplc="A9605D64" w:tentative="1">
      <w:start w:val="1"/>
      <w:numFmt w:val="bullet"/>
      <w:lvlText w:val=""/>
      <w:lvlJc w:val="left"/>
      <w:pPr>
        <w:ind w:left="2880" w:hanging="360"/>
      </w:pPr>
      <w:rPr>
        <w:rFonts w:ascii="Symbol" w:hAnsi="Symbol" w:hint="default"/>
      </w:rPr>
    </w:lvl>
    <w:lvl w:ilvl="4" w:tplc="39C800DE" w:tentative="1">
      <w:start w:val="1"/>
      <w:numFmt w:val="bullet"/>
      <w:lvlText w:val="o"/>
      <w:lvlJc w:val="left"/>
      <w:pPr>
        <w:ind w:left="3600" w:hanging="360"/>
      </w:pPr>
      <w:rPr>
        <w:rFonts w:ascii="Courier New" w:hAnsi="Courier New" w:cs="Courier New" w:hint="default"/>
      </w:rPr>
    </w:lvl>
    <w:lvl w:ilvl="5" w:tplc="875C45A4" w:tentative="1">
      <w:start w:val="1"/>
      <w:numFmt w:val="bullet"/>
      <w:lvlText w:val=""/>
      <w:lvlJc w:val="left"/>
      <w:pPr>
        <w:ind w:left="4320" w:hanging="360"/>
      </w:pPr>
      <w:rPr>
        <w:rFonts w:ascii="Wingdings" w:hAnsi="Wingdings" w:hint="default"/>
      </w:rPr>
    </w:lvl>
    <w:lvl w:ilvl="6" w:tplc="0CAA196A" w:tentative="1">
      <w:start w:val="1"/>
      <w:numFmt w:val="bullet"/>
      <w:lvlText w:val=""/>
      <w:lvlJc w:val="left"/>
      <w:pPr>
        <w:ind w:left="5040" w:hanging="360"/>
      </w:pPr>
      <w:rPr>
        <w:rFonts w:ascii="Symbol" w:hAnsi="Symbol" w:hint="default"/>
      </w:rPr>
    </w:lvl>
    <w:lvl w:ilvl="7" w:tplc="3856C926" w:tentative="1">
      <w:start w:val="1"/>
      <w:numFmt w:val="bullet"/>
      <w:lvlText w:val="o"/>
      <w:lvlJc w:val="left"/>
      <w:pPr>
        <w:ind w:left="5760" w:hanging="360"/>
      </w:pPr>
      <w:rPr>
        <w:rFonts w:ascii="Courier New" w:hAnsi="Courier New" w:cs="Courier New" w:hint="default"/>
      </w:rPr>
    </w:lvl>
    <w:lvl w:ilvl="8" w:tplc="542A4E84" w:tentative="1">
      <w:start w:val="1"/>
      <w:numFmt w:val="bullet"/>
      <w:lvlText w:val=""/>
      <w:lvlJc w:val="left"/>
      <w:pPr>
        <w:ind w:left="6480" w:hanging="360"/>
      </w:pPr>
      <w:rPr>
        <w:rFonts w:ascii="Wingdings" w:hAnsi="Wingdings" w:hint="default"/>
      </w:rPr>
    </w:lvl>
  </w:abstractNum>
  <w:abstractNum w:abstractNumId="9" w15:restartNumberingAfterBreak="0">
    <w:nsid w:val="554E65F9"/>
    <w:multiLevelType w:val="hybridMultilevel"/>
    <w:tmpl w:val="A0DED644"/>
    <w:lvl w:ilvl="0" w:tplc="945E645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73D0C5D"/>
    <w:multiLevelType w:val="hybridMultilevel"/>
    <w:tmpl w:val="D9A07B5E"/>
    <w:lvl w:ilvl="0" w:tplc="2FAC594A">
      <w:start w:val="1"/>
      <w:numFmt w:val="bullet"/>
      <w:lvlText w:val=""/>
      <w:lvlJc w:val="left"/>
      <w:pPr>
        <w:ind w:left="720" w:hanging="360"/>
      </w:pPr>
      <w:rPr>
        <w:rFonts w:ascii="Symbol" w:hAnsi="Symbol" w:hint="default"/>
      </w:rPr>
    </w:lvl>
    <w:lvl w:ilvl="1" w:tplc="BFCC8D32">
      <w:start w:val="1"/>
      <w:numFmt w:val="bullet"/>
      <w:lvlText w:val="o"/>
      <w:lvlJc w:val="left"/>
      <w:pPr>
        <w:ind w:left="1440" w:hanging="360"/>
      </w:pPr>
      <w:rPr>
        <w:rFonts w:ascii="Courier New" w:hAnsi="Courier New" w:cs="Courier New" w:hint="default"/>
      </w:rPr>
    </w:lvl>
    <w:lvl w:ilvl="2" w:tplc="61240DB8">
      <w:start w:val="1"/>
      <w:numFmt w:val="bullet"/>
      <w:lvlText w:val=""/>
      <w:lvlJc w:val="left"/>
      <w:pPr>
        <w:ind w:left="2160" w:hanging="360"/>
      </w:pPr>
      <w:rPr>
        <w:rFonts w:ascii="Wingdings" w:hAnsi="Wingdings" w:hint="default"/>
      </w:rPr>
    </w:lvl>
    <w:lvl w:ilvl="3" w:tplc="B754977A">
      <w:start w:val="1"/>
      <w:numFmt w:val="bullet"/>
      <w:lvlText w:val=""/>
      <w:lvlJc w:val="left"/>
      <w:pPr>
        <w:ind w:left="2880" w:hanging="360"/>
      </w:pPr>
      <w:rPr>
        <w:rFonts w:ascii="Symbol" w:hAnsi="Symbol" w:hint="default"/>
      </w:rPr>
    </w:lvl>
    <w:lvl w:ilvl="4" w:tplc="AD10D36E">
      <w:start w:val="1"/>
      <w:numFmt w:val="bullet"/>
      <w:lvlText w:val="o"/>
      <w:lvlJc w:val="left"/>
      <w:pPr>
        <w:ind w:left="3600" w:hanging="360"/>
      </w:pPr>
      <w:rPr>
        <w:rFonts w:ascii="Courier New" w:hAnsi="Courier New" w:cs="Courier New" w:hint="default"/>
      </w:rPr>
    </w:lvl>
    <w:lvl w:ilvl="5" w:tplc="DDD6D6A0">
      <w:start w:val="1"/>
      <w:numFmt w:val="bullet"/>
      <w:lvlText w:val=""/>
      <w:lvlJc w:val="left"/>
      <w:pPr>
        <w:ind w:left="4320" w:hanging="360"/>
      </w:pPr>
      <w:rPr>
        <w:rFonts w:ascii="Wingdings" w:hAnsi="Wingdings" w:hint="default"/>
      </w:rPr>
    </w:lvl>
    <w:lvl w:ilvl="6" w:tplc="4E522194">
      <w:start w:val="1"/>
      <w:numFmt w:val="bullet"/>
      <w:lvlText w:val=""/>
      <w:lvlJc w:val="left"/>
      <w:pPr>
        <w:ind w:left="5040" w:hanging="360"/>
      </w:pPr>
      <w:rPr>
        <w:rFonts w:ascii="Symbol" w:hAnsi="Symbol" w:hint="default"/>
      </w:rPr>
    </w:lvl>
    <w:lvl w:ilvl="7" w:tplc="6DC24B76">
      <w:start w:val="1"/>
      <w:numFmt w:val="bullet"/>
      <w:lvlText w:val="o"/>
      <w:lvlJc w:val="left"/>
      <w:pPr>
        <w:ind w:left="5760" w:hanging="360"/>
      </w:pPr>
      <w:rPr>
        <w:rFonts w:ascii="Courier New" w:hAnsi="Courier New" w:cs="Courier New" w:hint="default"/>
      </w:rPr>
    </w:lvl>
    <w:lvl w:ilvl="8" w:tplc="478AE0F4">
      <w:start w:val="1"/>
      <w:numFmt w:val="bullet"/>
      <w:lvlText w:val=""/>
      <w:lvlJc w:val="left"/>
      <w:pPr>
        <w:ind w:left="6480" w:hanging="360"/>
      </w:pPr>
      <w:rPr>
        <w:rFonts w:ascii="Wingdings" w:hAnsi="Wingdings" w:hint="default"/>
      </w:rPr>
    </w:lvl>
  </w:abstractNum>
  <w:abstractNum w:abstractNumId="11" w15:restartNumberingAfterBreak="0">
    <w:nsid w:val="66634300"/>
    <w:multiLevelType w:val="hybridMultilevel"/>
    <w:tmpl w:val="4F22267A"/>
    <w:lvl w:ilvl="0" w:tplc="861C85BA">
      <w:start w:val="1"/>
      <w:numFmt w:val="bullet"/>
      <w:lvlText w:val=""/>
      <w:lvlJc w:val="left"/>
      <w:pPr>
        <w:ind w:left="720" w:hanging="360"/>
      </w:pPr>
      <w:rPr>
        <w:rFonts w:ascii="Symbol" w:hAnsi="Symbol" w:hint="default"/>
      </w:rPr>
    </w:lvl>
    <w:lvl w:ilvl="1" w:tplc="9E4444B6">
      <w:start w:val="1"/>
      <w:numFmt w:val="bullet"/>
      <w:lvlText w:val="o"/>
      <w:lvlJc w:val="left"/>
      <w:pPr>
        <w:ind w:left="1440" w:hanging="360"/>
      </w:pPr>
      <w:rPr>
        <w:rFonts w:ascii="Courier New" w:hAnsi="Courier New" w:cs="Courier New" w:hint="default"/>
      </w:rPr>
    </w:lvl>
    <w:lvl w:ilvl="2" w:tplc="5ED8065A">
      <w:start w:val="1"/>
      <w:numFmt w:val="bullet"/>
      <w:lvlText w:val=""/>
      <w:lvlJc w:val="left"/>
      <w:pPr>
        <w:ind w:left="2160" w:hanging="360"/>
      </w:pPr>
      <w:rPr>
        <w:rFonts w:ascii="Wingdings" w:hAnsi="Wingdings" w:hint="default"/>
      </w:rPr>
    </w:lvl>
    <w:lvl w:ilvl="3" w:tplc="1DA2465E">
      <w:start w:val="1"/>
      <w:numFmt w:val="bullet"/>
      <w:lvlText w:val=""/>
      <w:lvlJc w:val="left"/>
      <w:pPr>
        <w:ind w:left="2880" w:hanging="360"/>
      </w:pPr>
      <w:rPr>
        <w:rFonts w:ascii="Symbol" w:hAnsi="Symbol" w:hint="default"/>
      </w:rPr>
    </w:lvl>
    <w:lvl w:ilvl="4" w:tplc="17543CE8">
      <w:start w:val="1"/>
      <w:numFmt w:val="bullet"/>
      <w:lvlText w:val="o"/>
      <w:lvlJc w:val="left"/>
      <w:pPr>
        <w:ind w:left="3600" w:hanging="360"/>
      </w:pPr>
      <w:rPr>
        <w:rFonts w:ascii="Courier New" w:hAnsi="Courier New" w:cs="Courier New" w:hint="default"/>
      </w:rPr>
    </w:lvl>
    <w:lvl w:ilvl="5" w:tplc="E334C4E0">
      <w:start w:val="1"/>
      <w:numFmt w:val="bullet"/>
      <w:lvlText w:val=""/>
      <w:lvlJc w:val="left"/>
      <w:pPr>
        <w:ind w:left="4320" w:hanging="360"/>
      </w:pPr>
      <w:rPr>
        <w:rFonts w:ascii="Wingdings" w:hAnsi="Wingdings" w:hint="default"/>
      </w:rPr>
    </w:lvl>
    <w:lvl w:ilvl="6" w:tplc="5680FC6C">
      <w:start w:val="1"/>
      <w:numFmt w:val="bullet"/>
      <w:lvlText w:val=""/>
      <w:lvlJc w:val="left"/>
      <w:pPr>
        <w:ind w:left="5040" w:hanging="360"/>
      </w:pPr>
      <w:rPr>
        <w:rFonts w:ascii="Symbol" w:hAnsi="Symbol" w:hint="default"/>
      </w:rPr>
    </w:lvl>
    <w:lvl w:ilvl="7" w:tplc="3FA62FB8">
      <w:start w:val="1"/>
      <w:numFmt w:val="bullet"/>
      <w:lvlText w:val="o"/>
      <w:lvlJc w:val="left"/>
      <w:pPr>
        <w:ind w:left="5760" w:hanging="360"/>
      </w:pPr>
      <w:rPr>
        <w:rFonts w:ascii="Courier New" w:hAnsi="Courier New" w:cs="Courier New" w:hint="default"/>
      </w:rPr>
    </w:lvl>
    <w:lvl w:ilvl="8" w:tplc="1694826C">
      <w:start w:val="1"/>
      <w:numFmt w:val="bullet"/>
      <w:lvlText w:val=""/>
      <w:lvlJc w:val="left"/>
      <w:pPr>
        <w:ind w:left="6480" w:hanging="360"/>
      </w:pPr>
      <w:rPr>
        <w:rFonts w:ascii="Wingdings" w:hAnsi="Wingdings" w:hint="default"/>
      </w:rPr>
    </w:lvl>
  </w:abstractNum>
  <w:abstractNum w:abstractNumId="12" w15:restartNumberingAfterBreak="0">
    <w:nsid w:val="669F28EE"/>
    <w:multiLevelType w:val="hybridMultilevel"/>
    <w:tmpl w:val="FB463394"/>
    <w:lvl w:ilvl="0" w:tplc="D780CB34">
      <w:start w:val="1"/>
      <w:numFmt w:val="bullet"/>
      <w:lvlText w:val=""/>
      <w:lvlJc w:val="left"/>
      <w:pPr>
        <w:ind w:left="720" w:hanging="360"/>
      </w:pPr>
      <w:rPr>
        <w:rFonts w:ascii="Symbol" w:hAnsi="Symbol" w:hint="default"/>
      </w:rPr>
    </w:lvl>
    <w:lvl w:ilvl="1" w:tplc="141E03A4" w:tentative="1">
      <w:start w:val="1"/>
      <w:numFmt w:val="bullet"/>
      <w:lvlText w:val="o"/>
      <w:lvlJc w:val="left"/>
      <w:pPr>
        <w:ind w:left="1440" w:hanging="360"/>
      </w:pPr>
      <w:rPr>
        <w:rFonts w:ascii="Courier New" w:hAnsi="Courier New" w:cs="Courier New" w:hint="default"/>
      </w:rPr>
    </w:lvl>
    <w:lvl w:ilvl="2" w:tplc="2256BC9E" w:tentative="1">
      <w:start w:val="1"/>
      <w:numFmt w:val="bullet"/>
      <w:lvlText w:val=""/>
      <w:lvlJc w:val="left"/>
      <w:pPr>
        <w:ind w:left="2160" w:hanging="360"/>
      </w:pPr>
      <w:rPr>
        <w:rFonts w:ascii="Wingdings" w:hAnsi="Wingdings" w:hint="default"/>
      </w:rPr>
    </w:lvl>
    <w:lvl w:ilvl="3" w:tplc="9EB89F62" w:tentative="1">
      <w:start w:val="1"/>
      <w:numFmt w:val="bullet"/>
      <w:lvlText w:val=""/>
      <w:lvlJc w:val="left"/>
      <w:pPr>
        <w:ind w:left="2880" w:hanging="360"/>
      </w:pPr>
      <w:rPr>
        <w:rFonts w:ascii="Symbol" w:hAnsi="Symbol" w:hint="default"/>
      </w:rPr>
    </w:lvl>
    <w:lvl w:ilvl="4" w:tplc="F0BE62E4" w:tentative="1">
      <w:start w:val="1"/>
      <w:numFmt w:val="bullet"/>
      <w:lvlText w:val="o"/>
      <w:lvlJc w:val="left"/>
      <w:pPr>
        <w:ind w:left="3600" w:hanging="360"/>
      </w:pPr>
      <w:rPr>
        <w:rFonts w:ascii="Courier New" w:hAnsi="Courier New" w:cs="Courier New" w:hint="default"/>
      </w:rPr>
    </w:lvl>
    <w:lvl w:ilvl="5" w:tplc="50EAA708" w:tentative="1">
      <w:start w:val="1"/>
      <w:numFmt w:val="bullet"/>
      <w:lvlText w:val=""/>
      <w:lvlJc w:val="left"/>
      <w:pPr>
        <w:ind w:left="4320" w:hanging="360"/>
      </w:pPr>
      <w:rPr>
        <w:rFonts w:ascii="Wingdings" w:hAnsi="Wingdings" w:hint="default"/>
      </w:rPr>
    </w:lvl>
    <w:lvl w:ilvl="6" w:tplc="6186D93E" w:tentative="1">
      <w:start w:val="1"/>
      <w:numFmt w:val="bullet"/>
      <w:lvlText w:val=""/>
      <w:lvlJc w:val="left"/>
      <w:pPr>
        <w:ind w:left="5040" w:hanging="360"/>
      </w:pPr>
      <w:rPr>
        <w:rFonts w:ascii="Symbol" w:hAnsi="Symbol" w:hint="default"/>
      </w:rPr>
    </w:lvl>
    <w:lvl w:ilvl="7" w:tplc="D8667158" w:tentative="1">
      <w:start w:val="1"/>
      <w:numFmt w:val="bullet"/>
      <w:lvlText w:val="o"/>
      <w:lvlJc w:val="left"/>
      <w:pPr>
        <w:ind w:left="5760" w:hanging="360"/>
      </w:pPr>
      <w:rPr>
        <w:rFonts w:ascii="Courier New" w:hAnsi="Courier New" w:cs="Courier New" w:hint="default"/>
      </w:rPr>
    </w:lvl>
    <w:lvl w:ilvl="8" w:tplc="E0AEFC36" w:tentative="1">
      <w:start w:val="1"/>
      <w:numFmt w:val="bullet"/>
      <w:lvlText w:val=""/>
      <w:lvlJc w:val="left"/>
      <w:pPr>
        <w:ind w:left="6480" w:hanging="360"/>
      </w:pPr>
      <w:rPr>
        <w:rFonts w:ascii="Wingdings" w:hAnsi="Wingdings" w:hint="default"/>
      </w:rPr>
    </w:lvl>
  </w:abstractNum>
  <w:abstractNum w:abstractNumId="13" w15:restartNumberingAfterBreak="0">
    <w:nsid w:val="70A66935"/>
    <w:multiLevelType w:val="hybridMultilevel"/>
    <w:tmpl w:val="7582A122"/>
    <w:lvl w:ilvl="0" w:tplc="410E1670">
      <w:start w:val="1"/>
      <w:numFmt w:val="upperLetter"/>
      <w:pStyle w:val="Heading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2AD19D9"/>
    <w:multiLevelType w:val="hybridMultilevel"/>
    <w:tmpl w:val="79A2BED2"/>
    <w:lvl w:ilvl="0" w:tplc="945E6450">
      <w:start w:val="1"/>
      <w:numFmt w:val="upperLetter"/>
      <w:lvlText w:val="%1."/>
      <w:lvlJc w:val="left"/>
      <w:pPr>
        <w:ind w:left="18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0"/>
  </w:num>
  <w:num w:numId="3">
    <w:abstractNumId w:val="10"/>
  </w:num>
  <w:num w:numId="4">
    <w:abstractNumId w:val="5"/>
  </w:num>
  <w:num w:numId="5">
    <w:abstractNumId w:val="2"/>
  </w:num>
  <w:num w:numId="6">
    <w:abstractNumId w:val="12"/>
  </w:num>
  <w:num w:numId="7">
    <w:abstractNumId w:val="8"/>
  </w:num>
  <w:num w:numId="8">
    <w:abstractNumId w:val="4"/>
  </w:num>
  <w:num w:numId="9">
    <w:abstractNumId w:val="3"/>
  </w:num>
  <w:num w:numId="10">
    <w:abstractNumId w:val="7"/>
  </w:num>
  <w:num w:numId="11">
    <w:abstractNumId w:val="6"/>
  </w:num>
  <w:num w:numId="12">
    <w:abstractNumId w:val="9"/>
  </w:num>
  <w:num w:numId="13">
    <w:abstractNumId w:val="14"/>
  </w:num>
  <w:num w:numId="14">
    <w:abstractNumId w:val="1"/>
  </w:num>
  <w:num w:numId="15">
    <w:abstractNumId w:val="13"/>
  </w:num>
  <w:num w:numId="16">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DBA"/>
    <w:rsid w:val="000E4A14"/>
    <w:rsid w:val="00153C31"/>
    <w:rsid w:val="00185C47"/>
    <w:rsid w:val="001D03CF"/>
    <w:rsid w:val="0021102C"/>
    <w:rsid w:val="0023036F"/>
    <w:rsid w:val="00256DBA"/>
    <w:rsid w:val="00273D0C"/>
    <w:rsid w:val="00274BEA"/>
    <w:rsid w:val="00295B54"/>
    <w:rsid w:val="002A20AA"/>
    <w:rsid w:val="002E6626"/>
    <w:rsid w:val="00325EF7"/>
    <w:rsid w:val="003543BD"/>
    <w:rsid w:val="003636F8"/>
    <w:rsid w:val="0036484A"/>
    <w:rsid w:val="003651D0"/>
    <w:rsid w:val="00390D4F"/>
    <w:rsid w:val="003A649C"/>
    <w:rsid w:val="003B12D9"/>
    <w:rsid w:val="003C2F33"/>
    <w:rsid w:val="0044399C"/>
    <w:rsid w:val="004E2EA9"/>
    <w:rsid w:val="004E7B9E"/>
    <w:rsid w:val="0050374E"/>
    <w:rsid w:val="00581CD7"/>
    <w:rsid w:val="005C2D3F"/>
    <w:rsid w:val="005E1042"/>
    <w:rsid w:val="00613298"/>
    <w:rsid w:val="006407CD"/>
    <w:rsid w:val="0065589A"/>
    <w:rsid w:val="00663474"/>
    <w:rsid w:val="00690E58"/>
    <w:rsid w:val="006C5ABB"/>
    <w:rsid w:val="006D670C"/>
    <w:rsid w:val="00713A63"/>
    <w:rsid w:val="00733DC2"/>
    <w:rsid w:val="008039D0"/>
    <w:rsid w:val="00852C93"/>
    <w:rsid w:val="00856EAF"/>
    <w:rsid w:val="008A4F46"/>
    <w:rsid w:val="008E010D"/>
    <w:rsid w:val="008E6B00"/>
    <w:rsid w:val="00913DE7"/>
    <w:rsid w:val="00936D95"/>
    <w:rsid w:val="0095128C"/>
    <w:rsid w:val="00956946"/>
    <w:rsid w:val="009925F9"/>
    <w:rsid w:val="0099743F"/>
    <w:rsid w:val="009A6B0B"/>
    <w:rsid w:val="009B6015"/>
    <w:rsid w:val="009C01D0"/>
    <w:rsid w:val="009C520A"/>
    <w:rsid w:val="00AB2302"/>
    <w:rsid w:val="00AE3B0C"/>
    <w:rsid w:val="00AE6182"/>
    <w:rsid w:val="00B244E6"/>
    <w:rsid w:val="00B507A4"/>
    <w:rsid w:val="00CD3B58"/>
    <w:rsid w:val="00CE41AF"/>
    <w:rsid w:val="00D04395"/>
    <w:rsid w:val="00D23C66"/>
    <w:rsid w:val="00D60B96"/>
    <w:rsid w:val="00D67B07"/>
    <w:rsid w:val="00E20FED"/>
    <w:rsid w:val="00E57303"/>
    <w:rsid w:val="00E633EB"/>
    <w:rsid w:val="00E96A2D"/>
    <w:rsid w:val="00EE2F3B"/>
    <w:rsid w:val="00F3218A"/>
    <w:rsid w:val="00F66C29"/>
    <w:rsid w:val="00F7147C"/>
    <w:rsid w:val="00FB7705"/>
    <w:rsid w:val="00FD5690"/>
    <w:rsid w:val="00FF2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97090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9B6015"/>
    <w:pPr>
      <w:keepNext/>
      <w:keepLines/>
      <w:spacing w:before="240" w:after="240" w:line="240" w:lineRule="auto"/>
      <w:ind w:left="720" w:hanging="540"/>
      <w:outlineLvl w:val="0"/>
    </w:pPr>
    <w:rPr>
      <w:rFonts w:ascii="Times New Roman" w:eastAsiaTheme="majorEastAsia" w:hAnsi="Times New Roman" w:cs="Times New Roman"/>
      <w:b/>
      <w:sz w:val="24"/>
      <w:szCs w:val="24"/>
    </w:rPr>
  </w:style>
  <w:style w:type="paragraph" w:styleId="Heading2">
    <w:name w:val="heading 2"/>
    <w:basedOn w:val="Normal"/>
    <w:next w:val="Normal"/>
    <w:link w:val="Heading2Char"/>
    <w:autoRedefine/>
    <w:uiPriority w:val="9"/>
    <w:unhideWhenUsed/>
    <w:qFormat/>
    <w:rsid w:val="009B6015"/>
    <w:pPr>
      <w:keepNext/>
      <w:keepLines/>
      <w:numPr>
        <w:numId w:val="15"/>
      </w:numPr>
      <w:spacing w:before="40" w:after="240"/>
      <w:outlineLvl w:val="1"/>
    </w:pPr>
    <w:rPr>
      <w:rFonts w:ascii="Times New Roman" w:eastAsiaTheme="majorEastAsia"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character" w:styleId="Hyperlink">
    <w:name w:val="Hyperlink"/>
    <w:uiPriority w:val="99"/>
    <w:rPr>
      <w:color w:val="0000FF"/>
      <w:u w:val="single"/>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TableNormal"/>
    <w:uiPriority w:val="4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ing1Char">
    <w:name w:val="Heading 1 Char"/>
    <w:basedOn w:val="DefaultParagraphFont"/>
    <w:link w:val="Heading1"/>
    <w:uiPriority w:val="9"/>
    <w:rsid w:val="009B6015"/>
    <w:rPr>
      <w:rFonts w:ascii="Times New Roman" w:eastAsiaTheme="majorEastAsia" w:hAnsi="Times New Roman" w:cs="Times New Roman"/>
      <w:b/>
      <w:sz w:val="24"/>
      <w:szCs w:val="24"/>
    </w:rPr>
  </w:style>
  <w:style w:type="paragraph" w:styleId="TOCHeading">
    <w:name w:val="TOC Heading"/>
    <w:basedOn w:val="Heading1"/>
    <w:next w:val="Normal"/>
    <w:uiPriority w:val="39"/>
    <w:unhideWhenUsed/>
    <w:qFormat/>
    <w:rsid w:val="003636F8"/>
    <w:pPr>
      <w:outlineLvl w:val="9"/>
    </w:pPr>
  </w:style>
  <w:style w:type="paragraph" w:styleId="TOC1">
    <w:name w:val="toc 1"/>
    <w:basedOn w:val="Normal"/>
    <w:next w:val="Normal"/>
    <w:autoRedefine/>
    <w:uiPriority w:val="39"/>
    <w:unhideWhenUsed/>
    <w:rsid w:val="003636F8"/>
    <w:pPr>
      <w:spacing w:after="100"/>
    </w:pPr>
  </w:style>
  <w:style w:type="character" w:customStyle="1" w:styleId="Heading2Char">
    <w:name w:val="Heading 2 Char"/>
    <w:basedOn w:val="DefaultParagraphFont"/>
    <w:link w:val="Heading2"/>
    <w:uiPriority w:val="9"/>
    <w:rsid w:val="009B6015"/>
    <w:rPr>
      <w:rFonts w:ascii="Times New Roman" w:eastAsiaTheme="majorEastAsia" w:hAnsi="Times New Roman" w:cs="Times New Roman"/>
      <w:b/>
      <w:sz w:val="24"/>
      <w:szCs w:val="24"/>
    </w:rPr>
  </w:style>
  <w:style w:type="paragraph" w:styleId="TOC2">
    <w:name w:val="toc 2"/>
    <w:basedOn w:val="Normal"/>
    <w:next w:val="Normal"/>
    <w:autoRedefine/>
    <w:uiPriority w:val="39"/>
    <w:unhideWhenUsed/>
    <w:rsid w:val="00CE41AF"/>
    <w:pPr>
      <w:spacing w:after="100"/>
      <w:ind w:left="220"/>
    </w:pPr>
  </w:style>
  <w:style w:type="character" w:styleId="UnresolvedMention">
    <w:name w:val="Unresolved Mention"/>
    <w:basedOn w:val="DefaultParagraphFont"/>
    <w:uiPriority w:val="99"/>
    <w:semiHidden/>
    <w:unhideWhenUsed/>
    <w:rsid w:val="00153C31"/>
    <w:rPr>
      <w:color w:val="605E5C"/>
      <w:shd w:val="clear" w:color="auto" w:fill="E1DFDD"/>
    </w:rPr>
  </w:style>
  <w:style w:type="character" w:styleId="FollowedHyperlink">
    <w:name w:val="FollowedHyperlink"/>
    <w:basedOn w:val="DefaultParagraphFont"/>
    <w:uiPriority w:val="99"/>
    <w:semiHidden/>
    <w:unhideWhenUsed/>
    <w:rsid w:val="004E2E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99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cid:image004.png@01D43607.3146C6E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8" Type="http://schemas.openxmlformats.org/officeDocument/2006/relationships/hyperlink" Target="https://www.xfinity.com/gig" TargetMode="External"/><Relationship Id="rId13" Type="http://schemas.openxmlformats.org/officeDocument/2006/relationships/hyperlink" Target="https://www.multichannel.com/news/charters-enterprise-unit-earmarks-1b-plus-fiber-plan" TargetMode="External"/><Relationship Id="rId3" Type="http://schemas.openxmlformats.org/officeDocument/2006/relationships/hyperlink" Target="https://internetinnovation.org/special-reports/consumer-preferences-tilting-towards-mobile-broadband/" TargetMode="External"/><Relationship Id="rId7" Type="http://schemas.openxmlformats.org/officeDocument/2006/relationships/hyperlink" Target="https://www.telecompetitor.com/charters-summer-of-gig-promotion-brings-spectrum-gigabit-to-6-million-more-locations/" TargetMode="External"/><Relationship Id="rId12" Type="http://schemas.openxmlformats.org/officeDocument/2006/relationships/hyperlink" Target="https://www.fiercewireless.com/tech/frost-sullivan-small-communications-satellites-to-surge-by-2030" TargetMode="External"/><Relationship Id="rId2" Type="http://schemas.openxmlformats.org/officeDocument/2006/relationships/hyperlink" Target="https://help.netflix.com/en/node/306" TargetMode="External"/><Relationship Id="rId1" Type="http://schemas.openxmlformats.org/officeDocument/2006/relationships/hyperlink" Target="https://www.recode.net/2018/1/23/16857600/netflix-hulu-cable-streaming-tv-movies-david-letterman-chart" TargetMode="External"/><Relationship Id="rId6" Type="http://schemas.openxmlformats.org/officeDocument/2006/relationships/hyperlink" Target="https://www.multichannel.com/news/charter-launches-spectrum-mobile" TargetMode="External"/><Relationship Id="rId11" Type="http://schemas.openxmlformats.org/officeDocument/2006/relationships/hyperlink" Target="https://docs.fcc.gov/public/attachments/DOC-342358A1.pdf" TargetMode="External"/><Relationship Id="rId5" Type="http://schemas.openxmlformats.org/officeDocument/2006/relationships/hyperlink" Target="https://www.mobileworldlive.com/featured-content/top-three/comcast-wireless-sub-growth-outpaces-rivals/" TargetMode="External"/><Relationship Id="rId10" Type="http://schemas.openxmlformats.org/officeDocument/2006/relationships/hyperlink" Target="https://docs.fcc.gov/public/attachments/DOC-349074A1.pdf" TargetMode="External"/><Relationship Id="rId4" Type="http://schemas.openxmlformats.org/officeDocument/2006/relationships/hyperlink" Target="https://www.fiercewireless.com/5g/editor-s-corner-for-better-or-worse-verizon-bets-farm-5g" TargetMode="External"/><Relationship Id="rId9" Type="http://schemas.openxmlformats.org/officeDocument/2006/relationships/hyperlink" Target="https://www.bbc.com/news/business-44904368" TargetMode="External"/><Relationship Id="rId14" Type="http://schemas.openxmlformats.org/officeDocument/2006/relationships/hyperlink" Target="https://www.lightwaveonline.com/articles/2018/04/more-than-half-of-u-s-buildings-connected-to-fiber-vertical-systems-grou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D1F24-68DE-436C-AAE3-0988F623D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3290</Words>
  <Characters>18753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2018-08-17T15:07:00Z</dcterms:created>
  <dcterms:modified xsi:type="dcterms:W3CDTF">2018-08-17T15:41:00Z</dcterms:modified>
</cp:coreProperties>
</file>