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ab/>
        <w:tab/>
        <w:tab/>
        <w:tab/>
        <w:tab/>
        <w:tab/>
        <w:tab/>
        <w:t xml:space="preserve">        September 1,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9"/>
          <w:szCs w:val="19"/>
          <w:highlight w:val="white"/>
          <w:rtl w:val="0"/>
        </w:rPr>
        <w:t xml:space="preserve">James Farhat, Licensing &amp; Regulations</w:t>
        <w:tab/>
        <w:tab/>
        <w:tab/>
      </w:r>
      <w:r w:rsidDel="00000000" w:rsidR="00000000" w:rsidRPr="00000000">
        <w:rPr>
          <w:sz w:val="21"/>
          <w:szCs w:val="21"/>
          <w:highlight w:val="white"/>
          <w:rtl w:val="0"/>
        </w:rPr>
        <w:t xml:space="preserve">                    </w:t>
      </w:r>
      <w:r w:rsidDel="00000000" w:rsidR="00000000" w:rsidRPr="00000000">
        <w:rPr>
          <w:sz w:val="19"/>
          <w:szCs w:val="19"/>
          <w:highlight w:val="white"/>
          <w:rtl w:val="0"/>
        </w:rPr>
        <w:t xml:space="preserve">farhatj@michigan.gov</w:t>
      </w:r>
      <w:r w:rsidDel="00000000" w:rsidR="00000000" w:rsidRPr="00000000">
        <w:rPr>
          <w:rtl w:val="0"/>
        </w:rPr>
      </w:r>
    </w:p>
    <w:p w:rsidR="00000000" w:rsidDel="00000000" w:rsidP="00000000" w:rsidRDefault="00000000" w:rsidRPr="00000000">
      <w:pPr>
        <w:contextualSpacing w:val="0"/>
      </w:pPr>
      <w:r w:rsidDel="00000000" w:rsidR="00000000" w:rsidRPr="00000000">
        <w:rPr>
          <w:sz w:val="19"/>
          <w:szCs w:val="19"/>
          <w:highlight w:val="white"/>
          <w:rtl w:val="0"/>
        </w:rPr>
        <w:t xml:space="preserve">State of Michigan</w:t>
        <w:tab/>
        <w:tab/>
        <w:tab/>
        <w:tab/>
        <w:tab/>
        <w:tab/>
        <w:t xml:space="preserve">        </w:t>
      </w:r>
      <w:r w:rsidDel="00000000" w:rsidR="00000000" w:rsidRPr="00000000">
        <w:rPr>
          <w:sz w:val="19"/>
          <w:szCs w:val="19"/>
          <w:highlight w:val="white"/>
          <w:rtl w:val="0"/>
        </w:rPr>
        <w:t xml:space="preserve">517.241.6470</w:t>
      </w: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Mar>
              <w:left w:w="0.0" w:type="dxa"/>
              <w:right w:w="0.0" w:type="dxa"/>
            </w:tcMar>
          </w:tcPr>
          <w:p w:rsidR="00000000" w:rsidDel="00000000" w:rsidP="00000000" w:rsidRDefault="00000000" w:rsidRPr="00000000">
            <w:pPr>
              <w:spacing w:line="342.85714285714283" w:lineRule="auto"/>
              <w:ind w:left="0" w:firstLine="0"/>
              <w:contextualSpacing w:val="0"/>
            </w:pPr>
            <w:r w:rsidDel="00000000" w:rsidR="00000000" w:rsidRPr="00000000">
              <w:rPr>
                <w:rFonts w:ascii="Verdana" w:cs="Verdana" w:eastAsia="Verdana" w:hAnsi="Verdana"/>
                <w:sz w:val="20"/>
                <w:szCs w:val="20"/>
                <w:highlight w:val="white"/>
                <w:rtl w:val="0"/>
              </w:rPr>
              <w:t xml:space="preserve">Corporations, Securities &amp; Commercial Licensing Bureau</w:t>
            </w:r>
          </w:p>
          <w:p w:rsidR="00000000" w:rsidDel="00000000" w:rsidP="00000000" w:rsidRDefault="00000000" w:rsidRPr="00000000">
            <w:pPr>
              <w:spacing w:line="342.85714285714283" w:lineRule="auto"/>
              <w:ind w:left="0" w:firstLine="0"/>
              <w:contextualSpacing w:val="0"/>
            </w:pPr>
            <w:hyperlink r:id="rId5">
              <w:r w:rsidDel="00000000" w:rsidR="00000000" w:rsidRPr="00000000">
                <w:rPr>
                  <w:rFonts w:ascii="Verdana" w:cs="Verdana" w:eastAsia="Verdana" w:hAnsi="Verdana"/>
                  <w:sz w:val="20"/>
                  <w:szCs w:val="20"/>
                  <w:highlight w:val="white"/>
                  <w:rtl w:val="0"/>
                </w:rPr>
                <w:t xml:space="preserve">Corporations Division</w:t>
              </w:r>
            </w:hyperlink>
          </w:p>
          <w:p w:rsidR="00000000" w:rsidDel="00000000" w:rsidP="00000000" w:rsidRDefault="00000000" w:rsidRPr="00000000">
            <w:pPr>
              <w:spacing w:line="342.85714285714283" w:lineRule="auto"/>
              <w:ind w:left="0" w:firstLine="0"/>
              <w:contextualSpacing w:val="0"/>
            </w:pPr>
            <w:r w:rsidDel="00000000" w:rsidR="00000000" w:rsidRPr="00000000">
              <w:rPr>
                <w:rFonts w:ascii="Verdana" w:cs="Verdana" w:eastAsia="Verdana" w:hAnsi="Verdana"/>
                <w:sz w:val="20"/>
                <w:szCs w:val="20"/>
                <w:highlight w:val="white"/>
                <w:rtl w:val="0"/>
              </w:rPr>
              <w:t xml:space="preserve">P.O. Box 30054</w:t>
            </w:r>
          </w:p>
          <w:p w:rsidR="00000000" w:rsidDel="00000000" w:rsidP="00000000" w:rsidRDefault="00000000" w:rsidRPr="00000000">
            <w:pPr>
              <w:spacing w:line="342.85714285714283" w:lineRule="auto"/>
              <w:ind w:left="0" w:firstLine="0"/>
              <w:contextualSpacing w:val="0"/>
            </w:pPr>
            <w:r w:rsidDel="00000000" w:rsidR="00000000" w:rsidRPr="00000000">
              <w:rPr>
                <w:rFonts w:ascii="Verdana" w:cs="Verdana" w:eastAsia="Verdana" w:hAnsi="Verdana"/>
                <w:sz w:val="20"/>
                <w:szCs w:val="20"/>
                <w:highlight w:val="white"/>
                <w:rtl w:val="0"/>
              </w:rPr>
              <w:t xml:space="preserve">Lansing, MI 48909</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9"/>
          <w:szCs w:val="19"/>
          <w:highlight w:val="white"/>
          <w:rtl w:val="0"/>
        </w:rPr>
        <w:t xml:space="preserve">Dear Mr. Farhat,</w:t>
      </w:r>
    </w:p>
    <w:p w:rsidR="00000000" w:rsidDel="00000000" w:rsidP="00000000" w:rsidRDefault="00000000" w:rsidRPr="00000000">
      <w:pPr>
        <w:contextualSpacing w:val="0"/>
        <w:jc w:val="center"/>
      </w:pPr>
      <w:r w:rsidDel="00000000" w:rsidR="00000000" w:rsidRPr="00000000">
        <w:rPr>
          <w:sz w:val="19"/>
          <w:szCs w:val="19"/>
          <w:highlight w:val="white"/>
          <w:rtl w:val="0"/>
        </w:rPr>
        <w:t xml:space="preserve">Re:   FOIA;  MICHIGAN LICENSING &amp; REGULATORY</w:t>
      </w:r>
    </w:p>
    <w:p w:rsidR="00000000" w:rsidDel="00000000" w:rsidP="00000000" w:rsidRDefault="00000000" w:rsidRPr="00000000">
      <w:pPr>
        <w:contextualSpacing w:val="0"/>
        <w:jc w:val="center"/>
      </w:pPr>
      <w:r w:rsidDel="00000000" w:rsidR="00000000" w:rsidRPr="00000000">
        <w:rPr>
          <w:sz w:val="19"/>
          <w:szCs w:val="19"/>
          <w:highlight w:val="white"/>
          <w:rtl w:val="0"/>
        </w:rPr>
        <w:t xml:space="preserve">Caroline Education Community International Public School Academy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Consistent with regulations that govern FOIA, and compel compliance with public disclosure, and in my capacity as a Counsel, "Caroline Education Community International Public School Academy", request that Michigan Licensing and Regulatory provide the following information.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A copy of the "Letter of Authorization" Michigan Department of Education (MDE) issued to Licensing and Regulations, approximately 2004.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The MDE “Letter of Authorization” issued grants the Corporation Securities Division, Licensing and Regulations authorization to issue Articles of Incorporation as Caroline Education Community International Public School Academy for purposes of organization as an educational corporation.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Further, consistent with the Granholm Executive Order issued November 5, 2003, Caroline Education Community International, MDE authorized to operate as a non-profit school pursuant to Michigan General Corporation Act, MCL 450.171; statutes and regulations.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Respectfully,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Kevin M. Bannon, JD</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References: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The Michigan General Corporation Act; MCL 450.171 </w:t>
      </w:r>
    </w:p>
    <w:p w:rsidR="00000000" w:rsidDel="00000000" w:rsidP="00000000" w:rsidRDefault="00000000" w:rsidRPr="00000000">
      <w:pPr>
        <w:contextualSpacing w:val="0"/>
        <w:jc w:val="both"/>
      </w:pPr>
      <w:r w:rsidDel="00000000" w:rsidR="00000000" w:rsidRPr="00000000">
        <w:rPr>
          <w:rtl w:val="0"/>
        </w:rPr>
        <w:t xml:space="preserve">CECI PSA:  Education Corporation Charter </w:t>
      </w:r>
    </w:p>
    <w:p w:rsidR="00000000" w:rsidDel="00000000" w:rsidP="00000000" w:rsidRDefault="00000000" w:rsidRPr="00000000">
      <w:pPr>
        <w:contextualSpacing w:val="0"/>
        <w:jc w:val="both"/>
      </w:pPr>
      <w:r w:rsidDel="00000000" w:rsidR="00000000" w:rsidRPr="00000000">
        <w:rPr>
          <w:rtl w:val="0"/>
        </w:rPr>
        <w:t xml:space="preserve">Granholm Executive Order: November 5, 2003</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michigan.gov/lara/0,4601,7-154-35299_61343-139996--,00.html" TargetMode="External"/></Relationships>
</file>