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8AE" w:rsidRDefault="00EC3C38">
      <w:pPr>
        <w:ind w:right="720"/>
        <w:jc w:val="center"/>
        <w:rPr>
          <w:rFonts w:cs="Arial"/>
          <w:b/>
        </w:rPr>
      </w:pPr>
      <w:r w:rsidRPr="00427BC2">
        <w:rPr>
          <w:rFonts w:cs="Arial"/>
          <w:b/>
        </w:rPr>
        <w:t>Before the</w:t>
      </w:r>
    </w:p>
    <w:p w:rsidR="002C18AE" w:rsidRDefault="00EC3C38">
      <w:pPr>
        <w:ind w:right="720"/>
        <w:jc w:val="center"/>
        <w:rPr>
          <w:rFonts w:cs="Arial"/>
          <w:b/>
        </w:rPr>
      </w:pPr>
      <w:r w:rsidRPr="00427BC2">
        <w:rPr>
          <w:rFonts w:cs="Arial"/>
          <w:b/>
        </w:rPr>
        <w:t>FEDERAL COMMUNICATIONS COMMISSION</w:t>
      </w:r>
    </w:p>
    <w:p w:rsidR="002C18AE" w:rsidRDefault="00EC3C38">
      <w:pPr>
        <w:ind w:right="720"/>
        <w:jc w:val="center"/>
        <w:rPr>
          <w:rFonts w:cs="Arial"/>
        </w:rPr>
      </w:pPr>
      <w:smartTag w:uri="urn:schemas-microsoft-com:office:smarttags" w:element="place">
        <w:smartTag w:uri="urn:schemas-microsoft-com:office:smarttags" w:element="City">
          <w:r w:rsidRPr="00427BC2">
            <w:rPr>
              <w:rFonts w:cs="Arial"/>
              <w:b/>
            </w:rPr>
            <w:t>Washington</w:t>
          </w:r>
        </w:smartTag>
        <w:r w:rsidRPr="00427BC2">
          <w:rPr>
            <w:rFonts w:cs="Arial"/>
            <w:b/>
          </w:rPr>
          <w:t xml:space="preserve">, </w:t>
        </w:r>
        <w:smartTag w:uri="urn:schemas-microsoft-com:office:smarttags" w:element="State">
          <w:r w:rsidRPr="00427BC2">
            <w:rPr>
              <w:rFonts w:cs="Arial"/>
              <w:b/>
            </w:rPr>
            <w:t>D</w:t>
          </w:r>
          <w:r>
            <w:rPr>
              <w:rFonts w:cs="Arial"/>
              <w:b/>
            </w:rPr>
            <w:t>.</w:t>
          </w:r>
          <w:r w:rsidRPr="00427BC2">
            <w:rPr>
              <w:rFonts w:cs="Arial"/>
              <w:b/>
            </w:rPr>
            <w:t>C</w:t>
          </w:r>
          <w:r>
            <w:rPr>
              <w:rFonts w:cs="Arial"/>
              <w:b/>
            </w:rPr>
            <w:t>.</w:t>
          </w:r>
        </w:smartTag>
        <w:r w:rsidRPr="00427BC2">
          <w:rPr>
            <w:rFonts w:cs="Arial"/>
            <w:b/>
          </w:rPr>
          <w:t xml:space="preserve"> </w:t>
        </w:r>
        <w:smartTag w:uri="urn:schemas-microsoft-com:office:smarttags" w:element="PostalCode">
          <w:r w:rsidRPr="00427BC2">
            <w:rPr>
              <w:rFonts w:cs="Arial"/>
              <w:b/>
            </w:rPr>
            <w:t>20554</w:t>
          </w:r>
        </w:smartTag>
      </w:smartTag>
    </w:p>
    <w:p w:rsidR="002C18AE" w:rsidRDefault="002C18AE">
      <w:pPr>
        <w:ind w:right="720"/>
        <w:rPr>
          <w:rFonts w:cs="Arial"/>
        </w:rPr>
      </w:pPr>
    </w:p>
    <w:p w:rsidR="00885A13" w:rsidRDefault="00885A13">
      <w:pPr>
        <w:ind w:right="720"/>
        <w:rPr>
          <w:rFonts w:cs="Arial"/>
        </w:rPr>
      </w:pPr>
    </w:p>
    <w:p w:rsidR="00885A13" w:rsidRDefault="00885A13">
      <w:pPr>
        <w:ind w:right="720"/>
        <w:rPr>
          <w:rFonts w:cs="Arial"/>
        </w:rPr>
      </w:pPr>
    </w:p>
    <w:p w:rsidR="004F0FCE" w:rsidRDefault="00B243FE">
      <w:pPr>
        <w:ind w:right="72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w:t>
      </w:r>
    </w:p>
    <w:p w:rsidR="000F7A8F" w:rsidRPr="00427BC2" w:rsidRDefault="000F7A8F" w:rsidP="000F7A8F">
      <w:pPr>
        <w:ind w:right="720"/>
        <w:rPr>
          <w:rFonts w:cs="Arial"/>
        </w:rPr>
      </w:pPr>
      <w:r w:rsidRPr="00611805">
        <w:rPr>
          <w:rFonts w:cs="Arial"/>
        </w:rPr>
        <w:t>In the Matter of</w:t>
      </w:r>
      <w:r w:rsidRPr="00427BC2">
        <w:rPr>
          <w:rFonts w:cs="Arial"/>
        </w:rPr>
        <w:tab/>
      </w:r>
      <w:r w:rsidRPr="00427BC2">
        <w:rPr>
          <w:rFonts w:cs="Arial"/>
        </w:rPr>
        <w:tab/>
      </w:r>
      <w:r w:rsidRPr="00427BC2">
        <w:rPr>
          <w:rFonts w:cs="Arial"/>
        </w:rPr>
        <w:tab/>
      </w:r>
      <w:r w:rsidRPr="00427BC2">
        <w:rPr>
          <w:rFonts w:cs="Arial"/>
        </w:rPr>
        <w:tab/>
      </w:r>
      <w:r>
        <w:rPr>
          <w:rFonts w:cs="Arial"/>
        </w:rPr>
        <w:tab/>
      </w:r>
      <w:r w:rsidRPr="00427BC2">
        <w:rPr>
          <w:rFonts w:cs="Arial"/>
        </w:rPr>
        <w:t>)</w:t>
      </w:r>
    </w:p>
    <w:p w:rsidR="000F7A8F" w:rsidRPr="00427BC2" w:rsidRDefault="000F7A8F" w:rsidP="000F7A8F">
      <w:pPr>
        <w:ind w:right="720"/>
        <w:rPr>
          <w:rFonts w:cs="Arial"/>
        </w:rPr>
      </w:pPr>
      <w:r w:rsidRPr="00427BC2">
        <w:rPr>
          <w:rFonts w:cs="Arial"/>
        </w:rPr>
        <w:tab/>
      </w:r>
      <w:r w:rsidRPr="00427BC2">
        <w:rPr>
          <w:rFonts w:cs="Arial"/>
        </w:rPr>
        <w:tab/>
      </w:r>
      <w:r w:rsidRPr="00427BC2">
        <w:rPr>
          <w:rFonts w:cs="Arial"/>
        </w:rPr>
        <w:tab/>
      </w:r>
      <w:r w:rsidRPr="00427BC2">
        <w:rPr>
          <w:rFonts w:cs="Arial"/>
        </w:rPr>
        <w:tab/>
      </w:r>
      <w:r w:rsidRPr="00427BC2">
        <w:rPr>
          <w:rFonts w:cs="Arial"/>
        </w:rPr>
        <w:tab/>
      </w:r>
      <w:r w:rsidRPr="00427BC2">
        <w:rPr>
          <w:rFonts w:cs="Arial"/>
        </w:rPr>
        <w:tab/>
      </w:r>
      <w:r>
        <w:rPr>
          <w:rFonts w:cs="Arial"/>
        </w:rPr>
        <w:tab/>
      </w:r>
      <w:r w:rsidRPr="00427BC2">
        <w:rPr>
          <w:rFonts w:cs="Arial"/>
        </w:rPr>
        <w:t>)</w:t>
      </w:r>
    </w:p>
    <w:p w:rsidR="000F7A8F" w:rsidRPr="00427BC2" w:rsidRDefault="00981327" w:rsidP="000F7A8F">
      <w:pPr>
        <w:ind w:right="720"/>
        <w:rPr>
          <w:rFonts w:cs="Arial"/>
        </w:rPr>
      </w:pPr>
      <w:r>
        <w:rPr>
          <w:rFonts w:cs="Arial"/>
        </w:rPr>
        <w:t>Text-Enabled Toll Free Numbers</w:t>
      </w:r>
      <w:r w:rsidR="000F7A8F" w:rsidRPr="00427BC2">
        <w:rPr>
          <w:rFonts w:cs="Arial"/>
        </w:rPr>
        <w:tab/>
      </w:r>
      <w:r w:rsidR="000F7A8F">
        <w:rPr>
          <w:rFonts w:cs="Arial"/>
        </w:rPr>
        <w:tab/>
      </w:r>
      <w:r w:rsidR="000F7A8F">
        <w:rPr>
          <w:rFonts w:cs="Arial"/>
        </w:rPr>
        <w:tab/>
      </w:r>
      <w:r w:rsidR="000F7A8F" w:rsidRPr="00427BC2">
        <w:rPr>
          <w:rFonts w:cs="Arial"/>
        </w:rPr>
        <w:t>)</w:t>
      </w:r>
      <w:r w:rsidR="000F7A8F">
        <w:rPr>
          <w:rFonts w:cs="Arial"/>
        </w:rPr>
        <w:tab/>
        <w:t>WC Docket No. 1</w:t>
      </w:r>
      <w:r>
        <w:rPr>
          <w:rFonts w:cs="Arial"/>
        </w:rPr>
        <w:t>8</w:t>
      </w:r>
      <w:r w:rsidR="000F7A8F">
        <w:rPr>
          <w:rFonts w:cs="Arial"/>
        </w:rPr>
        <w:t>-</w:t>
      </w:r>
      <w:r>
        <w:rPr>
          <w:rFonts w:cs="Arial"/>
        </w:rPr>
        <w:t>28</w:t>
      </w:r>
      <w:r w:rsidR="000F7A8F">
        <w:rPr>
          <w:rFonts w:cs="Arial"/>
        </w:rPr>
        <w:tab/>
      </w:r>
    </w:p>
    <w:p w:rsidR="000F7A8F" w:rsidRDefault="000F7A8F" w:rsidP="000F7A8F">
      <w:pPr>
        <w:ind w:right="72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w:t>
      </w:r>
    </w:p>
    <w:p w:rsidR="000F7A8F" w:rsidRPr="00427BC2" w:rsidRDefault="000F7A8F" w:rsidP="000F7A8F">
      <w:pPr>
        <w:ind w:right="720"/>
        <w:rPr>
          <w:rFonts w:cs="Arial"/>
        </w:rPr>
      </w:pPr>
      <w:r w:rsidRPr="00427BC2">
        <w:rPr>
          <w:rFonts w:cs="Arial"/>
        </w:rPr>
        <w:tab/>
      </w:r>
      <w:r w:rsidRPr="00427BC2">
        <w:rPr>
          <w:rFonts w:cs="Arial"/>
        </w:rPr>
        <w:tab/>
      </w:r>
      <w:r>
        <w:rPr>
          <w:rFonts w:cs="Arial"/>
        </w:rPr>
        <w:tab/>
      </w:r>
      <w:r>
        <w:rPr>
          <w:rFonts w:cs="Arial"/>
        </w:rPr>
        <w:tab/>
      </w:r>
      <w:r>
        <w:rPr>
          <w:rFonts w:cs="Arial"/>
        </w:rPr>
        <w:tab/>
      </w:r>
      <w:r>
        <w:rPr>
          <w:rFonts w:cs="Arial"/>
        </w:rPr>
        <w:tab/>
      </w:r>
      <w:r>
        <w:rPr>
          <w:rFonts w:cs="Arial"/>
        </w:rPr>
        <w:tab/>
      </w:r>
      <w:r w:rsidRPr="00427BC2">
        <w:rPr>
          <w:rFonts w:cs="Arial"/>
        </w:rPr>
        <w:t>)</w:t>
      </w:r>
    </w:p>
    <w:p w:rsidR="000F7A8F" w:rsidRDefault="00981327" w:rsidP="000F7A8F">
      <w:pPr>
        <w:ind w:right="720"/>
        <w:rPr>
          <w:rFonts w:cs="Arial"/>
        </w:rPr>
      </w:pPr>
      <w:r>
        <w:rPr>
          <w:rFonts w:cs="Arial"/>
        </w:rPr>
        <w:t>Toll Free Service Access Codes</w:t>
      </w:r>
      <w:r>
        <w:rPr>
          <w:rFonts w:cs="Arial"/>
        </w:rPr>
        <w:tab/>
      </w:r>
      <w:r w:rsidR="000F7A8F">
        <w:rPr>
          <w:rFonts w:cs="Arial"/>
        </w:rPr>
        <w:tab/>
      </w:r>
      <w:r w:rsidR="000F7A8F">
        <w:rPr>
          <w:rFonts w:cs="Arial"/>
        </w:rPr>
        <w:tab/>
        <w:t>)</w:t>
      </w:r>
      <w:r w:rsidR="000F7A8F" w:rsidRPr="00D03B7B">
        <w:rPr>
          <w:rFonts w:cs="Arial"/>
        </w:rPr>
        <w:t xml:space="preserve"> </w:t>
      </w:r>
      <w:r w:rsidR="000F7A8F">
        <w:rPr>
          <w:rFonts w:cs="Arial"/>
        </w:rPr>
        <w:tab/>
      </w:r>
      <w:r w:rsidR="00F938E1">
        <w:rPr>
          <w:rFonts w:cs="Arial"/>
        </w:rPr>
        <w:t>C</w:t>
      </w:r>
      <w:r w:rsidR="000F7A8F">
        <w:rPr>
          <w:rFonts w:cs="Arial"/>
        </w:rPr>
        <w:t xml:space="preserve">C Docket No. </w:t>
      </w:r>
      <w:r>
        <w:rPr>
          <w:rFonts w:cs="Arial"/>
        </w:rPr>
        <w:t>95-155</w:t>
      </w:r>
    </w:p>
    <w:p w:rsidR="002C18AE" w:rsidRDefault="000E2C9B">
      <w:pPr>
        <w:ind w:right="72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w:t>
      </w:r>
      <w:r w:rsidR="00EC3C38">
        <w:rPr>
          <w:rFonts w:cs="Arial"/>
        </w:rPr>
        <w:tab/>
      </w:r>
      <w:r w:rsidR="00EC3C38">
        <w:rPr>
          <w:rFonts w:cs="Arial"/>
        </w:rPr>
        <w:tab/>
      </w:r>
      <w:r w:rsidR="00EC3C38">
        <w:rPr>
          <w:rFonts w:cs="Arial"/>
        </w:rPr>
        <w:tab/>
      </w:r>
      <w:r w:rsidR="00EC3C38">
        <w:rPr>
          <w:rFonts w:cs="Arial"/>
        </w:rPr>
        <w:tab/>
      </w:r>
      <w:r w:rsidR="00EC3C38">
        <w:rPr>
          <w:rFonts w:cs="Arial"/>
        </w:rPr>
        <w:tab/>
      </w:r>
      <w:r w:rsidR="00EC3C38">
        <w:rPr>
          <w:rFonts w:cs="Arial"/>
        </w:rPr>
        <w:tab/>
      </w:r>
    </w:p>
    <w:p w:rsidR="002C18AE" w:rsidRDefault="00EC3C38">
      <w:pPr>
        <w:ind w:right="720"/>
        <w:rPr>
          <w:rFonts w:cs="Arial"/>
        </w:rPr>
      </w:pPr>
      <w:r>
        <w:rPr>
          <w:rFonts w:cs="Arial"/>
        </w:rPr>
        <w:tab/>
      </w:r>
      <w:r>
        <w:rPr>
          <w:rFonts w:cs="Arial"/>
        </w:rPr>
        <w:tab/>
      </w:r>
      <w:r>
        <w:rPr>
          <w:rFonts w:cs="Arial"/>
        </w:rPr>
        <w:tab/>
      </w:r>
    </w:p>
    <w:p w:rsidR="00885A13" w:rsidRDefault="00885A13">
      <w:pPr>
        <w:ind w:right="720"/>
        <w:rPr>
          <w:rFonts w:cs="Arial"/>
        </w:rPr>
      </w:pPr>
    </w:p>
    <w:p w:rsidR="004F0FCE" w:rsidRDefault="004F0FCE">
      <w:pPr>
        <w:ind w:right="720"/>
        <w:rPr>
          <w:rFonts w:cs="Arial"/>
        </w:rPr>
      </w:pPr>
    </w:p>
    <w:p w:rsidR="002C18AE" w:rsidRDefault="00EC3C38">
      <w:pPr>
        <w:ind w:right="720"/>
        <w:jc w:val="center"/>
        <w:rPr>
          <w:rFonts w:cs="Arial"/>
          <w:b/>
        </w:rPr>
      </w:pPr>
      <w:r w:rsidRPr="00DF7085">
        <w:rPr>
          <w:rFonts w:cs="Arial"/>
          <w:b/>
        </w:rPr>
        <w:t>COMMENTS OF</w:t>
      </w:r>
    </w:p>
    <w:p w:rsidR="002C18AE" w:rsidRDefault="00EC3C38">
      <w:pPr>
        <w:ind w:right="720"/>
        <w:jc w:val="center"/>
        <w:rPr>
          <w:rFonts w:cs="Arial"/>
          <w:b/>
        </w:rPr>
      </w:pPr>
      <w:r>
        <w:rPr>
          <w:rFonts w:cs="Arial"/>
          <w:b/>
        </w:rPr>
        <w:t xml:space="preserve">THE </w:t>
      </w:r>
      <w:r w:rsidRPr="00DF7085">
        <w:rPr>
          <w:rFonts w:cs="Arial"/>
          <w:b/>
        </w:rPr>
        <w:t>AD</w:t>
      </w:r>
      <w:r>
        <w:rPr>
          <w:rFonts w:cs="Arial"/>
          <w:b/>
        </w:rPr>
        <w:t xml:space="preserve"> </w:t>
      </w:r>
      <w:r w:rsidRPr="00DF7085">
        <w:rPr>
          <w:rFonts w:cs="Arial"/>
          <w:b/>
        </w:rPr>
        <w:t>HOC TELECOM USERS COMMITTEE</w:t>
      </w:r>
    </w:p>
    <w:p w:rsidR="00885A13" w:rsidRDefault="00885A13">
      <w:pPr>
        <w:spacing w:line="480" w:lineRule="auto"/>
        <w:ind w:right="720"/>
        <w:jc w:val="center"/>
        <w:rPr>
          <w:rFonts w:cs="Arial"/>
          <w:b/>
        </w:rPr>
      </w:pPr>
    </w:p>
    <w:p w:rsidR="002C18AE" w:rsidRDefault="00EC3C38" w:rsidP="00F752ED">
      <w:pPr>
        <w:pStyle w:val="commentbody"/>
      </w:pPr>
      <w:r>
        <w:t>The Ad Hoc Telecom Users Committee (</w:t>
      </w:r>
      <w:r w:rsidR="00ED3B29">
        <w:t>“</w:t>
      </w:r>
      <w:r>
        <w:t>Ad Hoc</w:t>
      </w:r>
      <w:r w:rsidR="00ED3B29">
        <w:t>”</w:t>
      </w:r>
      <w:r>
        <w:t xml:space="preserve">) hereby </w:t>
      </w:r>
      <w:r w:rsidR="004C41A6">
        <w:t>submits its comments in response</w:t>
      </w:r>
      <w:r>
        <w:t xml:space="preserve"> to the </w:t>
      </w:r>
      <w:r w:rsidR="00981327" w:rsidRPr="00981327">
        <w:t>Declaratory Ruling and Notice of Proposed Rulemaking (</w:t>
      </w:r>
      <w:r w:rsidR="00706AC2">
        <w:t>“</w:t>
      </w:r>
      <w:r w:rsidR="00981327" w:rsidRPr="00981327">
        <w:t>NPRM</w:t>
      </w:r>
      <w:r w:rsidR="00706AC2">
        <w:t>”</w:t>
      </w:r>
      <w:r w:rsidR="00981327" w:rsidRPr="00981327">
        <w:t>)</w:t>
      </w:r>
      <w:r w:rsidR="00981327">
        <w:t xml:space="preserve"> rel</w:t>
      </w:r>
      <w:r w:rsidR="000F7A8F">
        <w:t xml:space="preserve">eased </w:t>
      </w:r>
      <w:r w:rsidR="00706AC2">
        <w:t>in the dockets captioned above</w:t>
      </w:r>
      <w:r w:rsidR="000F7A8F">
        <w:t>.</w:t>
      </w:r>
      <w:r w:rsidR="009E33E7">
        <w:rPr>
          <w:rStyle w:val="FootnoteReference"/>
        </w:rPr>
        <w:footnoteReference w:id="1"/>
      </w:r>
      <w:r>
        <w:t xml:space="preserve"> </w:t>
      </w:r>
      <w:r w:rsidR="000B702E">
        <w:t xml:space="preserve"> For the reasons </w:t>
      </w:r>
      <w:r w:rsidR="008D502E">
        <w:t>discussed</w:t>
      </w:r>
      <w:r w:rsidR="000B702E">
        <w:t xml:space="preserve"> below, </w:t>
      </w:r>
      <w:r w:rsidR="00F67875">
        <w:t>Ad Hoc supports the Commission’s</w:t>
      </w:r>
      <w:r w:rsidR="00981327">
        <w:t xml:space="preserve"> proposal in the NPRM </w:t>
      </w:r>
      <w:r w:rsidR="00981327" w:rsidRPr="00981327">
        <w:t>to require messaging providers to obtain a subscriber’s authorization through the subscriber’s designated Responsible Organization (</w:t>
      </w:r>
      <w:r w:rsidR="00F67875">
        <w:t>“</w:t>
      </w:r>
      <w:r w:rsidR="00981327" w:rsidRPr="00981327">
        <w:t>RespOrg</w:t>
      </w:r>
      <w:r w:rsidR="00F67875">
        <w:t>”</w:t>
      </w:r>
      <w:r w:rsidR="00981327" w:rsidRPr="00981327">
        <w:t>) and to require the RespOrg to reflect the subscriber’s authorization to text-enable its toll free number in the Service Management System (</w:t>
      </w:r>
      <w:r w:rsidR="00706AC2">
        <w:t>“</w:t>
      </w:r>
      <w:r w:rsidR="00981327" w:rsidRPr="00981327">
        <w:t>SMS</w:t>
      </w:r>
      <w:r w:rsidR="00706AC2">
        <w:t>”</w:t>
      </w:r>
      <w:r w:rsidR="00981327" w:rsidRPr="00981327">
        <w:t>) Database</w:t>
      </w:r>
      <w:r w:rsidR="00981327">
        <w:t>.</w:t>
      </w:r>
    </w:p>
    <w:p w:rsidR="00F752ED" w:rsidRDefault="00F752ED" w:rsidP="00BC30EF">
      <w:pPr>
        <w:pStyle w:val="commentbody"/>
        <w:rPr>
          <w:szCs w:val="20"/>
        </w:rPr>
      </w:pPr>
      <w:r>
        <w:t xml:space="preserve">For over 35 years, Ad Hoc has represented enterprise customers in numerous proceedings before this Commission.  Ad Hoc members are among </w:t>
      </w:r>
      <w:r>
        <w:lastRenderedPageBreak/>
        <w:t>the nation’s largest and most sophisticated corporate buyers of information technology (“IT”) and communications services.  Committee members come from a broad range of industry verticals – including banking, construction, financial services, insurance, information services, logistics, manufacturing,</w:t>
      </w:r>
      <w:r w:rsidR="004136F8">
        <w:t xml:space="preserve"> and</w:t>
      </w:r>
      <w:r>
        <w:t xml:space="preserve"> payment processing</w:t>
      </w:r>
      <w:r w:rsidR="00BC30EF">
        <w:t xml:space="preserve"> </w:t>
      </w:r>
      <w:r>
        <w:t xml:space="preserve">– and they maintain tens of thousands of business premises in every region of the country.  As substantial, geographically-diverse end users of network and IT services nationwide, Ad Hoc members are uniquely qualified to provide a credible, unbiased, and informed perspective regarding the impact of Commission proceedings on customers in the communications marketplace.  </w:t>
      </w:r>
    </w:p>
    <w:p w:rsidR="00F752ED" w:rsidRDefault="00F752ED" w:rsidP="00BC30EF">
      <w:pPr>
        <w:pStyle w:val="commentbody"/>
      </w:pPr>
      <w:r>
        <w:t xml:space="preserve">Because Ad Hoc admits no wireline or wireless service providers as members and accepts no funding from them, Ad Hoc’s positions are not influenced by any commercial self-interest that would </w:t>
      </w:r>
      <w:r w:rsidR="008D502E">
        <w:t>support</w:t>
      </w:r>
      <w:r>
        <w:t xml:space="preserve"> unnecessary regulatory constraints on competing service providers.  Indeed, as high-volume purchasers of IT and communications products and services, Ad Hoc members have historically been among the first beneficiaries of the Commission’s de-regulatory efforts.  As a consequence, Ad Hoc has consistently advocated for de-regulation in communications markets as soon as a market becomes competitive.  </w:t>
      </w:r>
    </w:p>
    <w:p w:rsidR="00F752ED" w:rsidRDefault="00F752ED" w:rsidP="00BC30EF">
      <w:pPr>
        <w:pStyle w:val="commentbody"/>
      </w:pPr>
      <w:r>
        <w:t xml:space="preserve">Ad Hoc members are also some of the country’s largest users of toll free numbers and therefore have a substantial stake in ensuring that toll free numbers continue to be a reliable resource for customer communications.  Toll free numbers are a critical resource for Ad Hoc’s members and other toll free customers who have made significant investments in customer service and </w:t>
      </w:r>
      <w:r>
        <w:lastRenderedPageBreak/>
        <w:t>customer outreach systems that depend upon reliable and secure toll free service and toll free number assignments.  Over time, toll free customers and the callers seeking to connect with them have learned to depend on toll free service in a wide range of settings, from the credit card issuer seeking rapid notification of a stolen card to a pharmaceutical company responding to adverse drug reactions to a manufacturer educating purchasers about product safety. Thus, Ad Hoc members view the integrity of the toll free number assignment and activation process as a critical component of their businesses.</w:t>
      </w:r>
    </w:p>
    <w:p w:rsidR="006D11AB" w:rsidRDefault="004A40F0" w:rsidP="004A40F0">
      <w:pPr>
        <w:pStyle w:val="commentbody"/>
      </w:pPr>
      <w:r>
        <w:t xml:space="preserve">The Declaratory Ruling </w:t>
      </w:r>
      <w:r w:rsidR="00757895">
        <w:t xml:space="preserve">rightly clarifies that it is only the </w:t>
      </w:r>
      <w:r w:rsidR="00BE4D81">
        <w:t xml:space="preserve">toll free </w:t>
      </w:r>
      <w:r w:rsidR="00757895">
        <w:t>customer that can authorize text-enabl</w:t>
      </w:r>
      <w:r w:rsidR="00BE4D81">
        <w:t>ing of the toll free number</w:t>
      </w:r>
      <w:r w:rsidR="00757895">
        <w:t>.  Adoption of the proposal</w:t>
      </w:r>
      <w:r w:rsidR="00BE4D81">
        <w:t>s</w:t>
      </w:r>
      <w:r w:rsidR="00757895">
        <w:t xml:space="preserve"> in the NPRM </w:t>
      </w:r>
      <w:r w:rsidR="006D11AB">
        <w:t>(</w:t>
      </w:r>
      <w:r w:rsidR="005A333B">
        <w:t>designating</w:t>
      </w:r>
      <w:r w:rsidR="006D11AB">
        <w:t xml:space="preserve"> RespOrgs as the appropriate parties to </w:t>
      </w:r>
      <w:r w:rsidR="005A333B">
        <w:t>implement text-enabling</w:t>
      </w:r>
      <w:r w:rsidR="006D11AB">
        <w:t xml:space="preserve"> authorizations and requiring that authorization </w:t>
      </w:r>
      <w:r w:rsidR="005A333B">
        <w:t xml:space="preserve">to </w:t>
      </w:r>
      <w:r w:rsidR="006D11AB">
        <w:t xml:space="preserve">be </w:t>
      </w:r>
      <w:r w:rsidR="005A333B">
        <w:t>recorded</w:t>
      </w:r>
      <w:r w:rsidR="006D11AB">
        <w:t xml:space="preserve"> in a field in the SMS</w:t>
      </w:r>
      <w:r w:rsidR="000F3D9F">
        <w:t xml:space="preserve">/800 </w:t>
      </w:r>
      <w:r w:rsidR="006D11AB">
        <w:t xml:space="preserve">database) </w:t>
      </w:r>
      <w:r w:rsidR="00757895">
        <w:t xml:space="preserve">is a necessary next step to </w:t>
      </w:r>
      <w:r w:rsidR="00DF4DB9">
        <w:t xml:space="preserve">ensure that </w:t>
      </w:r>
      <w:r w:rsidR="00757895">
        <w:t>authoriz</w:t>
      </w:r>
      <w:r w:rsidR="00DF4DB9">
        <w:t xml:space="preserve">ation for text-enabling </w:t>
      </w:r>
      <w:r>
        <w:t xml:space="preserve">toll free numbers </w:t>
      </w:r>
      <w:r w:rsidR="00DF4DB9">
        <w:t xml:space="preserve">and </w:t>
      </w:r>
      <w:r>
        <w:t>rout</w:t>
      </w:r>
      <w:r w:rsidR="00DF4DB9">
        <w:t>ing of authorized</w:t>
      </w:r>
      <w:r>
        <w:t xml:space="preserve"> text traffic compl</w:t>
      </w:r>
      <w:r w:rsidR="00DF4DB9">
        <w:t>ies</w:t>
      </w:r>
      <w:r>
        <w:t xml:space="preserve"> with the existing rules for toll free number management.  </w:t>
      </w:r>
    </w:p>
    <w:p w:rsidR="00DF4DB9" w:rsidRDefault="004A40F0" w:rsidP="004A40F0">
      <w:pPr>
        <w:pStyle w:val="commentbody"/>
      </w:pPr>
      <w:r>
        <w:t xml:space="preserve">Ad Hoc members were surprised to learn that texting service providers are able to text-enable a toll free number that may already be in working status for voice traffic without using the </w:t>
      </w:r>
      <w:r w:rsidR="00C01082">
        <w:t>RespOrg</w:t>
      </w:r>
      <w:r>
        <w:t xml:space="preserve"> system established by this Commission to ensure that the toll free customer is informed about the status of its numbers and retains control of the number regardless of changes in the underlying service provider.  </w:t>
      </w:r>
      <w:r w:rsidR="00DF4DB9">
        <w:t xml:space="preserve">The Declaratory Ruling </w:t>
      </w:r>
      <w:r w:rsidR="008D502E">
        <w:t xml:space="preserve">alone, </w:t>
      </w:r>
      <w:r w:rsidR="00DF4DB9">
        <w:t>without the proposed rule changes</w:t>
      </w:r>
      <w:r w:rsidR="008D502E">
        <w:t>,</w:t>
      </w:r>
      <w:r w:rsidR="00DF4DB9">
        <w:t xml:space="preserve"> </w:t>
      </w:r>
      <w:r w:rsidR="005A333B">
        <w:t xml:space="preserve">would </w:t>
      </w:r>
      <w:r w:rsidR="00DF4DB9">
        <w:t xml:space="preserve">not preserve </w:t>
      </w:r>
      <w:r w:rsidR="005A333B">
        <w:t>these customer protections</w:t>
      </w:r>
      <w:r w:rsidR="00DF4DB9">
        <w:t xml:space="preserve">.  </w:t>
      </w:r>
    </w:p>
    <w:p w:rsidR="004A40F0" w:rsidRDefault="004A40F0" w:rsidP="004A40F0">
      <w:pPr>
        <w:pStyle w:val="commentbody"/>
        <w:rPr>
          <w:szCs w:val="20"/>
        </w:rPr>
      </w:pPr>
      <w:r>
        <w:lastRenderedPageBreak/>
        <w:t xml:space="preserve">Enterprise customers count on their </w:t>
      </w:r>
      <w:r w:rsidR="00C01082">
        <w:t>RespOrg</w:t>
      </w:r>
      <w:r>
        <w:t>s to manage their toll free numbers</w:t>
      </w:r>
      <w:r w:rsidR="008D502E">
        <w:t xml:space="preserve">.  They typically </w:t>
      </w:r>
      <w:r>
        <w:t xml:space="preserve">establish internal processes and designate personnel who are responsible for – and knowledgeable regarding – their </w:t>
      </w:r>
      <w:r w:rsidR="00C01082">
        <w:t>RespOrg</w:t>
      </w:r>
      <w:r>
        <w:t xml:space="preserve">, the </w:t>
      </w:r>
      <w:r w:rsidR="00C01082">
        <w:t>RespOrg</w:t>
      </w:r>
      <w:r>
        <w:t>’s procedures for contacting them, and their company procedures for responding when issues arise regarding their toll-free numbers.</w:t>
      </w:r>
    </w:p>
    <w:p w:rsidR="004A40F0" w:rsidRDefault="004A40F0" w:rsidP="004A40F0">
      <w:pPr>
        <w:pStyle w:val="commentbody"/>
      </w:pPr>
      <w:r>
        <w:t xml:space="preserve">Text-enabling (or making any other change to the status of a toll free number) without the knowledge of a customer’s </w:t>
      </w:r>
      <w:r w:rsidR="00C01082">
        <w:t>RespOrg</w:t>
      </w:r>
      <w:r>
        <w:t xml:space="preserve"> creates substantial risks for enterprise customers.  If service providers are allowed to text-enable toll free numbers without (1) the knowledge of the relevant </w:t>
      </w:r>
      <w:r w:rsidR="00C01082">
        <w:t>RespOrg</w:t>
      </w:r>
      <w:r>
        <w:t xml:space="preserve">, (2) the notice the </w:t>
      </w:r>
      <w:r w:rsidR="00C01082">
        <w:t>RespOrg</w:t>
      </w:r>
      <w:r>
        <w:t xml:space="preserve"> provides to the toll free customer, or (3) the authorization the </w:t>
      </w:r>
      <w:r w:rsidR="00C01082">
        <w:t>RespOrg</w:t>
      </w:r>
      <w:r>
        <w:t xml:space="preserve"> obtains from the designated employee(s) responsible for managing the customer’s toll free numbers, then opportunities for consumer fraud and confusion are greatly increased</w:t>
      </w:r>
      <w:r w:rsidR="00EC4395">
        <w:t>.  C</w:t>
      </w:r>
      <w:r>
        <w:t xml:space="preserve">onsumers will associate a toll free number with the familiar toll free voice customer regardless of whether the consumer is using that number to place a voice call or send a text.  And a consumer instructed to text information using a toll free number associated with a trusted business will (reasonably) assume that any information sent to that number </w:t>
      </w:r>
      <w:r w:rsidR="008D502E">
        <w:t>will be received only by</w:t>
      </w:r>
      <w:r>
        <w:t xml:space="preserve"> that business.  </w:t>
      </w:r>
    </w:p>
    <w:p w:rsidR="004A40F0" w:rsidRDefault="004A40F0" w:rsidP="004A40F0">
      <w:pPr>
        <w:pStyle w:val="commentbody"/>
      </w:pPr>
      <w:r>
        <w:t xml:space="preserve">If texting service providers are permitted to circumvent the </w:t>
      </w:r>
      <w:r w:rsidR="00C01082">
        <w:t>RespOrg</w:t>
      </w:r>
      <w:r>
        <w:t xml:space="preserve"> notification/authorization process and rely on contacts with personnel other than the toll free customer’s </w:t>
      </w:r>
      <w:r w:rsidR="002D27A5">
        <w:t xml:space="preserve">designated </w:t>
      </w:r>
      <w:r w:rsidR="00885A13">
        <w:t xml:space="preserve">RespOrg contact, </w:t>
      </w:r>
      <w:r>
        <w:t xml:space="preserve">then the risk that toll free numbers will be </w:t>
      </w:r>
      <w:r w:rsidR="00D81547">
        <w:t>mis</w:t>
      </w:r>
      <w:r>
        <w:t xml:space="preserve">used greatly increases.  An individual or company could, for example, text-enable the toll free customer service number on the back of a </w:t>
      </w:r>
      <w:r>
        <w:lastRenderedPageBreak/>
        <w:t xml:space="preserve">credit card and ask consumers to text via that number sensitive personal and/or financial information associated with their card account.  Consumers would reasonably assume that the text is legitimate because the toll free text number matches the toll free voice number they are accustomed to using.  That scenario is not unlikely or far-fetched; enterprise customers are already concerned about the practice of “smishing,” i.e., “phishing” for sensitive information but using SMS communications rather than traditional email services.   </w:t>
      </w:r>
    </w:p>
    <w:p w:rsidR="003555DC" w:rsidRDefault="006D11AB">
      <w:pPr>
        <w:pStyle w:val="commentbody"/>
      </w:pPr>
      <w:r>
        <w:t>As the NPRM recognizes,</w:t>
      </w:r>
      <w:r>
        <w:rPr>
          <w:rStyle w:val="FootnoteReference"/>
        </w:rPr>
        <w:footnoteReference w:id="2"/>
      </w:r>
      <w:r>
        <w:t xml:space="preserve"> </w:t>
      </w:r>
      <w:r w:rsidR="004A40F0">
        <w:t>the Commission has already exercised its plenary jurisdiction over the North American Numbering plan</w:t>
      </w:r>
      <w:r w:rsidR="004A40F0">
        <w:rPr>
          <w:rStyle w:val="FootnoteReference"/>
        </w:rPr>
        <w:footnoteReference w:id="3"/>
      </w:r>
      <w:r w:rsidR="004A40F0">
        <w:t xml:space="preserve"> to establish rules that protect the rights of toll free customers with respect to the management of their toll free numbers.  Under those rules, the Service Management System Database (“SMS Database”) is the only administrative database system for toll free numbers</w:t>
      </w:r>
      <w:r w:rsidR="003555DC">
        <w:t xml:space="preserve"> and it should continue to be</w:t>
      </w:r>
      <w:r w:rsidR="00885A13">
        <w:t>,</w:t>
      </w:r>
      <w:r w:rsidR="003555DC">
        <w:t xml:space="preserve"> despite the advent of text messaging as a service</w:t>
      </w:r>
      <w:r w:rsidR="004A40F0">
        <w:t xml:space="preserve">.  It is </w:t>
      </w:r>
      <w:r w:rsidR="00885A13">
        <w:t>the SMS Database</w:t>
      </w:r>
      <w:r w:rsidR="004A40F0">
        <w:t xml:space="preserve"> system that enables </w:t>
      </w:r>
      <w:r w:rsidR="00C01082">
        <w:t>RespOrg</w:t>
      </w:r>
      <w:r w:rsidR="004A40F0">
        <w:t>s to “enter and amend the data about toll free numbers within their control.”</w:t>
      </w:r>
      <w:r w:rsidR="004A40F0">
        <w:rPr>
          <w:rStyle w:val="FootnoteReference"/>
        </w:rPr>
        <w:footnoteReference w:id="4"/>
      </w:r>
      <w:r w:rsidR="004A40F0">
        <w:t xml:space="preserve"> And </w:t>
      </w:r>
      <w:r w:rsidR="00C01082">
        <w:t>RespOrg</w:t>
      </w:r>
      <w:r w:rsidR="004A40F0">
        <w:t>s are the only entities chosen by toll free subscribers “to manage and administer”</w:t>
      </w:r>
      <w:r w:rsidR="004A40F0">
        <w:rPr>
          <w:rStyle w:val="FootnoteReference"/>
        </w:rPr>
        <w:footnoteReference w:id="5"/>
      </w:r>
      <w:r w:rsidR="004A40F0">
        <w:t xml:space="preserve"> information regarding their toll free numbers in the SMS Database. Only </w:t>
      </w:r>
      <w:r w:rsidR="00C01082">
        <w:t>RespOrg</w:t>
      </w:r>
      <w:r w:rsidR="004A40F0">
        <w:t xml:space="preserve">s can “enter and amend” the records for routing traffic to toll free </w:t>
      </w:r>
      <w:r w:rsidR="004A40F0">
        <w:lastRenderedPageBreak/>
        <w:t>numbers and data regarding the toll free numbers.</w:t>
      </w:r>
      <w:r w:rsidR="004A40F0">
        <w:rPr>
          <w:rStyle w:val="FootnoteReference"/>
        </w:rPr>
        <w:footnoteReference w:id="6"/>
      </w:r>
      <w:r w:rsidR="004A40F0">
        <w:t xml:space="preserve">  </w:t>
      </w:r>
      <w:r w:rsidR="005C63C3">
        <w:t xml:space="preserve">Allowing parties other than </w:t>
      </w:r>
      <w:r w:rsidR="00C01082">
        <w:t>RespOrg</w:t>
      </w:r>
      <w:r w:rsidR="005C63C3">
        <w:t>s</w:t>
      </w:r>
      <w:r w:rsidR="00B35D09">
        <w:t xml:space="preserve"> to solicit and maintain </w:t>
      </w:r>
      <w:r w:rsidR="00F45CE7">
        <w:t xml:space="preserve">toll free customer authorization </w:t>
      </w:r>
      <w:r w:rsidR="00B35D09">
        <w:t xml:space="preserve">information </w:t>
      </w:r>
      <w:r w:rsidR="00885A13">
        <w:t>contradicts this long-</w:t>
      </w:r>
      <w:r w:rsidR="003555DC">
        <w:t xml:space="preserve">established and well-functioning process.  </w:t>
      </w:r>
    </w:p>
    <w:p w:rsidR="004A40F0" w:rsidRDefault="002D27A5" w:rsidP="004A40F0">
      <w:pPr>
        <w:pStyle w:val="commentbody"/>
      </w:pPr>
      <w:r>
        <w:t>A</w:t>
      </w:r>
      <w:r w:rsidR="00D4403D">
        <w:t>ccordingly, A</w:t>
      </w:r>
      <w:r>
        <w:t>d Hoc supports</w:t>
      </w:r>
      <w:r w:rsidR="004A40F0">
        <w:t xml:space="preserve"> </w:t>
      </w:r>
      <w:r w:rsidR="00B01525">
        <w:t xml:space="preserve">the </w:t>
      </w:r>
      <w:r>
        <w:t xml:space="preserve">NPRM’s </w:t>
      </w:r>
      <w:r w:rsidR="00B01525">
        <w:t>proposal</w:t>
      </w:r>
      <w:r w:rsidR="00D30949">
        <w:t xml:space="preserve">s to require toll free customers </w:t>
      </w:r>
      <w:r w:rsidR="00885A13">
        <w:t xml:space="preserve">or </w:t>
      </w:r>
      <w:r w:rsidR="000E2C9B">
        <w:t>entities</w:t>
      </w:r>
      <w:r w:rsidR="00885A13">
        <w:t xml:space="preserve"> authorized by them </w:t>
      </w:r>
      <w:r w:rsidR="00D30949">
        <w:t>to notify their</w:t>
      </w:r>
      <w:r w:rsidR="00B01525">
        <w:t xml:space="preserve"> </w:t>
      </w:r>
      <w:r w:rsidR="00C01082">
        <w:t>RespOrg</w:t>
      </w:r>
      <w:r w:rsidR="004A40F0">
        <w:t xml:space="preserve"> </w:t>
      </w:r>
      <w:r w:rsidR="00D30949">
        <w:t xml:space="preserve">when a toll free number is text-enabled and to require RespOrgs to record that authorization in the SMS Database.  </w:t>
      </w:r>
      <w:r w:rsidR="004A40F0">
        <w:t>The</w:t>
      </w:r>
      <w:r w:rsidR="00D30949">
        <w:t>se</w:t>
      </w:r>
      <w:r w:rsidR="004A40F0">
        <w:t xml:space="preserve"> </w:t>
      </w:r>
      <w:r w:rsidR="00D30949">
        <w:t xml:space="preserve">requirements </w:t>
      </w:r>
      <w:r w:rsidR="00885A13">
        <w:t xml:space="preserve">will </w:t>
      </w:r>
      <w:r w:rsidR="004A40F0">
        <w:t xml:space="preserve">ensure that </w:t>
      </w:r>
      <w:r w:rsidR="00885A13">
        <w:t xml:space="preserve">toll free customers or their </w:t>
      </w:r>
      <w:r w:rsidR="00D30949">
        <w:t>messaging providers</w:t>
      </w:r>
      <w:r w:rsidR="004A40F0">
        <w:t xml:space="preserve"> contact the </w:t>
      </w:r>
      <w:r w:rsidR="00885A13">
        <w:t xml:space="preserve">customer’s </w:t>
      </w:r>
      <w:r w:rsidR="00D4403D">
        <w:t xml:space="preserve">RespOrg </w:t>
      </w:r>
      <w:r w:rsidR="004A40F0">
        <w:t xml:space="preserve">to </w:t>
      </w:r>
      <w:r w:rsidR="00885A13">
        <w:t xml:space="preserve">ensure appropriate management of the customer’s toll free resources </w:t>
      </w:r>
      <w:r w:rsidR="00D81547">
        <w:t xml:space="preserve">as well as ensuring that status information for toll free numbers in the SMS Database is complete and accurate. </w:t>
      </w:r>
      <w:r w:rsidR="004A40F0">
        <w:t xml:space="preserve"> </w:t>
      </w:r>
    </w:p>
    <w:p w:rsidR="005F2CD1" w:rsidRPr="004A40F0" w:rsidRDefault="004A40F0" w:rsidP="007A1C4C">
      <w:pPr>
        <w:pStyle w:val="commentbody"/>
        <w:rPr>
          <w:rFonts w:cs="Times New Roman"/>
          <w:szCs w:val="20"/>
        </w:rPr>
      </w:pPr>
      <w:r>
        <w:t xml:space="preserve">Absent compliance </w:t>
      </w:r>
      <w:r w:rsidR="00B81521">
        <w:t xml:space="preserve">by text message providers </w:t>
      </w:r>
      <w:r>
        <w:t xml:space="preserve">with the </w:t>
      </w:r>
      <w:r w:rsidR="00B81521">
        <w:t xml:space="preserve">same </w:t>
      </w:r>
      <w:r w:rsidR="00D4403D">
        <w:t xml:space="preserve">number management </w:t>
      </w:r>
      <w:r>
        <w:t>rules</w:t>
      </w:r>
      <w:r w:rsidR="00B81521">
        <w:t xml:space="preserve"> applicable to voice service providers</w:t>
      </w:r>
      <w:r>
        <w:t>, the rights and responsibilities of toll free customers with respect to text-enabling their toll free numbers will be uncertain at best.  In an uncertain environment, demand for text-enabling will be suppressed and the development of a market for the service will be impeded.</w:t>
      </w:r>
      <w:r w:rsidR="00885A13">
        <w:t xml:space="preserve">  </w:t>
      </w:r>
      <w:r w:rsidR="00D4403D">
        <w:t xml:space="preserve">Moreover, a </w:t>
      </w:r>
      <w:r>
        <w:t xml:space="preserve">robust and centralized clearinghouse for administering and managing toll free number </w:t>
      </w:r>
      <w:r w:rsidR="0019658F">
        <w:t xml:space="preserve">attributes like </w:t>
      </w:r>
      <w:r w:rsidR="00D4403D">
        <w:t xml:space="preserve">text-enabling </w:t>
      </w:r>
      <w:r>
        <w:t xml:space="preserve">is the most efficient and cost-effective way to manage </w:t>
      </w:r>
      <w:r w:rsidR="0019658F">
        <w:t xml:space="preserve">those </w:t>
      </w:r>
      <w:r>
        <w:t>attributes</w:t>
      </w:r>
      <w:r w:rsidR="0019658F">
        <w:t>.</w:t>
      </w:r>
    </w:p>
    <w:p w:rsidR="00EC3C38" w:rsidRPr="00753CFA" w:rsidRDefault="00753CFA" w:rsidP="00751F44">
      <w:pPr>
        <w:pStyle w:val="Title"/>
        <w:keepNext/>
      </w:pPr>
      <w:r w:rsidRPr="004F0FCE">
        <w:lastRenderedPageBreak/>
        <w:t>CONCLUSION</w:t>
      </w:r>
    </w:p>
    <w:p w:rsidR="00BA6D45" w:rsidRDefault="00B81521" w:rsidP="00BA6D45">
      <w:pPr>
        <w:pStyle w:val="BodyTextIndent"/>
      </w:pPr>
      <w:r>
        <w:t>For the reasons set forth above</w:t>
      </w:r>
      <w:r w:rsidR="0019658F">
        <w:t>,</w:t>
      </w:r>
      <w:r>
        <w:t xml:space="preserve"> t</w:t>
      </w:r>
      <w:r w:rsidR="004F0FCE">
        <w:t xml:space="preserve">he Commission </w:t>
      </w:r>
      <w:r w:rsidR="00F51886">
        <w:t xml:space="preserve">should </w:t>
      </w:r>
      <w:r w:rsidR="0019658F">
        <w:t xml:space="preserve">adopt the changes proposed in the NPRM and eliminate the risk of </w:t>
      </w:r>
      <w:r w:rsidR="00CC491D">
        <w:t>unauthorized text-enabling of toll free numbers</w:t>
      </w:r>
      <w:r w:rsidR="0019658F">
        <w:t>.</w:t>
      </w:r>
    </w:p>
    <w:p w:rsidR="00EC3C38" w:rsidRDefault="00EC3C38" w:rsidP="00885A13">
      <w:pPr>
        <w:pStyle w:val="BodyTextIndent"/>
        <w:ind w:left="3600"/>
        <w:rPr>
          <w:rFonts w:cs="Arial"/>
        </w:rPr>
      </w:pPr>
      <w:r>
        <w:rPr>
          <w:rFonts w:cs="Arial"/>
        </w:rPr>
        <w:t>Respectfully submitted,</w:t>
      </w:r>
    </w:p>
    <w:p w:rsidR="00EC3C38" w:rsidRPr="00996DBA" w:rsidRDefault="00EC3C38" w:rsidP="00880E2A">
      <w:pPr>
        <w:keepNext/>
        <w:ind w:left="4320" w:right="720"/>
        <w:rPr>
          <w:rFonts w:cs="Arial"/>
          <w:b/>
        </w:rPr>
      </w:pPr>
      <w:r w:rsidRPr="00996DBA">
        <w:rPr>
          <w:rFonts w:cs="Arial"/>
          <w:b/>
        </w:rPr>
        <w:t>AD HOC TELECOM USERS COMMITTEE</w:t>
      </w:r>
    </w:p>
    <w:p w:rsidR="00B00D2F" w:rsidRDefault="007128D1" w:rsidP="00880E2A">
      <w:pPr>
        <w:keepNext/>
        <w:tabs>
          <w:tab w:val="left" w:pos="4320"/>
        </w:tabs>
        <w:ind w:right="720"/>
        <w:rPr>
          <w:rFonts w:cs="Arial"/>
        </w:rPr>
      </w:pPr>
      <w:r>
        <w:rPr>
          <w:rFonts w:cs="Arial"/>
        </w:rPr>
        <w:tab/>
      </w:r>
    </w:p>
    <w:p w:rsidR="00A95C40" w:rsidRPr="00A95C40" w:rsidRDefault="00A95C40" w:rsidP="00880E2A">
      <w:pPr>
        <w:keepNext/>
        <w:tabs>
          <w:tab w:val="left" w:pos="4320"/>
        </w:tabs>
        <w:ind w:right="720"/>
        <w:rPr>
          <w:rFonts w:cs="Arial"/>
          <w:u w:val="single"/>
        </w:rPr>
      </w:pPr>
    </w:p>
    <w:p w:rsidR="00583A7A" w:rsidRDefault="00A95C40" w:rsidP="00BA6D45">
      <w:pPr>
        <w:keepNext/>
        <w:tabs>
          <w:tab w:val="left" w:pos="4320"/>
        </w:tabs>
        <w:ind w:right="720"/>
        <w:rPr>
          <w:rFonts w:cs="Arial"/>
        </w:rPr>
      </w:pPr>
      <w:r>
        <w:rPr>
          <w:rFonts w:cs="Arial"/>
        </w:rPr>
        <w:tab/>
      </w:r>
      <w:r w:rsidR="00EC3C38">
        <w:rPr>
          <w:rFonts w:cs="Arial"/>
        </w:rPr>
        <w:t>By:_</w:t>
      </w:r>
      <w:r w:rsidR="00885A13" w:rsidRPr="00885A13">
        <w:rPr>
          <w:rFonts w:cs="Arial"/>
          <w:noProof/>
          <w:u w:val="single"/>
        </w:rPr>
        <w:t xml:space="preserve"> </w:t>
      </w:r>
      <w:r w:rsidR="00885A13">
        <w:rPr>
          <w:rFonts w:cs="Arial"/>
          <w:noProof/>
          <w:u w:val="single"/>
        </w:rPr>
        <w:drawing>
          <wp:inline distT="0" distB="0" distL="0" distR="0" wp14:anchorId="0A38BD39" wp14:editId="3DBFF618">
            <wp:extent cx="1857375" cy="43338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cboothby.jpg"/>
                    <pic:cNvPicPr/>
                  </pic:nvPicPr>
                  <pic:blipFill>
                    <a:blip r:embed="rId8"/>
                    <a:stretch>
                      <a:fillRect/>
                    </a:stretch>
                  </pic:blipFill>
                  <pic:spPr>
                    <a:xfrm>
                      <a:off x="0" y="0"/>
                      <a:ext cx="1949337" cy="454846"/>
                    </a:xfrm>
                    <a:prstGeom prst="rect">
                      <a:avLst/>
                    </a:prstGeom>
                  </pic:spPr>
                </pic:pic>
              </a:graphicData>
            </a:graphic>
          </wp:inline>
        </w:drawing>
      </w:r>
      <w:r w:rsidR="00EC3C38">
        <w:rPr>
          <w:rFonts w:cs="Arial"/>
        </w:rPr>
        <w:t>_</w:t>
      </w:r>
      <w:r w:rsidR="004C41A6">
        <w:rPr>
          <w:rFonts w:cs="Arial"/>
          <w:noProof/>
          <w:u w:val="single"/>
        </w:rPr>
        <w:t>__</w:t>
      </w:r>
      <w:r w:rsidR="00885A13">
        <w:rPr>
          <w:rFonts w:cs="Arial"/>
          <w:noProof/>
          <w:u w:val="single"/>
        </w:rPr>
        <w:t xml:space="preserve"> </w:t>
      </w:r>
    </w:p>
    <w:p w:rsidR="00F969CF" w:rsidRPr="00A95C40" w:rsidRDefault="00F969CF" w:rsidP="00BA6D45">
      <w:pPr>
        <w:keepNext/>
        <w:tabs>
          <w:tab w:val="left" w:pos="4320"/>
        </w:tabs>
        <w:ind w:right="720"/>
        <w:rPr>
          <w:rFonts w:cs="Arial"/>
        </w:rPr>
      </w:pPr>
    </w:p>
    <w:tbl>
      <w:tblPr>
        <w:tblW w:w="9558" w:type="dxa"/>
        <w:tblInd w:w="-90" w:type="dxa"/>
        <w:tblLayout w:type="fixed"/>
        <w:tblLook w:val="0000" w:firstRow="0" w:lastRow="0" w:firstColumn="0" w:lastColumn="0" w:noHBand="0" w:noVBand="0"/>
      </w:tblPr>
      <w:tblGrid>
        <w:gridCol w:w="4320"/>
        <w:gridCol w:w="5238"/>
      </w:tblGrid>
      <w:tr w:rsidR="00A95C40" w:rsidRPr="00D03B7B" w:rsidTr="007A1C4C">
        <w:tc>
          <w:tcPr>
            <w:tcW w:w="4320" w:type="dxa"/>
          </w:tcPr>
          <w:p w:rsidR="00A95C40" w:rsidRPr="00D03B7B" w:rsidRDefault="00A95C40" w:rsidP="00F206AD">
            <w:pPr>
              <w:keepNext/>
            </w:pPr>
            <w:r w:rsidRPr="00D03B7B">
              <w:t>Susan M. Gately</w:t>
            </w:r>
          </w:p>
          <w:p w:rsidR="00A95C40" w:rsidRPr="00D03B7B" w:rsidRDefault="00A95C40" w:rsidP="00F206AD">
            <w:pPr>
              <w:keepNext/>
            </w:pPr>
            <w:r w:rsidRPr="00D03B7B">
              <w:t>SMGately Consulting, LLC</w:t>
            </w:r>
          </w:p>
          <w:p w:rsidR="00A95C40" w:rsidRPr="00D03B7B" w:rsidRDefault="00A95C40" w:rsidP="00F206AD">
            <w:pPr>
              <w:keepNext/>
            </w:pPr>
            <w:r w:rsidRPr="00D03B7B">
              <w:t xml:space="preserve">84 Littles Ave, </w:t>
            </w:r>
          </w:p>
          <w:p w:rsidR="00A95C40" w:rsidRPr="00D03B7B" w:rsidRDefault="00A95C40" w:rsidP="00F206AD">
            <w:pPr>
              <w:keepNext/>
            </w:pPr>
            <w:r w:rsidRPr="00D03B7B">
              <w:t>Pembroke, MA 02359</w:t>
            </w:r>
          </w:p>
          <w:p w:rsidR="001F0A1E" w:rsidRDefault="001F0A1E" w:rsidP="00F206AD">
            <w:pPr>
              <w:keepNext/>
            </w:pPr>
            <w:r>
              <w:t>smgately@smg-c.com</w:t>
            </w:r>
          </w:p>
          <w:p w:rsidR="001F0A1E" w:rsidRDefault="008B09B1" w:rsidP="00F206AD">
            <w:pPr>
              <w:keepNext/>
            </w:pPr>
            <w:r>
              <w:t>781 679-0150</w:t>
            </w:r>
          </w:p>
          <w:p w:rsidR="001F0A1E" w:rsidRDefault="001F0A1E" w:rsidP="00F206AD">
            <w:pPr>
              <w:keepNext/>
            </w:pPr>
          </w:p>
          <w:p w:rsidR="00A95C40" w:rsidRPr="00D03B7B" w:rsidRDefault="00A95C40" w:rsidP="00F206AD">
            <w:pPr>
              <w:keepNext/>
            </w:pPr>
            <w:r w:rsidRPr="00D03B7B">
              <w:t>Economic Consultant</w:t>
            </w:r>
          </w:p>
        </w:tc>
        <w:tc>
          <w:tcPr>
            <w:tcW w:w="5238" w:type="dxa"/>
          </w:tcPr>
          <w:p w:rsidR="00A95C40" w:rsidRPr="00D03B7B" w:rsidRDefault="008B09B1" w:rsidP="00A95C40">
            <w:r>
              <w:t>Colleen L Boothby</w:t>
            </w:r>
          </w:p>
          <w:p w:rsidR="00A95C40" w:rsidRPr="00D03B7B" w:rsidRDefault="00A95C40" w:rsidP="00A95C40">
            <w:r w:rsidRPr="00D03B7B">
              <w:t>Levine, Blaszak, Block &amp; Boothby, LLP</w:t>
            </w:r>
          </w:p>
          <w:p w:rsidR="00A95C40" w:rsidRPr="00D03B7B" w:rsidRDefault="00A95C40" w:rsidP="00A95C40">
            <w:r w:rsidRPr="00D03B7B">
              <w:t>2001 L Street, NW</w:t>
            </w:r>
            <w:r>
              <w:t>, Ninth Floor</w:t>
            </w:r>
          </w:p>
          <w:p w:rsidR="00A95C40" w:rsidRPr="00D03B7B" w:rsidRDefault="00885A13" w:rsidP="00A95C40">
            <w:r>
              <w:t xml:space="preserve">Washington, D.C. </w:t>
            </w:r>
            <w:r w:rsidR="00A95C40" w:rsidRPr="00D03B7B">
              <w:t>20036</w:t>
            </w:r>
          </w:p>
          <w:p w:rsidR="001F0A1E" w:rsidRDefault="00BA6D45" w:rsidP="00A95C40">
            <w:r>
              <w:t>cboothby</w:t>
            </w:r>
            <w:r w:rsidR="001F0A1E">
              <w:t>@lb3law.com</w:t>
            </w:r>
          </w:p>
          <w:p w:rsidR="00A95C40" w:rsidRPr="00D03B7B" w:rsidRDefault="00A95C40" w:rsidP="00A95C40">
            <w:r w:rsidRPr="00D03B7B">
              <w:t>202-857-2550</w:t>
            </w:r>
          </w:p>
          <w:p w:rsidR="00A95C40" w:rsidRPr="00D03B7B" w:rsidRDefault="00A95C40" w:rsidP="00A95C40"/>
          <w:p w:rsidR="00A95C40" w:rsidRPr="00D03B7B" w:rsidRDefault="00A95C40" w:rsidP="00A95C40">
            <w:r w:rsidRPr="00D03B7B">
              <w:t xml:space="preserve">Counsel for </w:t>
            </w:r>
            <w:r w:rsidR="0019658F">
              <w:t xml:space="preserve">the </w:t>
            </w:r>
            <w:r w:rsidRPr="00D03B7B">
              <w:t>Ad</w:t>
            </w:r>
            <w:r w:rsidR="00FC1AEC">
              <w:t xml:space="preserve"> </w:t>
            </w:r>
            <w:r w:rsidRPr="00D03B7B">
              <w:t>Hoc Telecom</w:t>
            </w:r>
          </w:p>
          <w:p w:rsidR="00A95C40" w:rsidRPr="00D03B7B" w:rsidRDefault="00A95C40" w:rsidP="00A95C40">
            <w:r w:rsidRPr="00D03B7B">
              <w:tab/>
              <w:t>Users Committee</w:t>
            </w:r>
          </w:p>
        </w:tc>
      </w:tr>
    </w:tbl>
    <w:p w:rsidR="007A1C4C" w:rsidRDefault="007A1C4C" w:rsidP="00F969CF">
      <w:pPr>
        <w:spacing w:line="480" w:lineRule="auto"/>
        <w:ind w:right="720"/>
        <w:rPr>
          <w:rFonts w:cs="Arial"/>
        </w:rPr>
      </w:pPr>
    </w:p>
    <w:p w:rsidR="007A1C4C" w:rsidRDefault="007A1C4C" w:rsidP="00F969CF">
      <w:pPr>
        <w:spacing w:line="480" w:lineRule="auto"/>
        <w:ind w:right="720"/>
        <w:rPr>
          <w:rFonts w:cs="Arial"/>
        </w:rPr>
      </w:pPr>
    </w:p>
    <w:p w:rsidR="007A1C4C" w:rsidRDefault="007A1C4C" w:rsidP="00F969CF">
      <w:pPr>
        <w:spacing w:line="480" w:lineRule="auto"/>
        <w:ind w:right="720"/>
        <w:rPr>
          <w:rFonts w:cs="Arial"/>
        </w:rPr>
      </w:pPr>
    </w:p>
    <w:p w:rsidR="00583A7A" w:rsidRDefault="004C41A6" w:rsidP="00F969CF">
      <w:pPr>
        <w:spacing w:line="480" w:lineRule="auto"/>
        <w:ind w:right="720"/>
        <w:rPr>
          <w:rFonts w:cs="Arial"/>
        </w:rPr>
      </w:pPr>
      <w:r>
        <w:rPr>
          <w:rFonts w:cs="Arial"/>
        </w:rPr>
        <w:t xml:space="preserve">August </w:t>
      </w:r>
      <w:r w:rsidR="0019658F">
        <w:rPr>
          <w:rFonts w:cs="Arial"/>
        </w:rPr>
        <w:t>23</w:t>
      </w:r>
      <w:r>
        <w:rPr>
          <w:rFonts w:cs="Arial"/>
        </w:rPr>
        <w:t xml:space="preserve">, </w:t>
      </w:r>
      <w:r w:rsidR="0019658F">
        <w:rPr>
          <w:rFonts w:cs="Arial"/>
        </w:rPr>
        <w:t>2018</w:t>
      </w:r>
    </w:p>
    <w:p w:rsidR="004F0FCE" w:rsidRDefault="004F0FCE" w:rsidP="00A95C40">
      <w:pPr>
        <w:spacing w:line="480" w:lineRule="auto"/>
        <w:ind w:right="720"/>
        <w:rPr>
          <w:rFonts w:cs="Arial"/>
        </w:rPr>
        <w:sectPr w:rsidR="004F0FCE" w:rsidSect="000B5F53">
          <w:footerReference w:type="default" r:id="rId9"/>
          <w:pgSz w:w="12240" w:h="15840"/>
          <w:pgMar w:top="1440" w:right="1440" w:bottom="1440" w:left="1440" w:header="720" w:footer="720" w:gutter="0"/>
          <w:pgNumType w:start="1"/>
          <w:cols w:space="720"/>
          <w:docGrid w:linePitch="360"/>
        </w:sectPr>
      </w:pPr>
    </w:p>
    <w:p w:rsidR="004F0FCE" w:rsidRDefault="004F0FCE" w:rsidP="004F0FCE">
      <w:pPr>
        <w:jc w:val="center"/>
        <w:rPr>
          <w:rFonts w:cs="Arial"/>
          <w:b/>
        </w:rPr>
      </w:pPr>
      <w:r>
        <w:rPr>
          <w:rFonts w:cs="Arial"/>
          <w:b/>
        </w:rPr>
        <w:lastRenderedPageBreak/>
        <w:t>Certificate of Service</w:t>
      </w:r>
    </w:p>
    <w:p w:rsidR="004F0FCE" w:rsidRDefault="004F0FCE" w:rsidP="004F0FCE">
      <w:pPr>
        <w:jc w:val="center"/>
        <w:rPr>
          <w:rFonts w:cs="Arial"/>
          <w:b/>
        </w:rPr>
      </w:pPr>
    </w:p>
    <w:p w:rsidR="004F0FCE" w:rsidRDefault="004F0FCE" w:rsidP="004F0FCE">
      <w:pPr>
        <w:jc w:val="center"/>
        <w:rPr>
          <w:rFonts w:cs="Arial"/>
          <w:b/>
        </w:rPr>
      </w:pPr>
    </w:p>
    <w:p w:rsidR="004F0FCE" w:rsidRDefault="004F0FCE" w:rsidP="004F0FCE">
      <w:pPr>
        <w:rPr>
          <w:rFonts w:cs="Arial"/>
        </w:rPr>
      </w:pPr>
    </w:p>
    <w:p w:rsidR="004F0FCE" w:rsidRDefault="004F0FCE" w:rsidP="00740A37">
      <w:pPr>
        <w:spacing w:line="480" w:lineRule="auto"/>
        <w:rPr>
          <w:rFonts w:cs="Arial"/>
        </w:rPr>
      </w:pPr>
      <w:r>
        <w:rPr>
          <w:rFonts w:cs="Arial"/>
        </w:rPr>
        <w:tab/>
      </w:r>
      <w:r>
        <w:rPr>
          <w:rFonts w:cs="Arial"/>
        </w:rPr>
        <w:tab/>
        <w:t>I hereby certify that true and correct copies of the preceding Comments of Ad</w:t>
      </w:r>
      <w:r w:rsidR="00FC1AEC">
        <w:rPr>
          <w:rFonts w:cs="Arial"/>
        </w:rPr>
        <w:t xml:space="preserve"> </w:t>
      </w:r>
      <w:r>
        <w:rPr>
          <w:rFonts w:cs="Arial"/>
        </w:rPr>
        <w:t xml:space="preserve">Hoc Telecommunications Users Committee were filed this </w:t>
      </w:r>
      <w:r w:rsidR="0019658F">
        <w:rPr>
          <w:rFonts w:cs="Arial"/>
        </w:rPr>
        <w:t xml:space="preserve">23rd </w:t>
      </w:r>
      <w:r w:rsidR="00F7262C">
        <w:rPr>
          <w:rFonts w:cs="Arial"/>
        </w:rPr>
        <w:t>day of August, 201</w:t>
      </w:r>
      <w:r w:rsidR="00CC491D">
        <w:rPr>
          <w:rFonts w:cs="Arial"/>
        </w:rPr>
        <w:t>8</w:t>
      </w:r>
      <w:r>
        <w:rPr>
          <w:rFonts w:cs="Arial"/>
        </w:rPr>
        <w:t xml:space="preserve"> via the FCC’s ECFS system</w:t>
      </w:r>
      <w:r w:rsidR="00740A37">
        <w:rPr>
          <w:rFonts w:cs="Arial"/>
        </w:rPr>
        <w:t>.</w:t>
      </w:r>
    </w:p>
    <w:p w:rsidR="00D43B89" w:rsidRDefault="004F0FCE" w:rsidP="004F0FCE">
      <w:pPr>
        <w:rPr>
          <w:rFonts w:cs="Arial"/>
          <w:noProof/>
          <w:u w:val="single"/>
        </w:rPr>
      </w:pPr>
      <w:r>
        <w:rPr>
          <w:rFonts w:cs="Arial"/>
        </w:rPr>
        <w:tab/>
      </w:r>
      <w:r>
        <w:rPr>
          <w:rFonts w:cs="Arial"/>
        </w:rPr>
        <w:tab/>
      </w:r>
      <w:r>
        <w:rPr>
          <w:rFonts w:cs="Arial"/>
        </w:rPr>
        <w:tab/>
      </w:r>
      <w:r>
        <w:rPr>
          <w:rFonts w:cs="Arial"/>
        </w:rPr>
        <w:tab/>
      </w:r>
      <w:r>
        <w:rPr>
          <w:rFonts w:cs="Arial"/>
        </w:rPr>
        <w:tab/>
      </w:r>
      <w:r>
        <w:rPr>
          <w:rFonts w:cs="Arial"/>
        </w:rPr>
        <w:tab/>
      </w:r>
    </w:p>
    <w:p w:rsidR="004F0FCE" w:rsidRPr="000E2C9B" w:rsidRDefault="000E2C9B" w:rsidP="004F0FCE">
      <w:pPr>
        <w:rPr>
          <w:rFonts w:cs="Arial"/>
        </w:rPr>
      </w:pPr>
      <w:r>
        <w:rPr>
          <w:rFonts w:cs="Arial"/>
          <w:noProof/>
        </w:rPr>
        <w:tab/>
      </w:r>
      <w:r>
        <w:rPr>
          <w:rFonts w:cs="Arial"/>
          <w:noProof/>
        </w:rPr>
        <w:tab/>
      </w:r>
      <w:r>
        <w:rPr>
          <w:rFonts w:cs="Arial"/>
          <w:noProof/>
        </w:rPr>
        <w:tab/>
      </w:r>
      <w:r>
        <w:rPr>
          <w:rFonts w:cs="Arial"/>
          <w:noProof/>
        </w:rPr>
        <w:tab/>
      </w:r>
      <w:r>
        <w:rPr>
          <w:rFonts w:cs="Arial"/>
          <w:noProof/>
        </w:rPr>
        <w:tab/>
      </w:r>
      <w:r>
        <w:rPr>
          <w:rFonts w:cs="Arial"/>
          <w:noProof/>
        </w:rPr>
        <w:tab/>
        <w:t xml:space="preserve">By: </w:t>
      </w:r>
      <w:r w:rsidRPr="000E2C9B">
        <w:rPr>
          <w:rFonts w:cs="Arial"/>
          <w:noProof/>
          <w:u w:val="single"/>
        </w:rPr>
        <w:drawing>
          <wp:inline distT="0" distB="0" distL="0" distR="0">
            <wp:extent cx="1943100" cy="51919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elgado.gif"/>
                    <pic:cNvPicPr/>
                  </pic:nvPicPr>
                  <pic:blipFill>
                    <a:blip r:embed="rId10"/>
                    <a:stretch>
                      <a:fillRect/>
                    </a:stretch>
                  </pic:blipFill>
                  <pic:spPr>
                    <a:xfrm>
                      <a:off x="0" y="0"/>
                      <a:ext cx="1989910" cy="531706"/>
                    </a:xfrm>
                    <a:prstGeom prst="rect">
                      <a:avLst/>
                    </a:prstGeom>
                  </pic:spPr>
                </pic:pic>
              </a:graphicData>
            </a:graphic>
          </wp:inline>
        </w:drawing>
      </w:r>
      <w:r>
        <w:rPr>
          <w:rFonts w:cs="Arial"/>
          <w:noProof/>
        </w:rPr>
        <w:t>_</w:t>
      </w:r>
      <w:bookmarkStart w:id="0" w:name="_GoBack"/>
      <w:bookmarkEnd w:id="0"/>
      <w:r>
        <w:rPr>
          <w:rFonts w:cs="Arial"/>
          <w:noProof/>
        </w:rPr>
        <w:tab/>
      </w:r>
    </w:p>
    <w:p w:rsidR="004F0FCE" w:rsidRDefault="00611805" w:rsidP="004F0FCE">
      <w:pPr>
        <w:ind w:left="3600" w:firstLine="720"/>
        <w:rPr>
          <w:rFonts w:cs="Arial"/>
          <w:i/>
        </w:rPr>
      </w:pPr>
      <w:r>
        <w:rPr>
          <w:rFonts w:cs="Arial"/>
        </w:rPr>
        <w:t>Amanda J. Delgado</w:t>
      </w:r>
    </w:p>
    <w:p w:rsidR="004F0FCE" w:rsidRDefault="004F0FCE" w:rsidP="004F0FCE">
      <w:pPr>
        <w:ind w:left="3600" w:firstLine="720"/>
        <w:rPr>
          <w:rFonts w:cs="Arial"/>
        </w:rPr>
      </w:pPr>
      <w:r>
        <w:rPr>
          <w:rFonts w:cs="Arial"/>
        </w:rPr>
        <w:t>Levine, Blaszak, Block &amp; Boothby, LLP</w:t>
      </w:r>
    </w:p>
    <w:p w:rsidR="004F0FCE" w:rsidRDefault="004F0FCE" w:rsidP="004F0FCE">
      <w:pPr>
        <w:ind w:left="3600" w:firstLine="720"/>
        <w:rPr>
          <w:rFonts w:cs="Arial"/>
        </w:rPr>
      </w:pPr>
      <w:r>
        <w:rPr>
          <w:rFonts w:cs="Arial"/>
        </w:rPr>
        <w:t>2001 L Street, NW</w:t>
      </w:r>
      <w:r w:rsidR="0019658F">
        <w:rPr>
          <w:rFonts w:cs="Arial"/>
        </w:rPr>
        <w:t>, Ninth Floor</w:t>
      </w:r>
    </w:p>
    <w:p w:rsidR="004F0FCE" w:rsidRDefault="004F0FCE" w:rsidP="004F0FCE">
      <w:pPr>
        <w:ind w:left="3600" w:firstLine="720"/>
        <w:rPr>
          <w:rFonts w:cs="Arial"/>
        </w:rPr>
      </w:pPr>
      <w:r>
        <w:rPr>
          <w:rFonts w:cs="Arial"/>
        </w:rPr>
        <w:t>Washington, D</w:t>
      </w:r>
      <w:r w:rsidR="00885A13">
        <w:rPr>
          <w:rFonts w:cs="Arial"/>
        </w:rPr>
        <w:t>.</w:t>
      </w:r>
      <w:r>
        <w:rPr>
          <w:rFonts w:cs="Arial"/>
        </w:rPr>
        <w:t>C</w:t>
      </w:r>
      <w:r w:rsidR="00885A13">
        <w:rPr>
          <w:rFonts w:cs="Arial"/>
        </w:rPr>
        <w:t>.</w:t>
      </w:r>
      <w:r>
        <w:rPr>
          <w:rFonts w:cs="Arial"/>
        </w:rPr>
        <w:t xml:space="preserve"> </w:t>
      </w:r>
      <w:smartTag w:uri="urn:schemas-microsoft-com:office:smarttags" w:element="PostalCode">
        <w:r>
          <w:rPr>
            <w:rFonts w:cs="Arial"/>
          </w:rPr>
          <w:t>20036</w:t>
        </w:r>
      </w:smartTag>
      <w:r>
        <w:rPr>
          <w:rFonts w:cs="Arial"/>
        </w:rPr>
        <w:tab/>
      </w:r>
    </w:p>
    <w:p w:rsidR="004F0FCE" w:rsidRDefault="004F0FCE" w:rsidP="004F0FCE">
      <w:pPr>
        <w:rPr>
          <w:rFonts w:cs="Arial"/>
        </w:rPr>
      </w:pPr>
    </w:p>
    <w:p w:rsidR="004F0FCE" w:rsidRPr="00DC4A51" w:rsidRDefault="004F0FCE" w:rsidP="004F0FCE">
      <w:pPr>
        <w:rPr>
          <w:rFonts w:cs="Arial"/>
        </w:rPr>
      </w:pPr>
    </w:p>
    <w:p w:rsidR="004F0FCE" w:rsidRDefault="004F0FCE" w:rsidP="00A95C40">
      <w:pPr>
        <w:spacing w:line="480" w:lineRule="auto"/>
        <w:ind w:right="720"/>
        <w:rPr>
          <w:rFonts w:cs="Arial"/>
        </w:rPr>
      </w:pPr>
    </w:p>
    <w:p w:rsidR="000044BC" w:rsidRDefault="000044BC" w:rsidP="00A95C40">
      <w:pPr>
        <w:spacing w:line="480" w:lineRule="auto"/>
        <w:ind w:right="720"/>
        <w:rPr>
          <w:rFonts w:cs="Arial"/>
        </w:rPr>
      </w:pPr>
    </w:p>
    <w:p w:rsidR="000044BC" w:rsidRPr="00A95C40" w:rsidRDefault="000044BC" w:rsidP="00A95C40">
      <w:pPr>
        <w:spacing w:line="480" w:lineRule="auto"/>
        <w:ind w:right="720"/>
        <w:rPr>
          <w:rFonts w:cs="Arial"/>
        </w:rPr>
      </w:pPr>
    </w:p>
    <w:sectPr w:rsidR="000044BC" w:rsidRPr="00A95C40" w:rsidSect="004F0F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C78" w:rsidRDefault="00FA1C78">
      <w:r>
        <w:separator/>
      </w:r>
    </w:p>
    <w:p w:rsidR="00FA1C78" w:rsidRDefault="00FA1C78"/>
  </w:endnote>
  <w:endnote w:type="continuationSeparator" w:id="0">
    <w:p w:rsidR="00FA1C78" w:rsidRDefault="00FA1C78">
      <w:r>
        <w:continuationSeparator/>
      </w:r>
    </w:p>
    <w:p w:rsidR="00FA1C78" w:rsidRDefault="00FA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PMDED+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5017"/>
      <w:docPartObj>
        <w:docPartGallery w:val="Page Numbers (Bottom of Page)"/>
        <w:docPartUnique/>
      </w:docPartObj>
    </w:sdtPr>
    <w:sdtEndPr>
      <w:rPr>
        <w:noProof/>
      </w:rPr>
    </w:sdtEndPr>
    <w:sdtContent>
      <w:p w:rsidR="00220DF5" w:rsidRPr="000B5F53" w:rsidRDefault="000B5F53" w:rsidP="000B5F53">
        <w:pPr>
          <w:pStyle w:val="Footer"/>
          <w:tabs>
            <w:tab w:val="clear" w:pos="4680"/>
            <w:tab w:val="clear" w:pos="9360"/>
          </w:tabs>
          <w:jc w:val="center"/>
        </w:pPr>
        <w:r>
          <w:ptab w:relativeTo="margin" w:alignment="left" w:leader="none"/>
        </w:r>
        <w:r>
          <w:fldChar w:fldCharType="begin"/>
        </w:r>
        <w:r>
          <w:instrText xml:space="preserve"> PAGE   \* MERGEFORMAT </w:instrText>
        </w:r>
        <w:r>
          <w:fldChar w:fldCharType="separate"/>
        </w:r>
        <w: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C78" w:rsidRDefault="00FA1C78">
      <w:r>
        <w:separator/>
      </w:r>
    </w:p>
    <w:p w:rsidR="00FA1C78" w:rsidRDefault="00FA1C78"/>
  </w:footnote>
  <w:footnote w:type="continuationSeparator" w:id="0">
    <w:p w:rsidR="00FA1C78" w:rsidRDefault="00FA1C78">
      <w:r>
        <w:continuationSeparator/>
      </w:r>
    </w:p>
    <w:p w:rsidR="00FA1C78" w:rsidRDefault="00FA1C78"/>
  </w:footnote>
  <w:footnote w:id="1">
    <w:p w:rsidR="009E33E7" w:rsidRDefault="009E33E7" w:rsidP="009E33E7">
      <w:pPr>
        <w:pStyle w:val="FootnoteText"/>
      </w:pPr>
      <w:r>
        <w:rPr>
          <w:rStyle w:val="FootnoteReference"/>
        </w:rPr>
        <w:footnoteRef/>
      </w:r>
      <w:r>
        <w:t xml:space="preserve"> </w:t>
      </w:r>
      <w:r w:rsidRPr="008B09B1">
        <w:rPr>
          <w:i/>
        </w:rPr>
        <w:t>Text-Enabled Toll Free Numbers</w:t>
      </w:r>
      <w:r w:rsidR="008D502E">
        <w:rPr>
          <w:i/>
        </w:rPr>
        <w:t xml:space="preserve">; </w:t>
      </w:r>
      <w:r w:rsidRPr="008B09B1">
        <w:rPr>
          <w:i/>
        </w:rPr>
        <w:t>Toll Free Service Access Codes</w:t>
      </w:r>
      <w:r>
        <w:t xml:space="preserve">, </w:t>
      </w:r>
      <w:r w:rsidR="008D502E">
        <w:t xml:space="preserve">WC Docket No. 18-28 and CC Docket No. 95-155, </w:t>
      </w:r>
      <w:r>
        <w:t xml:space="preserve">Declaratory Ruling and Notice of Proposed Rulemaking, </w:t>
      </w:r>
      <w:r w:rsidR="00341EF1">
        <w:t>FCC 18-77 (</w:t>
      </w:r>
      <w:r w:rsidR="00706AC2">
        <w:t>r</w:t>
      </w:r>
      <w:r>
        <w:t>el</w:t>
      </w:r>
      <w:r w:rsidR="00341EF1">
        <w:t>.</w:t>
      </w:r>
      <w:r>
        <w:t xml:space="preserve"> June 12, 2018</w:t>
      </w:r>
      <w:r w:rsidR="00341EF1">
        <w:t>)</w:t>
      </w:r>
      <w:r>
        <w:t xml:space="preserve">. </w:t>
      </w:r>
      <w:r w:rsidR="003668ED">
        <w:t>83 Fed. Reg. 34974-80 (July 24, 2018)</w:t>
      </w:r>
      <w:r w:rsidR="008D502E">
        <w:t xml:space="preserve">.  </w:t>
      </w:r>
      <w:r>
        <w:t xml:space="preserve"> </w:t>
      </w:r>
    </w:p>
  </w:footnote>
  <w:footnote w:id="2">
    <w:p w:rsidR="006D11AB" w:rsidRDefault="006D11AB">
      <w:pPr>
        <w:pStyle w:val="FootnoteText"/>
      </w:pPr>
      <w:r>
        <w:rPr>
          <w:rStyle w:val="FootnoteReference"/>
        </w:rPr>
        <w:footnoteRef/>
      </w:r>
      <w:r>
        <w:t xml:space="preserve"> </w:t>
      </w:r>
      <w:r>
        <w:tab/>
      </w:r>
      <w:r w:rsidRPr="00611805">
        <w:rPr>
          <w:i/>
        </w:rPr>
        <w:t>NPRM</w:t>
      </w:r>
      <w:r>
        <w:t xml:space="preserve"> </w:t>
      </w:r>
      <w:r>
        <w:t>at para 26.</w:t>
      </w:r>
    </w:p>
  </w:footnote>
  <w:footnote w:id="3">
    <w:p w:rsidR="004A40F0" w:rsidRDefault="004A40F0" w:rsidP="004A40F0">
      <w:pPr>
        <w:pStyle w:val="FootnoteText"/>
      </w:pPr>
      <w:r>
        <w:rPr>
          <w:rStyle w:val="FootnoteReference"/>
        </w:rPr>
        <w:footnoteRef/>
      </w:r>
      <w:r>
        <w:t xml:space="preserve"> </w:t>
      </w:r>
      <w:r>
        <w:tab/>
      </w:r>
      <w:r>
        <w:rPr>
          <w:i/>
        </w:rPr>
        <w:t xml:space="preserve">See </w:t>
      </w:r>
      <w:r>
        <w:t xml:space="preserve">47 U.S.C.§ 251(e).  </w:t>
      </w:r>
      <w:r>
        <w:rPr>
          <w:i/>
        </w:rPr>
        <w:t>See also Kristin Brooks Hope Ctr. v. FCC</w:t>
      </w:r>
      <w:r>
        <w:t xml:space="preserve">, 626 F.3d 586 (D.C. Cir. 2010), </w:t>
      </w:r>
      <w:r>
        <w:rPr>
          <w:i/>
        </w:rPr>
        <w:t>Sprint Corp. v. FCC</w:t>
      </w:r>
      <w:r>
        <w:t>, 331 F.3d 952 (D.C. Cir. 2003).</w:t>
      </w:r>
    </w:p>
  </w:footnote>
  <w:footnote w:id="4">
    <w:p w:rsidR="004A40F0" w:rsidRDefault="004A40F0" w:rsidP="004A40F0">
      <w:pPr>
        <w:pStyle w:val="FootnoteText"/>
      </w:pPr>
      <w:r>
        <w:rPr>
          <w:rStyle w:val="FootnoteReference"/>
        </w:rPr>
        <w:footnoteRef/>
      </w:r>
      <w:r>
        <w:t xml:space="preserve"> </w:t>
      </w:r>
      <w:r>
        <w:tab/>
        <w:t>47 C.F.R. § 52.101(d).</w:t>
      </w:r>
    </w:p>
  </w:footnote>
  <w:footnote w:id="5">
    <w:p w:rsidR="004A40F0" w:rsidRDefault="004A40F0" w:rsidP="004A40F0">
      <w:pPr>
        <w:pStyle w:val="FootnoteText"/>
      </w:pPr>
      <w:r>
        <w:rPr>
          <w:rStyle w:val="FootnoteReference"/>
        </w:rPr>
        <w:footnoteRef/>
      </w:r>
      <w:r>
        <w:t xml:space="preserve"> </w:t>
      </w:r>
      <w:r>
        <w:tab/>
        <w:t>47 C.F.R. § 52.101(b).</w:t>
      </w:r>
    </w:p>
  </w:footnote>
  <w:footnote w:id="6">
    <w:p w:rsidR="004A40F0" w:rsidRDefault="004A40F0" w:rsidP="004A40F0">
      <w:pPr>
        <w:pStyle w:val="FootnoteText"/>
      </w:pPr>
      <w:r>
        <w:rPr>
          <w:rStyle w:val="FootnoteReference"/>
        </w:rPr>
        <w:footnoteRef/>
      </w:r>
      <w:r>
        <w:t xml:space="preserve"> </w:t>
      </w:r>
      <w:r>
        <w:tab/>
        <w:t>47 C.F.R. § 52.101(d).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09448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BC6FD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F2607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F38EF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DED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1AAC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4C2A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11819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C12B4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6CE5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54CFC"/>
    <w:multiLevelType w:val="hybridMultilevel"/>
    <w:tmpl w:val="39D03E74"/>
    <w:lvl w:ilvl="0" w:tplc="BCF453F4">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06273A69"/>
    <w:multiLevelType w:val="hybridMultilevel"/>
    <w:tmpl w:val="91E6CB66"/>
    <w:lvl w:ilvl="0" w:tplc="D1703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8361C"/>
    <w:multiLevelType w:val="hybridMultilevel"/>
    <w:tmpl w:val="3B98B6F6"/>
    <w:lvl w:ilvl="0" w:tplc="3F225FA8">
      <w:start w:val="1"/>
      <w:numFmt w:val="upperRoman"/>
      <w:pStyle w:val="Heading1"/>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4B5A68"/>
    <w:multiLevelType w:val="hybridMultilevel"/>
    <w:tmpl w:val="74BCE7E2"/>
    <w:lvl w:ilvl="0" w:tplc="0409000F">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0F00155F"/>
    <w:multiLevelType w:val="hybridMultilevel"/>
    <w:tmpl w:val="A39AC8DC"/>
    <w:lvl w:ilvl="0" w:tplc="13F62A14">
      <w:start w:val="1"/>
      <w:numFmt w:val="decimal"/>
      <w:lvlText w:val="%1."/>
      <w:lvlJc w:val="left"/>
      <w:pPr>
        <w:ind w:left="1800" w:hanging="360"/>
      </w:pPr>
      <w:rPr>
        <w:rFonts w:ascii="Arial" w:hAnsi="Arial" w:cs="Arial" w:hint="default"/>
        <w:sz w:val="20"/>
        <w:szCs w:val="20"/>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15:restartNumberingAfterBreak="0">
    <w:nsid w:val="136B2896"/>
    <w:multiLevelType w:val="hybridMultilevel"/>
    <w:tmpl w:val="364A1062"/>
    <w:lvl w:ilvl="0" w:tplc="BFF848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83594E"/>
    <w:multiLevelType w:val="hybridMultilevel"/>
    <w:tmpl w:val="044C48CA"/>
    <w:lvl w:ilvl="0" w:tplc="7D32631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710837"/>
    <w:multiLevelType w:val="hybridMultilevel"/>
    <w:tmpl w:val="ABB6F0B4"/>
    <w:lvl w:ilvl="0" w:tplc="CB36807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1FB801DA"/>
    <w:multiLevelType w:val="hybridMultilevel"/>
    <w:tmpl w:val="6E90F3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571151F"/>
    <w:multiLevelType w:val="hybridMultilevel"/>
    <w:tmpl w:val="D8B42E9C"/>
    <w:lvl w:ilvl="0" w:tplc="41863F28">
      <w:start w:val="1"/>
      <w:numFmt w:val="lowerLetter"/>
      <w:pStyle w:val="ListContinue4"/>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59F7945"/>
    <w:multiLevelType w:val="hybridMultilevel"/>
    <w:tmpl w:val="3140A99C"/>
    <w:lvl w:ilvl="0" w:tplc="FD58AF72">
      <w:start w:val="1"/>
      <w:numFmt w:val="upperLetter"/>
      <w:pStyle w:val="Heading2"/>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78379F0"/>
    <w:multiLevelType w:val="hybridMultilevel"/>
    <w:tmpl w:val="60A292DA"/>
    <w:lvl w:ilvl="0" w:tplc="CB36807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AD02832"/>
    <w:multiLevelType w:val="hybridMultilevel"/>
    <w:tmpl w:val="5C106DC8"/>
    <w:lvl w:ilvl="0" w:tplc="733E9D4E">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AE0039F"/>
    <w:multiLevelType w:val="hybridMultilevel"/>
    <w:tmpl w:val="3E6AC3FA"/>
    <w:lvl w:ilvl="0" w:tplc="BB22B250">
      <w:start w:val="4"/>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2F883634"/>
    <w:multiLevelType w:val="hybridMultilevel"/>
    <w:tmpl w:val="41A24D0E"/>
    <w:lvl w:ilvl="0" w:tplc="856263F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617C9E"/>
    <w:multiLevelType w:val="hybridMultilevel"/>
    <w:tmpl w:val="6D76D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D9C58B4"/>
    <w:multiLevelType w:val="hybridMultilevel"/>
    <w:tmpl w:val="782EFEB2"/>
    <w:lvl w:ilvl="0" w:tplc="0DA603BC">
      <w:start w:val="1"/>
      <w:numFmt w:val="lowerLetter"/>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7F2F6C"/>
    <w:multiLevelType w:val="hybridMultilevel"/>
    <w:tmpl w:val="5F328554"/>
    <w:lvl w:ilvl="0" w:tplc="CACA592C">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9D77857"/>
    <w:multiLevelType w:val="hybridMultilevel"/>
    <w:tmpl w:val="C7384CA0"/>
    <w:lvl w:ilvl="0" w:tplc="246A52E6">
      <w:start w:val="2"/>
      <w:numFmt w:val="upperLetter"/>
      <w:lvlText w:val="%1."/>
      <w:lvlJc w:val="left"/>
      <w:pPr>
        <w:tabs>
          <w:tab w:val="num" w:pos="2880"/>
        </w:tabs>
        <w:ind w:left="2880" w:hanging="144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9" w15:restartNumberingAfterBreak="0">
    <w:nsid w:val="4F5D75EC"/>
    <w:multiLevelType w:val="hybridMultilevel"/>
    <w:tmpl w:val="ED9634FA"/>
    <w:lvl w:ilvl="0" w:tplc="C1963808">
      <w:start w:val="4"/>
      <w:numFmt w:val="upp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5EE96302"/>
    <w:multiLevelType w:val="hybridMultilevel"/>
    <w:tmpl w:val="30D02252"/>
    <w:lvl w:ilvl="0" w:tplc="05EA1C3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7F869B0"/>
    <w:multiLevelType w:val="hybridMultilevel"/>
    <w:tmpl w:val="6EC29674"/>
    <w:lvl w:ilvl="0" w:tplc="B95A6558">
      <w:start w:val="1"/>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742A381A"/>
    <w:multiLevelType w:val="hybridMultilevel"/>
    <w:tmpl w:val="A0D6BA98"/>
    <w:lvl w:ilvl="0" w:tplc="131C8B2A">
      <w:start w:val="1"/>
      <w:numFmt w:val="upperLetter"/>
      <w:lvlText w:val="%1."/>
      <w:lvlJc w:val="left"/>
      <w:pPr>
        <w:ind w:left="806" w:hanging="360"/>
      </w:pPr>
      <w:rPr>
        <w:rFonts w:ascii="Arial" w:hAnsi="Arial" w:cs="Arial" w:hint="default"/>
        <w:b/>
        <w:sz w:val="24"/>
        <w:szCs w:val="24"/>
      </w:rPr>
    </w:lvl>
    <w:lvl w:ilvl="1" w:tplc="04090019" w:tentative="1">
      <w:start w:val="1"/>
      <w:numFmt w:val="lowerLetter"/>
      <w:lvlText w:val="%2."/>
      <w:lvlJc w:val="left"/>
      <w:pPr>
        <w:ind w:left="1526" w:hanging="360"/>
      </w:pPr>
      <w:rPr>
        <w:rFonts w:cs="Times New Roman"/>
      </w:rPr>
    </w:lvl>
    <w:lvl w:ilvl="2" w:tplc="0409001B" w:tentative="1">
      <w:start w:val="1"/>
      <w:numFmt w:val="lowerRoman"/>
      <w:lvlText w:val="%3."/>
      <w:lvlJc w:val="right"/>
      <w:pPr>
        <w:ind w:left="2246" w:hanging="180"/>
      </w:pPr>
      <w:rPr>
        <w:rFonts w:cs="Times New Roman"/>
      </w:rPr>
    </w:lvl>
    <w:lvl w:ilvl="3" w:tplc="0409000F" w:tentative="1">
      <w:start w:val="1"/>
      <w:numFmt w:val="decimal"/>
      <w:lvlText w:val="%4."/>
      <w:lvlJc w:val="left"/>
      <w:pPr>
        <w:ind w:left="2966" w:hanging="360"/>
      </w:pPr>
      <w:rPr>
        <w:rFonts w:cs="Times New Roman"/>
      </w:rPr>
    </w:lvl>
    <w:lvl w:ilvl="4" w:tplc="04090019" w:tentative="1">
      <w:start w:val="1"/>
      <w:numFmt w:val="lowerLetter"/>
      <w:lvlText w:val="%5."/>
      <w:lvlJc w:val="left"/>
      <w:pPr>
        <w:ind w:left="3686" w:hanging="360"/>
      </w:pPr>
      <w:rPr>
        <w:rFonts w:cs="Times New Roman"/>
      </w:rPr>
    </w:lvl>
    <w:lvl w:ilvl="5" w:tplc="0409001B" w:tentative="1">
      <w:start w:val="1"/>
      <w:numFmt w:val="lowerRoman"/>
      <w:lvlText w:val="%6."/>
      <w:lvlJc w:val="right"/>
      <w:pPr>
        <w:ind w:left="4406" w:hanging="180"/>
      </w:pPr>
      <w:rPr>
        <w:rFonts w:cs="Times New Roman"/>
      </w:rPr>
    </w:lvl>
    <w:lvl w:ilvl="6" w:tplc="0409000F" w:tentative="1">
      <w:start w:val="1"/>
      <w:numFmt w:val="decimal"/>
      <w:lvlText w:val="%7."/>
      <w:lvlJc w:val="left"/>
      <w:pPr>
        <w:ind w:left="5126" w:hanging="360"/>
      </w:pPr>
      <w:rPr>
        <w:rFonts w:cs="Times New Roman"/>
      </w:rPr>
    </w:lvl>
    <w:lvl w:ilvl="7" w:tplc="04090019" w:tentative="1">
      <w:start w:val="1"/>
      <w:numFmt w:val="lowerLetter"/>
      <w:lvlText w:val="%8."/>
      <w:lvlJc w:val="left"/>
      <w:pPr>
        <w:ind w:left="5846" w:hanging="360"/>
      </w:pPr>
      <w:rPr>
        <w:rFonts w:cs="Times New Roman"/>
      </w:rPr>
    </w:lvl>
    <w:lvl w:ilvl="8" w:tplc="0409001B" w:tentative="1">
      <w:start w:val="1"/>
      <w:numFmt w:val="lowerRoman"/>
      <w:lvlText w:val="%9."/>
      <w:lvlJc w:val="right"/>
      <w:pPr>
        <w:ind w:left="6566" w:hanging="180"/>
      </w:pPr>
      <w:rPr>
        <w:rFonts w:cs="Times New Roman"/>
      </w:rPr>
    </w:lvl>
  </w:abstractNum>
  <w:num w:numId="1">
    <w:abstractNumId w:val="31"/>
  </w:num>
  <w:num w:numId="2">
    <w:abstractNumId w:val="13"/>
  </w:num>
  <w:num w:numId="3">
    <w:abstractNumId w:val="25"/>
  </w:num>
  <w:num w:numId="4">
    <w:abstractNumId w:val="28"/>
  </w:num>
  <w:num w:numId="5">
    <w:abstractNumId w:val="27"/>
  </w:num>
  <w:num w:numId="6">
    <w:abstractNumId w:val="23"/>
  </w:num>
  <w:num w:numId="7">
    <w:abstractNumId w:val="10"/>
  </w:num>
  <w:num w:numId="8">
    <w:abstractNumId w:val="29"/>
  </w:num>
  <w:num w:numId="9">
    <w:abstractNumId w:val="30"/>
  </w:num>
  <w:num w:numId="10">
    <w:abstractNumId w:val="21"/>
  </w:num>
  <w:num w:numId="11">
    <w:abstractNumId w:val="17"/>
  </w:num>
  <w:num w:numId="12">
    <w:abstractNumId w:val="32"/>
  </w:num>
  <w:num w:numId="13">
    <w:abstractNumId w:val="14"/>
  </w:num>
  <w:num w:numId="14">
    <w:abstractNumId w:val="11"/>
  </w:num>
  <w:num w:numId="15">
    <w:abstractNumId w:val="12"/>
  </w:num>
  <w:num w:numId="16">
    <w:abstractNumId w:val="22"/>
  </w:num>
  <w:num w:numId="17">
    <w:abstractNumId w:val="2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9"/>
  </w:num>
  <w:num w:numId="29">
    <w:abstractNumId w:val="26"/>
  </w:num>
  <w:num w:numId="30">
    <w:abstractNumId w:val="16"/>
  </w:num>
  <w:num w:numId="31">
    <w:abstractNumId w:val="18"/>
  </w:num>
  <w:num w:numId="32">
    <w:abstractNumId w:val="22"/>
    <w:lvlOverride w:ilvl="0">
      <w:startOverride w:val="1"/>
    </w:lvlOverride>
  </w:num>
  <w:num w:numId="33">
    <w:abstractNumId w:val="22"/>
  </w:num>
  <w:num w:numId="34">
    <w:abstractNumId w:val="22"/>
  </w:num>
  <w:num w:numId="35">
    <w:abstractNumId w:val="22"/>
  </w:num>
  <w:num w:numId="36">
    <w:abstractNumId w:val="22"/>
  </w:num>
  <w:num w:numId="37">
    <w:abstractNumId w:val="20"/>
  </w:num>
  <w:num w:numId="38">
    <w:abstractNumId w:val="20"/>
  </w:num>
  <w:num w:numId="39">
    <w:abstractNumId w:val="2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78"/>
    <w:rsid w:val="000013C4"/>
    <w:rsid w:val="000044BC"/>
    <w:rsid w:val="00010B60"/>
    <w:rsid w:val="00026B37"/>
    <w:rsid w:val="00033602"/>
    <w:rsid w:val="00042C32"/>
    <w:rsid w:val="0005500E"/>
    <w:rsid w:val="00056F56"/>
    <w:rsid w:val="00067C34"/>
    <w:rsid w:val="00072493"/>
    <w:rsid w:val="00080CF8"/>
    <w:rsid w:val="00091405"/>
    <w:rsid w:val="00092BA8"/>
    <w:rsid w:val="00092FE7"/>
    <w:rsid w:val="000A3CD8"/>
    <w:rsid w:val="000B5F53"/>
    <w:rsid w:val="000B702E"/>
    <w:rsid w:val="000C620F"/>
    <w:rsid w:val="000E17C4"/>
    <w:rsid w:val="000E2C9B"/>
    <w:rsid w:val="000E3984"/>
    <w:rsid w:val="000F0DF2"/>
    <w:rsid w:val="000F3D9F"/>
    <w:rsid w:val="000F74B3"/>
    <w:rsid w:val="000F7A8F"/>
    <w:rsid w:val="00110795"/>
    <w:rsid w:val="00114D69"/>
    <w:rsid w:val="001209E2"/>
    <w:rsid w:val="00125ADC"/>
    <w:rsid w:val="001353CD"/>
    <w:rsid w:val="00136A6C"/>
    <w:rsid w:val="0014422B"/>
    <w:rsid w:val="001452ED"/>
    <w:rsid w:val="00151074"/>
    <w:rsid w:val="00166991"/>
    <w:rsid w:val="001704B4"/>
    <w:rsid w:val="001720BC"/>
    <w:rsid w:val="0017758C"/>
    <w:rsid w:val="00177AF0"/>
    <w:rsid w:val="0018327C"/>
    <w:rsid w:val="001836C2"/>
    <w:rsid w:val="00185487"/>
    <w:rsid w:val="001958D7"/>
    <w:rsid w:val="0019658F"/>
    <w:rsid w:val="001A1738"/>
    <w:rsid w:val="001A5288"/>
    <w:rsid w:val="001A7805"/>
    <w:rsid w:val="001B1999"/>
    <w:rsid w:val="001B35ED"/>
    <w:rsid w:val="001C233A"/>
    <w:rsid w:val="001C6920"/>
    <w:rsid w:val="001C6E28"/>
    <w:rsid w:val="001D54F3"/>
    <w:rsid w:val="001D66B0"/>
    <w:rsid w:val="001F0A1E"/>
    <w:rsid w:val="001F2A75"/>
    <w:rsid w:val="001F3E99"/>
    <w:rsid w:val="001F409F"/>
    <w:rsid w:val="00200F75"/>
    <w:rsid w:val="002053AF"/>
    <w:rsid w:val="00207E16"/>
    <w:rsid w:val="00210F86"/>
    <w:rsid w:val="00220DF5"/>
    <w:rsid w:val="00221299"/>
    <w:rsid w:val="00225538"/>
    <w:rsid w:val="00227742"/>
    <w:rsid w:val="00240B87"/>
    <w:rsid w:val="002527A9"/>
    <w:rsid w:val="002629B6"/>
    <w:rsid w:val="00267782"/>
    <w:rsid w:val="00286098"/>
    <w:rsid w:val="0029126F"/>
    <w:rsid w:val="00295991"/>
    <w:rsid w:val="002A17F3"/>
    <w:rsid w:val="002B4744"/>
    <w:rsid w:val="002C18AE"/>
    <w:rsid w:val="002C6E88"/>
    <w:rsid w:val="002D27A5"/>
    <w:rsid w:val="002D576F"/>
    <w:rsid w:val="002E2E5D"/>
    <w:rsid w:val="002F39D1"/>
    <w:rsid w:val="002F3B6B"/>
    <w:rsid w:val="002F478D"/>
    <w:rsid w:val="003007BB"/>
    <w:rsid w:val="00302922"/>
    <w:rsid w:val="00303349"/>
    <w:rsid w:val="00311522"/>
    <w:rsid w:val="00312936"/>
    <w:rsid w:val="00313D13"/>
    <w:rsid w:val="00314682"/>
    <w:rsid w:val="00317E33"/>
    <w:rsid w:val="00320287"/>
    <w:rsid w:val="00321007"/>
    <w:rsid w:val="00322874"/>
    <w:rsid w:val="003239E3"/>
    <w:rsid w:val="00334898"/>
    <w:rsid w:val="00336B5C"/>
    <w:rsid w:val="00340026"/>
    <w:rsid w:val="00340829"/>
    <w:rsid w:val="00341EF1"/>
    <w:rsid w:val="00344255"/>
    <w:rsid w:val="003555DC"/>
    <w:rsid w:val="00355E57"/>
    <w:rsid w:val="003668ED"/>
    <w:rsid w:val="00380515"/>
    <w:rsid w:val="003879B0"/>
    <w:rsid w:val="003923C2"/>
    <w:rsid w:val="00394F00"/>
    <w:rsid w:val="00395A34"/>
    <w:rsid w:val="003B02E0"/>
    <w:rsid w:val="003C2564"/>
    <w:rsid w:val="003C7101"/>
    <w:rsid w:val="003C7F5C"/>
    <w:rsid w:val="003E3A32"/>
    <w:rsid w:val="003E7D3F"/>
    <w:rsid w:val="00405580"/>
    <w:rsid w:val="004136F8"/>
    <w:rsid w:val="0041505D"/>
    <w:rsid w:val="00427BC2"/>
    <w:rsid w:val="0043497D"/>
    <w:rsid w:val="00437CB8"/>
    <w:rsid w:val="00437D44"/>
    <w:rsid w:val="00442651"/>
    <w:rsid w:val="00444D7B"/>
    <w:rsid w:val="00447122"/>
    <w:rsid w:val="00455C69"/>
    <w:rsid w:val="004617BE"/>
    <w:rsid w:val="004721A2"/>
    <w:rsid w:val="00475FD4"/>
    <w:rsid w:val="00480DD2"/>
    <w:rsid w:val="00484EFF"/>
    <w:rsid w:val="0048717F"/>
    <w:rsid w:val="004A027D"/>
    <w:rsid w:val="004A267A"/>
    <w:rsid w:val="004A40F0"/>
    <w:rsid w:val="004A6543"/>
    <w:rsid w:val="004B1309"/>
    <w:rsid w:val="004B3446"/>
    <w:rsid w:val="004C41A6"/>
    <w:rsid w:val="004C75E9"/>
    <w:rsid w:val="004C7FE2"/>
    <w:rsid w:val="004D41F9"/>
    <w:rsid w:val="004F0FCE"/>
    <w:rsid w:val="004F594C"/>
    <w:rsid w:val="00500A44"/>
    <w:rsid w:val="00502E36"/>
    <w:rsid w:val="0051141F"/>
    <w:rsid w:val="005212E5"/>
    <w:rsid w:val="00525289"/>
    <w:rsid w:val="00541AC2"/>
    <w:rsid w:val="005460F3"/>
    <w:rsid w:val="00555A2C"/>
    <w:rsid w:val="00562186"/>
    <w:rsid w:val="0056468E"/>
    <w:rsid w:val="005754AF"/>
    <w:rsid w:val="00576426"/>
    <w:rsid w:val="00583A7A"/>
    <w:rsid w:val="00592D35"/>
    <w:rsid w:val="00595F35"/>
    <w:rsid w:val="0059767B"/>
    <w:rsid w:val="005A333B"/>
    <w:rsid w:val="005A6392"/>
    <w:rsid w:val="005A7DD8"/>
    <w:rsid w:val="005B4A3C"/>
    <w:rsid w:val="005C04B6"/>
    <w:rsid w:val="005C0E73"/>
    <w:rsid w:val="005C10AD"/>
    <w:rsid w:val="005C63C3"/>
    <w:rsid w:val="005D4B16"/>
    <w:rsid w:val="005F2CD1"/>
    <w:rsid w:val="005F2E72"/>
    <w:rsid w:val="005F5833"/>
    <w:rsid w:val="00600A0A"/>
    <w:rsid w:val="00607ECF"/>
    <w:rsid w:val="00611805"/>
    <w:rsid w:val="00622B95"/>
    <w:rsid w:val="006315C6"/>
    <w:rsid w:val="0064042C"/>
    <w:rsid w:val="0064093D"/>
    <w:rsid w:val="00651395"/>
    <w:rsid w:val="006700D5"/>
    <w:rsid w:val="00675AED"/>
    <w:rsid w:val="006769B9"/>
    <w:rsid w:val="0069348F"/>
    <w:rsid w:val="00693773"/>
    <w:rsid w:val="006A0B14"/>
    <w:rsid w:val="006A4969"/>
    <w:rsid w:val="006A55C4"/>
    <w:rsid w:val="006B77BB"/>
    <w:rsid w:val="006C20AE"/>
    <w:rsid w:val="006C34F8"/>
    <w:rsid w:val="006D11AB"/>
    <w:rsid w:val="006D63DF"/>
    <w:rsid w:val="006E6715"/>
    <w:rsid w:val="006E7FFD"/>
    <w:rsid w:val="006F0A9D"/>
    <w:rsid w:val="007012EA"/>
    <w:rsid w:val="00705E26"/>
    <w:rsid w:val="00706AC2"/>
    <w:rsid w:val="007128D1"/>
    <w:rsid w:val="00717523"/>
    <w:rsid w:val="00722BBB"/>
    <w:rsid w:val="00725AD7"/>
    <w:rsid w:val="00726EBE"/>
    <w:rsid w:val="0073342B"/>
    <w:rsid w:val="00740A37"/>
    <w:rsid w:val="00751F44"/>
    <w:rsid w:val="00753CFA"/>
    <w:rsid w:val="00757895"/>
    <w:rsid w:val="00772091"/>
    <w:rsid w:val="0078720C"/>
    <w:rsid w:val="0079224B"/>
    <w:rsid w:val="007A1C4C"/>
    <w:rsid w:val="007A7F08"/>
    <w:rsid w:val="007B3E80"/>
    <w:rsid w:val="007C3ADB"/>
    <w:rsid w:val="007C5B5A"/>
    <w:rsid w:val="007C7589"/>
    <w:rsid w:val="007E2004"/>
    <w:rsid w:val="007E59CA"/>
    <w:rsid w:val="007F044E"/>
    <w:rsid w:val="007F10B0"/>
    <w:rsid w:val="007F14B8"/>
    <w:rsid w:val="007F32A7"/>
    <w:rsid w:val="00803BFF"/>
    <w:rsid w:val="0080572B"/>
    <w:rsid w:val="00812EF9"/>
    <w:rsid w:val="008147A6"/>
    <w:rsid w:val="00816ACF"/>
    <w:rsid w:val="00835F10"/>
    <w:rsid w:val="00854A8C"/>
    <w:rsid w:val="00854D34"/>
    <w:rsid w:val="00863497"/>
    <w:rsid w:val="00864E9E"/>
    <w:rsid w:val="008733F0"/>
    <w:rsid w:val="0087396E"/>
    <w:rsid w:val="0087422F"/>
    <w:rsid w:val="008750AE"/>
    <w:rsid w:val="00880E2A"/>
    <w:rsid w:val="00884410"/>
    <w:rsid w:val="0088585B"/>
    <w:rsid w:val="00885A13"/>
    <w:rsid w:val="00892451"/>
    <w:rsid w:val="008944EB"/>
    <w:rsid w:val="0089524C"/>
    <w:rsid w:val="008A4E0E"/>
    <w:rsid w:val="008A5A02"/>
    <w:rsid w:val="008A7BC2"/>
    <w:rsid w:val="008B09B1"/>
    <w:rsid w:val="008B49D9"/>
    <w:rsid w:val="008D286F"/>
    <w:rsid w:val="008D502E"/>
    <w:rsid w:val="008E5E65"/>
    <w:rsid w:val="008E670C"/>
    <w:rsid w:val="008E7C1A"/>
    <w:rsid w:val="009010A5"/>
    <w:rsid w:val="0090147F"/>
    <w:rsid w:val="00904445"/>
    <w:rsid w:val="00913DF6"/>
    <w:rsid w:val="00914B11"/>
    <w:rsid w:val="00915B79"/>
    <w:rsid w:val="009164E1"/>
    <w:rsid w:val="00916BFB"/>
    <w:rsid w:val="0091761E"/>
    <w:rsid w:val="009210D5"/>
    <w:rsid w:val="00922EDD"/>
    <w:rsid w:val="00932360"/>
    <w:rsid w:val="009365A7"/>
    <w:rsid w:val="009372CD"/>
    <w:rsid w:val="00942943"/>
    <w:rsid w:val="009441DA"/>
    <w:rsid w:val="009513FD"/>
    <w:rsid w:val="00960711"/>
    <w:rsid w:val="00965C50"/>
    <w:rsid w:val="00972899"/>
    <w:rsid w:val="00981327"/>
    <w:rsid w:val="00981804"/>
    <w:rsid w:val="009823A6"/>
    <w:rsid w:val="00985227"/>
    <w:rsid w:val="00991BF3"/>
    <w:rsid w:val="00996DBA"/>
    <w:rsid w:val="0099756B"/>
    <w:rsid w:val="009A585F"/>
    <w:rsid w:val="009B47C5"/>
    <w:rsid w:val="009B5BB2"/>
    <w:rsid w:val="009B66D3"/>
    <w:rsid w:val="009B6C63"/>
    <w:rsid w:val="009C6278"/>
    <w:rsid w:val="009D1B14"/>
    <w:rsid w:val="009E33E7"/>
    <w:rsid w:val="009E3700"/>
    <w:rsid w:val="009F6F7C"/>
    <w:rsid w:val="00A0702E"/>
    <w:rsid w:val="00A15AA3"/>
    <w:rsid w:val="00A22C75"/>
    <w:rsid w:val="00A32E81"/>
    <w:rsid w:val="00A368DD"/>
    <w:rsid w:val="00A41B1E"/>
    <w:rsid w:val="00A4450E"/>
    <w:rsid w:val="00A44CC1"/>
    <w:rsid w:val="00A464CC"/>
    <w:rsid w:val="00A57719"/>
    <w:rsid w:val="00A62973"/>
    <w:rsid w:val="00A7319B"/>
    <w:rsid w:val="00A7688B"/>
    <w:rsid w:val="00A80F18"/>
    <w:rsid w:val="00A949F8"/>
    <w:rsid w:val="00A95C40"/>
    <w:rsid w:val="00AA2F00"/>
    <w:rsid w:val="00AA6A48"/>
    <w:rsid w:val="00AA6A63"/>
    <w:rsid w:val="00AD6F4D"/>
    <w:rsid w:val="00AE38BB"/>
    <w:rsid w:val="00AF6BF1"/>
    <w:rsid w:val="00B00D2F"/>
    <w:rsid w:val="00B01525"/>
    <w:rsid w:val="00B04F71"/>
    <w:rsid w:val="00B06D13"/>
    <w:rsid w:val="00B12C5B"/>
    <w:rsid w:val="00B136AE"/>
    <w:rsid w:val="00B15F81"/>
    <w:rsid w:val="00B21B34"/>
    <w:rsid w:val="00B243FE"/>
    <w:rsid w:val="00B35D09"/>
    <w:rsid w:val="00B46404"/>
    <w:rsid w:val="00B4678C"/>
    <w:rsid w:val="00B55090"/>
    <w:rsid w:val="00B56EFC"/>
    <w:rsid w:val="00B62AC6"/>
    <w:rsid w:val="00B65B8D"/>
    <w:rsid w:val="00B67FDA"/>
    <w:rsid w:val="00B70E2C"/>
    <w:rsid w:val="00B76CE5"/>
    <w:rsid w:val="00B81521"/>
    <w:rsid w:val="00B8361B"/>
    <w:rsid w:val="00B8394C"/>
    <w:rsid w:val="00B83AE9"/>
    <w:rsid w:val="00B900BE"/>
    <w:rsid w:val="00B918DE"/>
    <w:rsid w:val="00BA1438"/>
    <w:rsid w:val="00BA6D45"/>
    <w:rsid w:val="00BC1B91"/>
    <w:rsid w:val="00BC30EF"/>
    <w:rsid w:val="00BC63FC"/>
    <w:rsid w:val="00BD5662"/>
    <w:rsid w:val="00BD5764"/>
    <w:rsid w:val="00BE4D81"/>
    <w:rsid w:val="00BE5778"/>
    <w:rsid w:val="00BF544D"/>
    <w:rsid w:val="00C01082"/>
    <w:rsid w:val="00C02C1C"/>
    <w:rsid w:val="00C051EC"/>
    <w:rsid w:val="00C069E0"/>
    <w:rsid w:val="00C12067"/>
    <w:rsid w:val="00C1617B"/>
    <w:rsid w:val="00C25018"/>
    <w:rsid w:val="00C27226"/>
    <w:rsid w:val="00C3105B"/>
    <w:rsid w:val="00C33F48"/>
    <w:rsid w:val="00C41AB4"/>
    <w:rsid w:val="00C47642"/>
    <w:rsid w:val="00C76683"/>
    <w:rsid w:val="00C835D4"/>
    <w:rsid w:val="00C836EC"/>
    <w:rsid w:val="00C8494C"/>
    <w:rsid w:val="00C930E3"/>
    <w:rsid w:val="00CA759D"/>
    <w:rsid w:val="00CB7AA6"/>
    <w:rsid w:val="00CC2394"/>
    <w:rsid w:val="00CC491D"/>
    <w:rsid w:val="00CD281A"/>
    <w:rsid w:val="00CE0A66"/>
    <w:rsid w:val="00CE0B1D"/>
    <w:rsid w:val="00CE3960"/>
    <w:rsid w:val="00CE5DE4"/>
    <w:rsid w:val="00CF16B5"/>
    <w:rsid w:val="00CF5137"/>
    <w:rsid w:val="00CF7D78"/>
    <w:rsid w:val="00D01D2D"/>
    <w:rsid w:val="00D03B7B"/>
    <w:rsid w:val="00D06250"/>
    <w:rsid w:val="00D11819"/>
    <w:rsid w:val="00D128CB"/>
    <w:rsid w:val="00D1518D"/>
    <w:rsid w:val="00D15DD0"/>
    <w:rsid w:val="00D15F28"/>
    <w:rsid w:val="00D30949"/>
    <w:rsid w:val="00D41C39"/>
    <w:rsid w:val="00D43B89"/>
    <w:rsid w:val="00D43F5A"/>
    <w:rsid w:val="00D4403D"/>
    <w:rsid w:val="00D7481C"/>
    <w:rsid w:val="00D81547"/>
    <w:rsid w:val="00D87ED4"/>
    <w:rsid w:val="00D906D1"/>
    <w:rsid w:val="00D91C1E"/>
    <w:rsid w:val="00D92EF2"/>
    <w:rsid w:val="00D95F08"/>
    <w:rsid w:val="00D964B3"/>
    <w:rsid w:val="00DA016A"/>
    <w:rsid w:val="00DA20BC"/>
    <w:rsid w:val="00DD2FD9"/>
    <w:rsid w:val="00DD41E2"/>
    <w:rsid w:val="00DD6218"/>
    <w:rsid w:val="00DE228A"/>
    <w:rsid w:val="00DE7CC6"/>
    <w:rsid w:val="00DF20F6"/>
    <w:rsid w:val="00DF381E"/>
    <w:rsid w:val="00DF4A6C"/>
    <w:rsid w:val="00DF4DB9"/>
    <w:rsid w:val="00DF7085"/>
    <w:rsid w:val="00E24101"/>
    <w:rsid w:val="00E24648"/>
    <w:rsid w:val="00E316C6"/>
    <w:rsid w:val="00E37921"/>
    <w:rsid w:val="00E41B4E"/>
    <w:rsid w:val="00E42E76"/>
    <w:rsid w:val="00E607C2"/>
    <w:rsid w:val="00E61BCC"/>
    <w:rsid w:val="00E64A56"/>
    <w:rsid w:val="00E854F3"/>
    <w:rsid w:val="00E911FE"/>
    <w:rsid w:val="00E917E5"/>
    <w:rsid w:val="00E93513"/>
    <w:rsid w:val="00EA0423"/>
    <w:rsid w:val="00EA3041"/>
    <w:rsid w:val="00EA368C"/>
    <w:rsid w:val="00EA5116"/>
    <w:rsid w:val="00EC0BFF"/>
    <w:rsid w:val="00EC35B3"/>
    <w:rsid w:val="00EC3C38"/>
    <w:rsid w:val="00EC4395"/>
    <w:rsid w:val="00ED3B29"/>
    <w:rsid w:val="00ED57AD"/>
    <w:rsid w:val="00EE38D7"/>
    <w:rsid w:val="00EE3DCA"/>
    <w:rsid w:val="00EE4DBE"/>
    <w:rsid w:val="00EE5953"/>
    <w:rsid w:val="00EE5FF1"/>
    <w:rsid w:val="00EF6698"/>
    <w:rsid w:val="00F055F1"/>
    <w:rsid w:val="00F12038"/>
    <w:rsid w:val="00F15DA1"/>
    <w:rsid w:val="00F206AD"/>
    <w:rsid w:val="00F23D94"/>
    <w:rsid w:val="00F42EA3"/>
    <w:rsid w:val="00F45CE7"/>
    <w:rsid w:val="00F51886"/>
    <w:rsid w:val="00F65365"/>
    <w:rsid w:val="00F67875"/>
    <w:rsid w:val="00F70468"/>
    <w:rsid w:val="00F7262C"/>
    <w:rsid w:val="00F752ED"/>
    <w:rsid w:val="00F80155"/>
    <w:rsid w:val="00F80E97"/>
    <w:rsid w:val="00F83636"/>
    <w:rsid w:val="00F90823"/>
    <w:rsid w:val="00F90D42"/>
    <w:rsid w:val="00F919F1"/>
    <w:rsid w:val="00F91A2F"/>
    <w:rsid w:val="00F938E1"/>
    <w:rsid w:val="00F940A1"/>
    <w:rsid w:val="00F969CF"/>
    <w:rsid w:val="00FA0E9F"/>
    <w:rsid w:val="00FA1C78"/>
    <w:rsid w:val="00FA2CFD"/>
    <w:rsid w:val="00FA419C"/>
    <w:rsid w:val="00FA4550"/>
    <w:rsid w:val="00FC16BA"/>
    <w:rsid w:val="00FC1AEC"/>
    <w:rsid w:val="00FC2A28"/>
    <w:rsid w:val="00FD0105"/>
    <w:rsid w:val="00FD2523"/>
    <w:rsid w:val="00FD54EA"/>
    <w:rsid w:val="00FE1DE9"/>
    <w:rsid w:val="00FE3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4097"/>
    <o:shapelayout v:ext="edit">
      <o:idmap v:ext="edit" data="1"/>
    </o:shapelayout>
  </w:shapeDefaults>
  <w:decimalSymbol w:val="."/>
  <w:listSeparator w:val=","/>
  <w14:docId w14:val="2B6D1B94"/>
  <w15:docId w15:val="{E7BFDBED-1527-46D9-AFC2-7EDE798E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47C5"/>
    <w:rPr>
      <w:rFonts w:ascii="Arial" w:hAnsi="Arial"/>
      <w:sz w:val="24"/>
      <w:szCs w:val="24"/>
    </w:rPr>
  </w:style>
  <w:style w:type="paragraph" w:styleId="Heading1">
    <w:name w:val="heading 1"/>
    <w:basedOn w:val="Normal"/>
    <w:next w:val="Normal"/>
    <w:link w:val="Heading1Char"/>
    <w:uiPriority w:val="99"/>
    <w:qFormat/>
    <w:locked/>
    <w:rsid w:val="005C04B6"/>
    <w:pPr>
      <w:keepNext/>
      <w:keepLines/>
      <w:numPr>
        <w:numId w:val="15"/>
      </w:numPr>
      <w:spacing w:before="120" w:after="240"/>
      <w:outlineLvl w:val="0"/>
    </w:pPr>
    <w:rPr>
      <w:b/>
      <w:bCs/>
      <w:caps/>
      <w:szCs w:val="28"/>
    </w:rPr>
  </w:style>
  <w:style w:type="paragraph" w:styleId="Heading2">
    <w:name w:val="heading 2"/>
    <w:basedOn w:val="Normal"/>
    <w:next w:val="Normal"/>
    <w:link w:val="Heading2Char"/>
    <w:unhideWhenUsed/>
    <w:qFormat/>
    <w:locked/>
    <w:rsid w:val="00072493"/>
    <w:pPr>
      <w:keepNext/>
      <w:keepLines/>
      <w:numPr>
        <w:numId w:val="37"/>
      </w:numPr>
      <w:spacing w:before="120" w:after="240"/>
      <w:outlineLvl w:val="1"/>
    </w:pPr>
    <w:rPr>
      <w:rFonts w:eastAsiaTheme="majorEastAsia" w:cstheme="majorBidi"/>
      <w:b/>
      <w:bCs/>
      <w:szCs w:val="26"/>
    </w:rPr>
  </w:style>
  <w:style w:type="paragraph" w:styleId="Heading3">
    <w:name w:val="heading 3"/>
    <w:basedOn w:val="Normal"/>
    <w:next w:val="Normal"/>
    <w:link w:val="Heading3Char"/>
    <w:unhideWhenUsed/>
    <w:qFormat/>
    <w:locked/>
    <w:rsid w:val="009B47C5"/>
    <w:pPr>
      <w:keepNext/>
      <w:keepLines/>
      <w:numPr>
        <w:numId w:val="17"/>
      </w:numPr>
      <w:spacing w:before="120" w:after="120"/>
      <w:outlineLvl w:val="2"/>
    </w:pPr>
    <w:rPr>
      <w:rFonts w:eastAsiaTheme="majorEastAsia" w:cstheme="majorBidi"/>
      <w:b/>
      <w:bCs/>
    </w:rPr>
  </w:style>
  <w:style w:type="paragraph" w:styleId="Heading4">
    <w:name w:val="heading 4"/>
    <w:basedOn w:val="Normal"/>
    <w:next w:val="Normal"/>
    <w:link w:val="Heading4Char"/>
    <w:unhideWhenUsed/>
    <w:qFormat/>
    <w:locked/>
    <w:rsid w:val="00753CFA"/>
    <w:pPr>
      <w:keepNext/>
      <w:keepLines/>
      <w:numPr>
        <w:numId w:val="29"/>
      </w:numPr>
      <w:spacing w:before="120" w:after="12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04B6"/>
    <w:rPr>
      <w:rFonts w:ascii="Arial" w:hAnsi="Arial"/>
      <w:b/>
      <w:bCs/>
      <w:caps/>
      <w:sz w:val="24"/>
      <w:szCs w:val="28"/>
    </w:rPr>
  </w:style>
  <w:style w:type="paragraph" w:styleId="FootnoteText">
    <w:name w:val="footnote text"/>
    <w:aliases w:val="ALTS FOOTNOTE,fn,Footnote text,FOOTNOTE,Footnote Text Char2,Footnote Text Char Char,Footnote Text Char1 Char Char,Footnote Text Char Char Char Char,Footnote Text Char1 Char Char Char Char,Footnote Text Char Char Char Char Char Char1,fn Cha"/>
    <w:basedOn w:val="Normal"/>
    <w:link w:val="FootnoteTextChar"/>
    <w:uiPriority w:val="99"/>
    <w:semiHidden/>
    <w:rsid w:val="00706AC2"/>
    <w:pPr>
      <w:spacing w:after="120"/>
    </w:pPr>
    <w:rPr>
      <w:sz w:val="20"/>
      <w:szCs w:val="20"/>
    </w:rPr>
  </w:style>
  <w:style w:type="character" w:customStyle="1" w:styleId="FootnoteTextChar">
    <w:name w:val="Footnote Text Char"/>
    <w:aliases w:val="ALTS FOOTNOTE Char,fn Char,Footnote text Char,FOOTNOTE Char,Footnote Text Char2 Char,Footnote Text Char Char Char,Footnote Text Char1 Char Char Char,Footnote Text Char Char Char Char Char,Footnote Text Char1 Char Char Char Char Char"/>
    <w:basedOn w:val="DefaultParagraphFont"/>
    <w:link w:val="FootnoteText"/>
    <w:uiPriority w:val="99"/>
    <w:semiHidden/>
    <w:locked/>
    <w:rsid w:val="00706AC2"/>
    <w:rPr>
      <w:rFonts w:ascii="Arial" w:hAnsi="Arial"/>
      <w:sz w:val="20"/>
      <w:szCs w:val="20"/>
    </w:rPr>
  </w:style>
  <w:style w:type="character" w:styleId="FootnoteReference">
    <w:name w:val="footnote reference"/>
    <w:aliases w:val="Style 12,(NECG) Footnote Reference,Style 13,Appel note de bas de p,Style 124,fr,o,Style 3,FR"/>
    <w:basedOn w:val="DefaultParagraphFont"/>
    <w:uiPriority w:val="99"/>
    <w:semiHidden/>
    <w:rsid w:val="00010B60"/>
    <w:rPr>
      <w:rFonts w:cs="Times New Roman"/>
      <w:vertAlign w:val="superscript"/>
    </w:rPr>
  </w:style>
  <w:style w:type="paragraph" w:customStyle="1" w:styleId="Default">
    <w:name w:val="Default"/>
    <w:uiPriority w:val="99"/>
    <w:rsid w:val="00B15F81"/>
    <w:pPr>
      <w:widowControl w:val="0"/>
      <w:autoSpaceDE w:val="0"/>
      <w:autoSpaceDN w:val="0"/>
      <w:adjustRightInd w:val="0"/>
    </w:pPr>
    <w:rPr>
      <w:rFonts w:ascii="GPMDED+Arial" w:hAnsi="GPMDED+Arial"/>
      <w:color w:val="000000"/>
      <w:sz w:val="24"/>
      <w:szCs w:val="24"/>
    </w:rPr>
  </w:style>
  <w:style w:type="character" w:customStyle="1" w:styleId="footnotenumberChar">
    <w:name w:val="footnote number Char"/>
    <w:basedOn w:val="DefaultParagraphFont"/>
    <w:uiPriority w:val="99"/>
    <w:rsid w:val="00B15F81"/>
    <w:rPr>
      <w:rFonts w:ascii="Times New Roman" w:hAnsi="Times New Roman" w:cs="Times New Roman"/>
      <w:color w:val="000000"/>
      <w:spacing w:val="-20"/>
      <w:position w:val="6"/>
      <w:sz w:val="20"/>
      <w:szCs w:val="20"/>
      <w:vertAlign w:val="superscript"/>
    </w:rPr>
  </w:style>
  <w:style w:type="character" w:styleId="Hyperlink">
    <w:name w:val="Hyperlink"/>
    <w:basedOn w:val="DefaultParagraphFont"/>
    <w:uiPriority w:val="99"/>
    <w:rsid w:val="00B15F81"/>
    <w:rPr>
      <w:rFonts w:cs="Times New Roman"/>
      <w:color w:val="0000FF"/>
      <w:u w:val="single"/>
    </w:rPr>
  </w:style>
  <w:style w:type="paragraph" w:styleId="BalloonText">
    <w:name w:val="Balloon Text"/>
    <w:basedOn w:val="Normal"/>
    <w:link w:val="BalloonTextChar"/>
    <w:uiPriority w:val="99"/>
    <w:rsid w:val="00394F00"/>
    <w:rPr>
      <w:rFonts w:ascii="Tahoma" w:hAnsi="Tahoma" w:cs="Tahoma"/>
      <w:sz w:val="16"/>
      <w:szCs w:val="16"/>
    </w:rPr>
  </w:style>
  <w:style w:type="character" w:customStyle="1" w:styleId="BalloonTextChar">
    <w:name w:val="Balloon Text Char"/>
    <w:basedOn w:val="DefaultParagraphFont"/>
    <w:link w:val="BalloonText"/>
    <w:uiPriority w:val="99"/>
    <w:locked/>
    <w:rsid w:val="00394F00"/>
    <w:rPr>
      <w:rFonts w:ascii="Tahoma" w:hAnsi="Tahoma" w:cs="Tahoma"/>
      <w:sz w:val="16"/>
      <w:szCs w:val="16"/>
    </w:rPr>
  </w:style>
  <w:style w:type="paragraph" w:styleId="Header">
    <w:name w:val="header"/>
    <w:basedOn w:val="Normal"/>
    <w:link w:val="HeaderChar"/>
    <w:uiPriority w:val="99"/>
    <w:semiHidden/>
    <w:rsid w:val="00DF7085"/>
    <w:pPr>
      <w:tabs>
        <w:tab w:val="center" w:pos="4680"/>
        <w:tab w:val="right" w:pos="9360"/>
      </w:tabs>
    </w:pPr>
  </w:style>
  <w:style w:type="character" w:customStyle="1" w:styleId="HeaderChar">
    <w:name w:val="Header Char"/>
    <w:basedOn w:val="DefaultParagraphFont"/>
    <w:link w:val="Header"/>
    <w:uiPriority w:val="99"/>
    <w:semiHidden/>
    <w:locked/>
    <w:rsid w:val="00DF7085"/>
    <w:rPr>
      <w:rFonts w:cs="Times New Roman"/>
      <w:sz w:val="24"/>
      <w:szCs w:val="24"/>
    </w:rPr>
  </w:style>
  <w:style w:type="paragraph" w:styleId="Footer">
    <w:name w:val="footer"/>
    <w:basedOn w:val="Normal"/>
    <w:link w:val="FooterChar"/>
    <w:uiPriority w:val="99"/>
    <w:rsid w:val="00DF7085"/>
    <w:pPr>
      <w:tabs>
        <w:tab w:val="center" w:pos="4680"/>
        <w:tab w:val="right" w:pos="9360"/>
      </w:tabs>
    </w:pPr>
  </w:style>
  <w:style w:type="character" w:customStyle="1" w:styleId="FooterChar">
    <w:name w:val="Footer Char"/>
    <w:basedOn w:val="DefaultParagraphFont"/>
    <w:link w:val="Footer"/>
    <w:uiPriority w:val="99"/>
    <w:locked/>
    <w:rsid w:val="00DF7085"/>
    <w:rPr>
      <w:rFonts w:cs="Times New Roman"/>
      <w:sz w:val="24"/>
      <w:szCs w:val="24"/>
    </w:rPr>
  </w:style>
  <w:style w:type="paragraph" w:styleId="TOCHeading">
    <w:name w:val="TOC Heading"/>
    <w:basedOn w:val="Heading1"/>
    <w:next w:val="Normal"/>
    <w:uiPriority w:val="39"/>
    <w:qFormat/>
    <w:rsid w:val="009B47C5"/>
    <w:pPr>
      <w:spacing w:line="276" w:lineRule="auto"/>
      <w:outlineLvl w:val="9"/>
    </w:pPr>
  </w:style>
  <w:style w:type="paragraph" w:styleId="TOC2">
    <w:name w:val="toc 2"/>
    <w:basedOn w:val="Normal"/>
    <w:next w:val="Normal"/>
    <w:autoRedefine/>
    <w:uiPriority w:val="39"/>
    <w:locked/>
    <w:rsid w:val="00753CFA"/>
    <w:pPr>
      <w:tabs>
        <w:tab w:val="left" w:pos="720"/>
        <w:tab w:val="right" w:leader="dot" w:pos="9350"/>
      </w:tabs>
      <w:spacing w:after="100" w:line="276" w:lineRule="auto"/>
      <w:ind w:left="220"/>
    </w:pPr>
    <w:rPr>
      <w:b/>
      <w:noProof/>
      <w:szCs w:val="22"/>
    </w:rPr>
  </w:style>
  <w:style w:type="paragraph" w:styleId="TOC1">
    <w:name w:val="toc 1"/>
    <w:basedOn w:val="Normal"/>
    <w:next w:val="Normal"/>
    <w:autoRedefine/>
    <w:uiPriority w:val="39"/>
    <w:locked/>
    <w:rsid w:val="00072493"/>
    <w:pPr>
      <w:tabs>
        <w:tab w:val="left" w:pos="440"/>
        <w:tab w:val="right" w:leader="dot" w:pos="9350"/>
      </w:tabs>
      <w:spacing w:after="100" w:line="276" w:lineRule="auto"/>
    </w:pPr>
    <w:rPr>
      <w:b/>
      <w:caps/>
      <w:noProof/>
      <w:szCs w:val="22"/>
    </w:rPr>
  </w:style>
  <w:style w:type="paragraph" w:styleId="TOC3">
    <w:name w:val="toc 3"/>
    <w:basedOn w:val="Normal"/>
    <w:next w:val="Normal"/>
    <w:autoRedefine/>
    <w:uiPriority w:val="39"/>
    <w:locked/>
    <w:rsid w:val="00753CFA"/>
    <w:pPr>
      <w:spacing w:after="100" w:line="276" w:lineRule="auto"/>
      <w:ind w:left="440"/>
    </w:pPr>
    <w:rPr>
      <w:b/>
      <w:szCs w:val="22"/>
    </w:rPr>
  </w:style>
  <w:style w:type="paragraph" w:styleId="ListParagraph">
    <w:name w:val="List Paragraph"/>
    <w:basedOn w:val="Normal"/>
    <w:uiPriority w:val="99"/>
    <w:qFormat/>
    <w:rsid w:val="00317E33"/>
    <w:pPr>
      <w:ind w:left="720"/>
      <w:contextualSpacing/>
    </w:pPr>
  </w:style>
  <w:style w:type="character" w:styleId="FollowedHyperlink">
    <w:name w:val="FollowedHyperlink"/>
    <w:basedOn w:val="DefaultParagraphFont"/>
    <w:uiPriority w:val="99"/>
    <w:semiHidden/>
    <w:rsid w:val="00725AD7"/>
    <w:rPr>
      <w:rFonts w:cs="Times New Roman"/>
      <w:color w:val="800080"/>
      <w:u w:val="single"/>
    </w:rPr>
  </w:style>
  <w:style w:type="character" w:customStyle="1" w:styleId="Heading2Char">
    <w:name w:val="Heading 2 Char"/>
    <w:basedOn w:val="DefaultParagraphFont"/>
    <w:link w:val="Heading2"/>
    <w:rsid w:val="00072493"/>
    <w:rPr>
      <w:rFonts w:ascii="Arial" w:eastAsiaTheme="majorEastAsia" w:hAnsi="Arial" w:cstheme="majorBidi"/>
      <w:b/>
      <w:bCs/>
      <w:sz w:val="24"/>
      <w:szCs w:val="26"/>
    </w:rPr>
  </w:style>
  <w:style w:type="paragraph" w:styleId="TOC4">
    <w:name w:val="toc 4"/>
    <w:basedOn w:val="Normal"/>
    <w:next w:val="Normal"/>
    <w:autoRedefine/>
    <w:uiPriority w:val="39"/>
    <w:locked/>
    <w:rsid w:val="00753CFA"/>
    <w:pPr>
      <w:spacing w:after="100"/>
      <w:ind w:left="720"/>
    </w:pPr>
    <w:rPr>
      <w:b/>
    </w:rPr>
  </w:style>
  <w:style w:type="paragraph" w:styleId="TOC5">
    <w:name w:val="toc 5"/>
    <w:basedOn w:val="Normal"/>
    <w:next w:val="Normal"/>
    <w:autoRedefine/>
    <w:locked/>
    <w:rsid w:val="009B47C5"/>
    <w:pPr>
      <w:spacing w:after="100"/>
      <w:ind w:left="960"/>
    </w:pPr>
  </w:style>
  <w:style w:type="character" w:customStyle="1" w:styleId="Heading3Char">
    <w:name w:val="Heading 3 Char"/>
    <w:basedOn w:val="DefaultParagraphFont"/>
    <w:link w:val="Heading3"/>
    <w:rsid w:val="009B47C5"/>
    <w:rPr>
      <w:rFonts w:ascii="Arial" w:eastAsiaTheme="majorEastAsia" w:hAnsi="Arial" w:cstheme="majorBidi"/>
      <w:b/>
      <w:bCs/>
      <w:sz w:val="24"/>
      <w:szCs w:val="24"/>
    </w:rPr>
  </w:style>
  <w:style w:type="paragraph" w:styleId="ListContinue4">
    <w:name w:val="List Continue 4"/>
    <w:basedOn w:val="Normal"/>
    <w:uiPriority w:val="99"/>
    <w:semiHidden/>
    <w:unhideWhenUsed/>
    <w:rsid w:val="00753CFA"/>
    <w:pPr>
      <w:numPr>
        <w:numId w:val="28"/>
      </w:numPr>
      <w:spacing w:after="120"/>
      <w:ind w:left="1800"/>
      <w:contextualSpacing/>
    </w:pPr>
  </w:style>
  <w:style w:type="character" w:customStyle="1" w:styleId="Heading4Char">
    <w:name w:val="Heading 4 Char"/>
    <w:basedOn w:val="DefaultParagraphFont"/>
    <w:link w:val="Heading4"/>
    <w:rsid w:val="00753CFA"/>
    <w:rPr>
      <w:rFonts w:ascii="Arial" w:eastAsiaTheme="majorEastAsia" w:hAnsi="Arial" w:cstheme="majorBidi"/>
      <w:bCs/>
      <w:iCs/>
      <w:sz w:val="24"/>
      <w:szCs w:val="24"/>
    </w:rPr>
  </w:style>
  <w:style w:type="paragraph" w:styleId="TOAHeading">
    <w:name w:val="toa heading"/>
    <w:basedOn w:val="Normal"/>
    <w:next w:val="Normal"/>
    <w:uiPriority w:val="99"/>
    <w:unhideWhenUsed/>
    <w:rsid w:val="00753CFA"/>
    <w:pPr>
      <w:spacing w:before="120"/>
    </w:pPr>
    <w:rPr>
      <w:rFonts w:eastAsiaTheme="majorEastAsia" w:cstheme="majorBidi"/>
      <w:b/>
      <w:bCs/>
    </w:rPr>
  </w:style>
  <w:style w:type="character" w:styleId="Emphasis">
    <w:name w:val="Emphasis"/>
    <w:basedOn w:val="DefaultParagraphFont"/>
    <w:uiPriority w:val="20"/>
    <w:qFormat/>
    <w:locked/>
    <w:rsid w:val="00072493"/>
    <w:rPr>
      <w:i/>
      <w:iCs/>
    </w:rPr>
  </w:style>
  <w:style w:type="table" w:styleId="TableGrid">
    <w:name w:val="Table Grid"/>
    <w:basedOn w:val="TableNormal"/>
    <w:locked/>
    <w:rsid w:val="00C8494C"/>
    <w:rPr>
      <w:rFonts w:asciiTheme="minorHAnsi" w:eastAsiaTheme="minorEastAsia"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semiHidden/>
    <w:unhideWhenUsed/>
    <w:rsid w:val="004B1309"/>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4B1309"/>
    <w:rPr>
      <w:rFonts w:ascii="Consolas" w:eastAsiaTheme="minorHAnsi" w:hAnsi="Consolas" w:cstheme="minorBidi"/>
      <w:sz w:val="21"/>
      <w:szCs w:val="21"/>
    </w:rPr>
  </w:style>
  <w:style w:type="paragraph" w:styleId="Title">
    <w:name w:val="Title"/>
    <w:basedOn w:val="Normal"/>
    <w:next w:val="Normal"/>
    <w:link w:val="TitleChar"/>
    <w:qFormat/>
    <w:locked/>
    <w:rsid w:val="004F0FCE"/>
    <w:pPr>
      <w:spacing w:after="300" w:line="360" w:lineRule="auto"/>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rsid w:val="004F0FCE"/>
    <w:rPr>
      <w:rFonts w:ascii="Arial" w:eastAsiaTheme="majorEastAsia" w:hAnsi="Arial" w:cstheme="majorBidi"/>
      <w:b/>
      <w:spacing w:val="5"/>
      <w:kern w:val="28"/>
      <w:sz w:val="24"/>
      <w:szCs w:val="52"/>
    </w:rPr>
  </w:style>
  <w:style w:type="paragraph" w:styleId="BodyTextIndent">
    <w:name w:val="Body Text Indent"/>
    <w:basedOn w:val="Normal"/>
    <w:link w:val="BodyTextIndentChar"/>
    <w:rsid w:val="004F0FCE"/>
    <w:pPr>
      <w:spacing w:line="480" w:lineRule="auto"/>
      <w:ind w:firstLine="720"/>
    </w:pPr>
  </w:style>
  <w:style w:type="character" w:customStyle="1" w:styleId="BodyTextIndentChar">
    <w:name w:val="Body Text Indent Char"/>
    <w:basedOn w:val="DefaultParagraphFont"/>
    <w:link w:val="BodyTextIndent"/>
    <w:rsid w:val="004F0FCE"/>
    <w:rPr>
      <w:rFonts w:ascii="Arial" w:hAnsi="Arial"/>
      <w:sz w:val="24"/>
      <w:szCs w:val="24"/>
    </w:rPr>
  </w:style>
  <w:style w:type="character" w:styleId="Mention">
    <w:name w:val="Mention"/>
    <w:basedOn w:val="DefaultParagraphFont"/>
    <w:uiPriority w:val="99"/>
    <w:semiHidden/>
    <w:unhideWhenUsed/>
    <w:rsid w:val="00FD54EA"/>
    <w:rPr>
      <w:color w:val="2B579A"/>
      <w:shd w:val="clear" w:color="auto" w:fill="E6E6E6"/>
    </w:rPr>
  </w:style>
  <w:style w:type="paragraph" w:customStyle="1" w:styleId="commentbody">
    <w:name w:val="comment body"/>
    <w:basedOn w:val="Normal"/>
    <w:link w:val="commentbodyChar"/>
    <w:qFormat/>
    <w:rsid w:val="00F752ED"/>
    <w:pPr>
      <w:spacing w:line="480" w:lineRule="auto"/>
      <w:ind w:right="720" w:firstLine="720"/>
    </w:pPr>
    <w:rPr>
      <w:rFonts w:cs="Arial"/>
    </w:rPr>
  </w:style>
  <w:style w:type="character" w:customStyle="1" w:styleId="commentbodyChar">
    <w:name w:val="comment body Char"/>
    <w:basedOn w:val="DefaultParagraphFont"/>
    <w:link w:val="commentbody"/>
    <w:rsid w:val="00F752E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315">
      <w:bodyDiv w:val="1"/>
      <w:marLeft w:val="0"/>
      <w:marRight w:val="0"/>
      <w:marTop w:val="0"/>
      <w:marBottom w:val="0"/>
      <w:divBdr>
        <w:top w:val="none" w:sz="0" w:space="0" w:color="auto"/>
        <w:left w:val="none" w:sz="0" w:space="0" w:color="auto"/>
        <w:bottom w:val="none" w:sz="0" w:space="0" w:color="auto"/>
        <w:right w:val="none" w:sz="0" w:space="0" w:color="auto"/>
      </w:divBdr>
    </w:div>
    <w:div w:id="132796015">
      <w:bodyDiv w:val="1"/>
      <w:marLeft w:val="0"/>
      <w:marRight w:val="0"/>
      <w:marTop w:val="0"/>
      <w:marBottom w:val="0"/>
      <w:divBdr>
        <w:top w:val="none" w:sz="0" w:space="0" w:color="auto"/>
        <w:left w:val="none" w:sz="0" w:space="0" w:color="auto"/>
        <w:bottom w:val="none" w:sz="0" w:space="0" w:color="auto"/>
        <w:right w:val="none" w:sz="0" w:space="0" w:color="auto"/>
      </w:divBdr>
    </w:div>
    <w:div w:id="366680825">
      <w:bodyDiv w:val="1"/>
      <w:marLeft w:val="0"/>
      <w:marRight w:val="0"/>
      <w:marTop w:val="0"/>
      <w:marBottom w:val="0"/>
      <w:divBdr>
        <w:top w:val="none" w:sz="0" w:space="0" w:color="auto"/>
        <w:left w:val="none" w:sz="0" w:space="0" w:color="auto"/>
        <w:bottom w:val="none" w:sz="0" w:space="0" w:color="auto"/>
        <w:right w:val="none" w:sz="0" w:space="0" w:color="auto"/>
      </w:divBdr>
      <w:divsChild>
        <w:div w:id="1734935776">
          <w:marLeft w:val="0"/>
          <w:marRight w:val="0"/>
          <w:marTop w:val="0"/>
          <w:marBottom w:val="0"/>
          <w:divBdr>
            <w:top w:val="none" w:sz="0" w:space="0" w:color="auto"/>
            <w:left w:val="none" w:sz="0" w:space="0" w:color="auto"/>
            <w:bottom w:val="none" w:sz="0" w:space="0" w:color="auto"/>
            <w:right w:val="none" w:sz="0" w:space="0" w:color="auto"/>
          </w:divBdr>
          <w:divsChild>
            <w:div w:id="1177230801">
              <w:marLeft w:val="0"/>
              <w:marRight w:val="0"/>
              <w:marTop w:val="0"/>
              <w:marBottom w:val="0"/>
              <w:divBdr>
                <w:top w:val="none" w:sz="0" w:space="0" w:color="auto"/>
                <w:left w:val="none" w:sz="0" w:space="0" w:color="auto"/>
                <w:bottom w:val="none" w:sz="0" w:space="0" w:color="auto"/>
                <w:right w:val="none" w:sz="0" w:space="0" w:color="auto"/>
              </w:divBdr>
              <w:divsChild>
                <w:div w:id="484588857">
                  <w:marLeft w:val="0"/>
                  <w:marRight w:val="0"/>
                  <w:marTop w:val="0"/>
                  <w:marBottom w:val="0"/>
                  <w:divBdr>
                    <w:top w:val="none" w:sz="0" w:space="0" w:color="auto"/>
                    <w:left w:val="none" w:sz="0" w:space="0" w:color="auto"/>
                    <w:bottom w:val="none" w:sz="0" w:space="0" w:color="auto"/>
                    <w:right w:val="none" w:sz="0" w:space="0" w:color="auto"/>
                  </w:divBdr>
                  <w:divsChild>
                    <w:div w:id="1509518191">
                      <w:marLeft w:val="0"/>
                      <w:marRight w:val="0"/>
                      <w:marTop w:val="0"/>
                      <w:marBottom w:val="0"/>
                      <w:divBdr>
                        <w:top w:val="none" w:sz="0" w:space="0" w:color="auto"/>
                        <w:left w:val="none" w:sz="0" w:space="0" w:color="auto"/>
                        <w:bottom w:val="none" w:sz="0" w:space="0" w:color="auto"/>
                        <w:right w:val="none" w:sz="0" w:space="0" w:color="auto"/>
                      </w:divBdr>
                      <w:divsChild>
                        <w:div w:id="138583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5618540">
      <w:bodyDiv w:val="1"/>
      <w:marLeft w:val="0"/>
      <w:marRight w:val="0"/>
      <w:marTop w:val="0"/>
      <w:marBottom w:val="0"/>
      <w:divBdr>
        <w:top w:val="none" w:sz="0" w:space="0" w:color="auto"/>
        <w:left w:val="none" w:sz="0" w:space="0" w:color="auto"/>
        <w:bottom w:val="none" w:sz="0" w:space="0" w:color="auto"/>
        <w:right w:val="none" w:sz="0" w:space="0" w:color="auto"/>
      </w:divBdr>
    </w:div>
    <w:div w:id="649289698">
      <w:bodyDiv w:val="1"/>
      <w:marLeft w:val="0"/>
      <w:marRight w:val="0"/>
      <w:marTop w:val="0"/>
      <w:marBottom w:val="0"/>
      <w:divBdr>
        <w:top w:val="none" w:sz="0" w:space="0" w:color="auto"/>
        <w:left w:val="none" w:sz="0" w:space="0" w:color="auto"/>
        <w:bottom w:val="none" w:sz="0" w:space="0" w:color="auto"/>
        <w:right w:val="none" w:sz="0" w:space="0" w:color="auto"/>
      </w:divBdr>
    </w:div>
    <w:div w:id="965357504">
      <w:bodyDiv w:val="1"/>
      <w:marLeft w:val="0"/>
      <w:marRight w:val="0"/>
      <w:marTop w:val="0"/>
      <w:marBottom w:val="0"/>
      <w:divBdr>
        <w:top w:val="none" w:sz="0" w:space="0" w:color="auto"/>
        <w:left w:val="none" w:sz="0" w:space="0" w:color="auto"/>
        <w:bottom w:val="none" w:sz="0" w:space="0" w:color="auto"/>
        <w:right w:val="none" w:sz="0" w:space="0" w:color="auto"/>
      </w:divBdr>
    </w:div>
    <w:div w:id="985285660">
      <w:bodyDiv w:val="1"/>
      <w:marLeft w:val="0"/>
      <w:marRight w:val="0"/>
      <w:marTop w:val="0"/>
      <w:marBottom w:val="0"/>
      <w:divBdr>
        <w:top w:val="none" w:sz="0" w:space="0" w:color="auto"/>
        <w:left w:val="none" w:sz="0" w:space="0" w:color="auto"/>
        <w:bottom w:val="none" w:sz="0" w:space="0" w:color="auto"/>
        <w:right w:val="none" w:sz="0" w:space="0" w:color="auto"/>
      </w:divBdr>
    </w:div>
    <w:div w:id="995845238">
      <w:bodyDiv w:val="1"/>
      <w:marLeft w:val="0"/>
      <w:marRight w:val="0"/>
      <w:marTop w:val="0"/>
      <w:marBottom w:val="0"/>
      <w:divBdr>
        <w:top w:val="none" w:sz="0" w:space="0" w:color="auto"/>
        <w:left w:val="none" w:sz="0" w:space="0" w:color="auto"/>
        <w:bottom w:val="none" w:sz="0" w:space="0" w:color="auto"/>
        <w:right w:val="none" w:sz="0" w:space="0" w:color="auto"/>
      </w:divBdr>
    </w:div>
    <w:div w:id="1041855453">
      <w:bodyDiv w:val="1"/>
      <w:marLeft w:val="0"/>
      <w:marRight w:val="0"/>
      <w:marTop w:val="0"/>
      <w:marBottom w:val="0"/>
      <w:divBdr>
        <w:top w:val="none" w:sz="0" w:space="0" w:color="auto"/>
        <w:left w:val="none" w:sz="0" w:space="0" w:color="auto"/>
        <w:bottom w:val="none" w:sz="0" w:space="0" w:color="auto"/>
        <w:right w:val="none" w:sz="0" w:space="0" w:color="auto"/>
      </w:divBdr>
    </w:div>
    <w:div w:id="1214122444">
      <w:bodyDiv w:val="1"/>
      <w:marLeft w:val="0"/>
      <w:marRight w:val="0"/>
      <w:marTop w:val="0"/>
      <w:marBottom w:val="0"/>
      <w:divBdr>
        <w:top w:val="none" w:sz="0" w:space="0" w:color="auto"/>
        <w:left w:val="none" w:sz="0" w:space="0" w:color="auto"/>
        <w:bottom w:val="none" w:sz="0" w:space="0" w:color="auto"/>
        <w:right w:val="none" w:sz="0" w:space="0" w:color="auto"/>
      </w:divBdr>
    </w:div>
    <w:div w:id="1267347384">
      <w:bodyDiv w:val="1"/>
      <w:marLeft w:val="0"/>
      <w:marRight w:val="0"/>
      <w:marTop w:val="0"/>
      <w:marBottom w:val="0"/>
      <w:divBdr>
        <w:top w:val="none" w:sz="0" w:space="0" w:color="auto"/>
        <w:left w:val="none" w:sz="0" w:space="0" w:color="auto"/>
        <w:bottom w:val="none" w:sz="0" w:space="0" w:color="auto"/>
        <w:right w:val="none" w:sz="0" w:space="0" w:color="auto"/>
      </w:divBdr>
    </w:div>
    <w:div w:id="1367178486">
      <w:bodyDiv w:val="1"/>
      <w:marLeft w:val="0"/>
      <w:marRight w:val="0"/>
      <w:marTop w:val="0"/>
      <w:marBottom w:val="0"/>
      <w:divBdr>
        <w:top w:val="none" w:sz="0" w:space="0" w:color="auto"/>
        <w:left w:val="none" w:sz="0" w:space="0" w:color="auto"/>
        <w:bottom w:val="none" w:sz="0" w:space="0" w:color="auto"/>
        <w:right w:val="none" w:sz="0" w:space="0" w:color="auto"/>
      </w:divBdr>
    </w:div>
    <w:div w:id="1783840873">
      <w:bodyDiv w:val="1"/>
      <w:marLeft w:val="0"/>
      <w:marRight w:val="0"/>
      <w:marTop w:val="0"/>
      <w:marBottom w:val="0"/>
      <w:divBdr>
        <w:top w:val="none" w:sz="0" w:space="0" w:color="auto"/>
        <w:left w:val="none" w:sz="0" w:space="0" w:color="auto"/>
        <w:bottom w:val="none" w:sz="0" w:space="0" w:color="auto"/>
        <w:right w:val="none" w:sz="0" w:space="0" w:color="auto"/>
      </w:divBdr>
    </w:div>
    <w:div w:id="1809977266">
      <w:bodyDiv w:val="1"/>
      <w:marLeft w:val="0"/>
      <w:marRight w:val="0"/>
      <w:marTop w:val="0"/>
      <w:marBottom w:val="0"/>
      <w:divBdr>
        <w:top w:val="none" w:sz="0" w:space="0" w:color="auto"/>
        <w:left w:val="none" w:sz="0" w:space="0" w:color="auto"/>
        <w:bottom w:val="none" w:sz="0" w:space="0" w:color="auto"/>
        <w:right w:val="none" w:sz="0" w:space="0" w:color="auto"/>
      </w:divBdr>
    </w:div>
    <w:div w:id="1860585602">
      <w:bodyDiv w:val="1"/>
      <w:marLeft w:val="0"/>
      <w:marRight w:val="0"/>
      <w:marTop w:val="0"/>
      <w:marBottom w:val="0"/>
      <w:divBdr>
        <w:top w:val="none" w:sz="0" w:space="0" w:color="auto"/>
        <w:left w:val="none" w:sz="0" w:space="0" w:color="auto"/>
        <w:bottom w:val="none" w:sz="0" w:space="0" w:color="auto"/>
        <w:right w:val="none" w:sz="0" w:space="0" w:color="auto"/>
      </w:divBdr>
    </w:div>
    <w:div w:id="1874800656">
      <w:bodyDiv w:val="1"/>
      <w:marLeft w:val="0"/>
      <w:marRight w:val="0"/>
      <w:marTop w:val="0"/>
      <w:marBottom w:val="0"/>
      <w:divBdr>
        <w:top w:val="none" w:sz="0" w:space="0" w:color="auto"/>
        <w:left w:val="none" w:sz="0" w:space="0" w:color="auto"/>
        <w:bottom w:val="none" w:sz="0" w:space="0" w:color="auto"/>
        <w:right w:val="none" w:sz="0" w:space="0" w:color="auto"/>
      </w:divBdr>
    </w:div>
    <w:div w:id="1908569564">
      <w:bodyDiv w:val="1"/>
      <w:marLeft w:val="0"/>
      <w:marRight w:val="0"/>
      <w:marTop w:val="0"/>
      <w:marBottom w:val="0"/>
      <w:divBdr>
        <w:top w:val="none" w:sz="0" w:space="0" w:color="auto"/>
        <w:left w:val="none" w:sz="0" w:space="0" w:color="auto"/>
        <w:bottom w:val="none" w:sz="0" w:space="0" w:color="auto"/>
        <w:right w:val="none" w:sz="0" w:space="0" w:color="auto"/>
      </w:divBdr>
    </w:div>
    <w:div w:id="211952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B76CD-8C48-44BD-8E0D-73DDEA4E0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1453</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Having determined that the last authorized rate of return, 11</vt:lpstr>
    </vt:vector>
  </TitlesOfParts>
  <Company>Levine, Blaszak, Block &amp; Boothby, LLP</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Having determined that the last authorized rate of return, 11</dc:title>
  <dc:creator>jim</dc:creator>
  <cp:lastModifiedBy>Boothby, Colleen</cp:lastModifiedBy>
  <cp:revision>3</cp:revision>
  <cp:lastPrinted>2012-02-25T04:53:00Z</cp:lastPrinted>
  <dcterms:created xsi:type="dcterms:W3CDTF">2018-08-23T21:18:00Z</dcterms:created>
  <dcterms:modified xsi:type="dcterms:W3CDTF">2018-08-23T21:27:00Z</dcterms:modified>
</cp:coreProperties>
</file>