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1D2EC" w14:textId="77777777" w:rsidR="00B10989" w:rsidRDefault="00B10989" w:rsidP="00B10989">
      <w:pPr>
        <w:autoSpaceDE w:val="0"/>
        <w:autoSpaceDN w:val="0"/>
        <w:adjustRightInd w:val="0"/>
        <w:snapToGrid w:val="0"/>
        <w:rPr>
          <w:rFonts w:ascii="Times New Roman" w:hAnsi="Times New Roman"/>
          <w:sz w:val="24"/>
          <w:szCs w:val="24"/>
        </w:rPr>
      </w:pPr>
      <w:r>
        <w:rPr>
          <w:rFonts w:ascii="Times New Roman" w:hAnsi="Times New Roman"/>
          <w:sz w:val="24"/>
          <w:szCs w:val="24"/>
        </w:rPr>
        <w:t>August 29, 2018</w:t>
      </w:r>
    </w:p>
    <w:p w14:paraId="1B558639" w14:textId="77777777" w:rsidR="00B10989" w:rsidRDefault="00B10989" w:rsidP="00B10989">
      <w:pPr>
        <w:autoSpaceDE w:val="0"/>
        <w:autoSpaceDN w:val="0"/>
        <w:adjustRightInd w:val="0"/>
        <w:snapToGrid w:val="0"/>
        <w:rPr>
          <w:rFonts w:ascii="Times New Roman" w:hAnsi="Times New Roman"/>
          <w:sz w:val="24"/>
          <w:szCs w:val="24"/>
        </w:rPr>
      </w:pPr>
    </w:p>
    <w:p w14:paraId="3B0AEE0E" w14:textId="77777777" w:rsidR="00B10989" w:rsidRDefault="00B10989" w:rsidP="00B10989">
      <w:pPr>
        <w:autoSpaceDE w:val="0"/>
        <w:autoSpaceDN w:val="0"/>
        <w:adjustRightInd w:val="0"/>
        <w:snapToGrid w:val="0"/>
        <w:rPr>
          <w:rFonts w:ascii="Times New Roman" w:hAnsi="Times New Roman"/>
          <w:b/>
          <w:sz w:val="24"/>
          <w:szCs w:val="24"/>
        </w:rPr>
      </w:pPr>
      <w:r>
        <w:rPr>
          <w:rFonts w:ascii="Times New Roman" w:hAnsi="Times New Roman"/>
          <w:b/>
          <w:sz w:val="24"/>
          <w:szCs w:val="24"/>
        </w:rPr>
        <w:t>VIA ELECTRONIC FILING</w:t>
      </w:r>
    </w:p>
    <w:p w14:paraId="2D5B7584" w14:textId="77777777" w:rsidR="00B10989" w:rsidRDefault="00B10989" w:rsidP="00B10989">
      <w:pPr>
        <w:autoSpaceDE w:val="0"/>
        <w:autoSpaceDN w:val="0"/>
        <w:adjustRightInd w:val="0"/>
        <w:snapToGrid w:val="0"/>
        <w:rPr>
          <w:rFonts w:ascii="Times New Roman" w:hAnsi="Times New Roman"/>
          <w:sz w:val="24"/>
          <w:szCs w:val="24"/>
        </w:rPr>
      </w:pPr>
    </w:p>
    <w:p w14:paraId="28B8080B" w14:textId="77777777" w:rsidR="00B10989" w:rsidRDefault="00B10989" w:rsidP="00B10989">
      <w:pPr>
        <w:autoSpaceDE w:val="0"/>
        <w:autoSpaceDN w:val="0"/>
        <w:adjustRightInd w:val="0"/>
        <w:snapToGrid w:val="0"/>
        <w:rPr>
          <w:rFonts w:ascii="Times New Roman" w:hAnsi="Times New Roman"/>
          <w:sz w:val="24"/>
          <w:szCs w:val="24"/>
        </w:rPr>
      </w:pPr>
      <w:r>
        <w:rPr>
          <w:rFonts w:ascii="Times New Roman" w:hAnsi="Times New Roman"/>
          <w:sz w:val="24"/>
          <w:szCs w:val="24"/>
        </w:rPr>
        <w:t>Marlene H. Dortch</w:t>
      </w:r>
    </w:p>
    <w:p w14:paraId="37196597" w14:textId="77777777" w:rsidR="00B10989" w:rsidRDefault="00B10989" w:rsidP="00B10989">
      <w:pPr>
        <w:autoSpaceDE w:val="0"/>
        <w:autoSpaceDN w:val="0"/>
        <w:adjustRightInd w:val="0"/>
        <w:snapToGrid w:val="0"/>
        <w:rPr>
          <w:rFonts w:ascii="Times New Roman" w:hAnsi="Times New Roman"/>
          <w:sz w:val="24"/>
          <w:szCs w:val="24"/>
        </w:rPr>
      </w:pPr>
      <w:r>
        <w:rPr>
          <w:rFonts w:ascii="Times New Roman" w:hAnsi="Times New Roman"/>
          <w:sz w:val="24"/>
          <w:szCs w:val="24"/>
        </w:rPr>
        <w:t xml:space="preserve">Secretary </w:t>
      </w:r>
    </w:p>
    <w:p w14:paraId="645B124B" w14:textId="77777777" w:rsidR="00B10989" w:rsidRDefault="00B10989" w:rsidP="00B10989">
      <w:pPr>
        <w:autoSpaceDE w:val="0"/>
        <w:autoSpaceDN w:val="0"/>
        <w:adjustRightInd w:val="0"/>
        <w:snapToGrid w:val="0"/>
        <w:rPr>
          <w:rFonts w:ascii="Times New Roman" w:hAnsi="Times New Roman"/>
          <w:sz w:val="24"/>
          <w:szCs w:val="24"/>
        </w:rPr>
      </w:pPr>
      <w:r>
        <w:rPr>
          <w:rFonts w:ascii="Times New Roman" w:hAnsi="Times New Roman"/>
          <w:sz w:val="24"/>
          <w:szCs w:val="24"/>
        </w:rPr>
        <w:t xml:space="preserve">Federal Communications Commission </w:t>
      </w:r>
    </w:p>
    <w:p w14:paraId="14D9A92E" w14:textId="77777777" w:rsidR="00B10989" w:rsidRDefault="00B10989" w:rsidP="00B10989">
      <w:pPr>
        <w:autoSpaceDE w:val="0"/>
        <w:autoSpaceDN w:val="0"/>
        <w:adjustRightInd w:val="0"/>
        <w:snapToGrid w:val="0"/>
        <w:rPr>
          <w:rFonts w:ascii="Times New Roman" w:hAnsi="Times New Roman"/>
          <w:sz w:val="24"/>
          <w:szCs w:val="24"/>
        </w:rPr>
      </w:pPr>
      <w:r>
        <w:rPr>
          <w:rFonts w:ascii="Times New Roman" w:hAnsi="Times New Roman"/>
          <w:sz w:val="24"/>
          <w:szCs w:val="24"/>
        </w:rPr>
        <w:t xml:space="preserve">445 12th Street, S.W. </w:t>
      </w:r>
    </w:p>
    <w:p w14:paraId="7D3C0CB2" w14:textId="77777777" w:rsidR="00B10989" w:rsidRDefault="00B10989" w:rsidP="00B10989">
      <w:pPr>
        <w:autoSpaceDE w:val="0"/>
        <w:autoSpaceDN w:val="0"/>
        <w:adjustRightInd w:val="0"/>
        <w:snapToGrid w:val="0"/>
        <w:rPr>
          <w:rFonts w:ascii="Times New Roman" w:eastAsia="Times New Roman" w:hAnsi="Times New Roman"/>
          <w:b/>
          <w:color w:val="000000"/>
          <w:sz w:val="24"/>
          <w:szCs w:val="24"/>
        </w:rPr>
      </w:pPr>
      <w:r>
        <w:rPr>
          <w:rFonts w:ascii="Times New Roman" w:hAnsi="Times New Roman"/>
          <w:sz w:val="24"/>
          <w:szCs w:val="24"/>
        </w:rPr>
        <w:t>Washington, DC 20554</w:t>
      </w:r>
    </w:p>
    <w:p w14:paraId="03BFF158" w14:textId="77777777" w:rsidR="00B10989" w:rsidRDefault="00B10989" w:rsidP="00B10989">
      <w:pPr>
        <w:autoSpaceDE w:val="0"/>
        <w:autoSpaceDN w:val="0"/>
        <w:adjustRightInd w:val="0"/>
        <w:snapToGrid w:val="0"/>
        <w:rPr>
          <w:rFonts w:ascii="Times New Roman" w:eastAsia="Times New Roman" w:hAnsi="Times New Roman"/>
          <w:b/>
          <w:color w:val="000000"/>
          <w:sz w:val="24"/>
          <w:szCs w:val="24"/>
        </w:rPr>
      </w:pPr>
    </w:p>
    <w:p w14:paraId="759A6700" w14:textId="77777777" w:rsidR="00B10989" w:rsidRDefault="00B10989" w:rsidP="00B10989">
      <w:pPr>
        <w:autoSpaceDE w:val="0"/>
        <w:autoSpaceDN w:val="0"/>
        <w:adjustRightInd w:val="0"/>
        <w:snapToGrid w:val="0"/>
        <w:ind w:left="720" w:hanging="720"/>
        <w:rPr>
          <w:rFonts w:ascii="Times New Roman" w:eastAsia="Times New Roman" w:hAnsi="Times New Roman"/>
          <w:b/>
          <w:i/>
          <w:color w:val="000000"/>
          <w:sz w:val="24"/>
          <w:szCs w:val="24"/>
        </w:rPr>
      </w:pPr>
      <w:r>
        <w:rPr>
          <w:rFonts w:ascii="Times New Roman" w:eastAsia="Times New Roman" w:hAnsi="Times New Roman"/>
          <w:b/>
          <w:color w:val="000000"/>
          <w:sz w:val="24"/>
          <w:szCs w:val="24"/>
        </w:rPr>
        <w:t>Re:</w:t>
      </w:r>
      <w:r>
        <w:rPr>
          <w:rFonts w:ascii="Times New Roman" w:eastAsia="Times New Roman" w:hAnsi="Times New Roman"/>
          <w:b/>
          <w:color w:val="000000"/>
          <w:sz w:val="24"/>
          <w:szCs w:val="24"/>
        </w:rPr>
        <w:tab/>
      </w:r>
      <w:r>
        <w:rPr>
          <w:rFonts w:ascii="Times New Roman" w:eastAsia="Times New Roman" w:hAnsi="Times New Roman"/>
          <w:b/>
          <w:i/>
          <w:iCs/>
          <w:color w:val="000000"/>
          <w:sz w:val="24"/>
          <w:szCs w:val="24"/>
        </w:rPr>
        <w:t>Applications of T-Mobile US, Inc. and Sprint Corporation for Consent to Transfer Control of Licenses and Authorizations</w:t>
      </w:r>
      <w:r>
        <w:rPr>
          <w:rFonts w:ascii="Times New Roman" w:eastAsia="Times New Roman" w:hAnsi="Times New Roman"/>
          <w:b/>
          <w:color w:val="000000"/>
          <w:sz w:val="24"/>
          <w:szCs w:val="24"/>
        </w:rPr>
        <w:t xml:space="preserve">, WT Docket No. 18-197 </w:t>
      </w:r>
    </w:p>
    <w:p w14:paraId="3F6E6762" w14:textId="77777777" w:rsidR="00B10989" w:rsidRDefault="00B10989" w:rsidP="00B10989">
      <w:pPr>
        <w:autoSpaceDE w:val="0"/>
        <w:autoSpaceDN w:val="0"/>
        <w:adjustRightInd w:val="0"/>
        <w:snapToGrid w:val="0"/>
        <w:ind w:left="720"/>
        <w:rPr>
          <w:rFonts w:ascii="Times New Roman" w:eastAsia="Times New Roman" w:hAnsi="Times New Roman"/>
          <w:b/>
          <w:color w:val="000000"/>
          <w:sz w:val="24"/>
          <w:szCs w:val="24"/>
        </w:rPr>
      </w:pPr>
    </w:p>
    <w:p w14:paraId="0980E229" w14:textId="77777777" w:rsidR="00B10989" w:rsidRDefault="00B10989" w:rsidP="00B10989">
      <w:pPr>
        <w:autoSpaceDE w:val="0"/>
        <w:autoSpaceDN w:val="0"/>
        <w:adjustRightInd w:val="0"/>
        <w:snapToGrid w:val="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Dear Ms. Dortch, </w:t>
      </w:r>
    </w:p>
    <w:p w14:paraId="30710448" w14:textId="77777777" w:rsidR="00B10989" w:rsidRDefault="00B10989" w:rsidP="00B10989">
      <w:pPr>
        <w:autoSpaceDE w:val="0"/>
        <w:autoSpaceDN w:val="0"/>
        <w:adjustRightInd w:val="0"/>
        <w:snapToGrid w:val="0"/>
        <w:ind w:firstLine="720"/>
        <w:rPr>
          <w:rFonts w:ascii="Times New Roman" w:hAnsi="Times New Roman"/>
          <w:sz w:val="24"/>
          <w:szCs w:val="24"/>
        </w:rPr>
      </w:pPr>
      <w:r>
        <w:rPr>
          <w:rFonts w:ascii="Times New Roman" w:hAnsi="Times New Roman"/>
          <w:sz w:val="24"/>
          <w:szCs w:val="24"/>
        </w:rPr>
        <w:t>This letter is to express Crown Castle International Corp.’s (“Crown Castle”)</w:t>
      </w:r>
      <w:r>
        <w:rPr>
          <w:rStyle w:val="FootnoteReference"/>
          <w:rFonts w:asciiTheme="minorBidi" w:hAnsiTheme="minorBidi"/>
          <w:sz w:val="24"/>
          <w:szCs w:val="24"/>
        </w:rPr>
        <w:footnoteReference w:id="1"/>
      </w:r>
      <w:r>
        <w:rPr>
          <w:rFonts w:ascii="Times New Roman" w:hAnsi="Times New Roman"/>
          <w:sz w:val="24"/>
          <w:szCs w:val="24"/>
        </w:rPr>
        <w:t xml:space="preserve"> support for Sprint and T-</w:t>
      </w:r>
      <w:proofErr w:type="gramStart"/>
      <w:r>
        <w:rPr>
          <w:rFonts w:ascii="Times New Roman" w:hAnsi="Times New Roman"/>
          <w:sz w:val="24"/>
          <w:szCs w:val="24"/>
        </w:rPr>
        <w:t>Mobile’s</w:t>
      </w:r>
      <w:proofErr w:type="gramEnd"/>
      <w:r>
        <w:rPr>
          <w:rFonts w:ascii="Times New Roman" w:hAnsi="Times New Roman"/>
          <w:sz w:val="24"/>
          <w:szCs w:val="24"/>
        </w:rPr>
        <w:t xml:space="preserve"> </w:t>
      </w:r>
      <w:r>
        <w:rPr>
          <w:rFonts w:asciiTheme="minorBidi" w:hAnsiTheme="minorBidi"/>
          <w:sz w:val="24"/>
          <w:szCs w:val="24"/>
        </w:rPr>
        <w:t>planned merger.</w:t>
      </w:r>
      <w:r>
        <w:rPr>
          <w:rStyle w:val="FootnoteReference"/>
          <w:rFonts w:asciiTheme="minorBidi" w:hAnsiTheme="minorBidi"/>
          <w:sz w:val="24"/>
          <w:szCs w:val="24"/>
        </w:rPr>
        <w:footnoteReference w:id="2"/>
      </w:r>
      <w:r>
        <w:rPr>
          <w:rFonts w:asciiTheme="minorBidi" w:hAnsiTheme="minorBidi"/>
          <w:sz w:val="24"/>
          <w:szCs w:val="24"/>
        </w:rPr>
        <w:t xml:space="preserve">  The combination</w:t>
      </w:r>
      <w:r>
        <w:rPr>
          <w:rFonts w:ascii="Times New Roman" w:hAnsi="Times New Roman"/>
          <w:sz w:val="24"/>
          <w:szCs w:val="24"/>
        </w:rPr>
        <w:t xml:space="preserve"> of these two smaller nationwide wireless providers will advance the national priority of fast-tracking 5G deployment and create a company with the spectrum and other necessary resources to help the U.S. win the global race for 5G leadership.  We anticipate that, in addition to consumers and enterprise consumers, Crown Castle and other companies throughout the mobile wireless supply chain can benefit from New T-Mobile’s investment in its next-generation wireless network.   </w:t>
      </w:r>
    </w:p>
    <w:p w14:paraId="7ABDF945" w14:textId="77777777" w:rsidR="00B10989" w:rsidRDefault="00B10989" w:rsidP="00B10989">
      <w:pPr>
        <w:spacing w:before="100" w:beforeAutospacing="1" w:after="100" w:afterAutospacing="1"/>
        <w:ind w:firstLine="720"/>
        <w:rPr>
          <w:rFonts w:ascii="Times New Roman" w:eastAsia="Times New Roman" w:hAnsi="Times New Roman"/>
          <w:sz w:val="24"/>
          <w:szCs w:val="24"/>
        </w:rPr>
      </w:pPr>
      <w:r>
        <w:rPr>
          <w:rFonts w:ascii="TimesNewRomanPSMT" w:eastAsia="Times New Roman" w:hAnsi="TimesNewRomanPSMT" w:cs="TimesNewRomanPSMT"/>
          <w:sz w:val="24"/>
          <w:szCs w:val="24"/>
        </w:rPr>
        <w:t>Crown Castle is at the forefront of our country’s broadband revolution, deploying fiber optic and wireless infrastructure and developing the small cell networks</w:t>
      </w:r>
      <w:r>
        <w:rPr>
          <w:rFonts w:ascii="TimesNewRomanPSMT" w:eastAsia="Times New Roman" w:hAnsi="TimesNewRomanPSMT" w:cs="TimesNewRomanPSMT"/>
          <w:position w:val="10"/>
          <w:sz w:val="16"/>
          <w:szCs w:val="16"/>
        </w:rPr>
        <w:t xml:space="preserve"> </w:t>
      </w:r>
      <w:r>
        <w:rPr>
          <w:rFonts w:ascii="TimesNewRomanPSMT" w:eastAsia="Times New Roman" w:hAnsi="TimesNewRomanPSMT" w:cs="TimesNewRomanPSMT"/>
          <w:sz w:val="24"/>
          <w:szCs w:val="24"/>
        </w:rPr>
        <w:t>that will serve as the backbone for the broadband networks of the future. With more than 40,000 towers, approximately 60,000 small cells constructed or under contract, and over 60,000 miles of fiber, Crown Castle is the country’s largest owner and operator of shared wireless infrastructure.  Crown Castle provides, among a host of other service offerings, wholesale wireline transport services to wireless carrier customers.</w:t>
      </w:r>
      <w:r>
        <w:rPr>
          <w:rFonts w:ascii="TimesNewRomanPSMT" w:eastAsia="Times New Roman" w:hAnsi="TimesNewRomanPSMT" w:cs="TimesNewRomanPSMT"/>
          <w:position w:val="10"/>
          <w:sz w:val="16"/>
          <w:szCs w:val="16"/>
        </w:rPr>
        <w:t xml:space="preserve">  </w:t>
      </w:r>
      <w:r>
        <w:rPr>
          <w:rFonts w:ascii="TimesNewRomanPSMT" w:eastAsia="Times New Roman" w:hAnsi="TimesNewRomanPSMT" w:cs="TimesNewRomanPSMT"/>
          <w:sz w:val="24"/>
          <w:szCs w:val="24"/>
        </w:rPr>
        <w:t xml:space="preserve">Our fiber networks provide the necessary carriage of signals to and from radios used by the wireless carrier customers in a manner often referred to as “wireless backhaul.” This service offering is a key component to every small cell deployment, and thus Crown Castle and other network providers like it are a critical piece of this country’s broadband ecosystem, supporting the deployment of next-generation wireless services. </w:t>
      </w:r>
    </w:p>
    <w:p w14:paraId="6510D855" w14:textId="77777777" w:rsidR="00B10989" w:rsidRDefault="00B10989" w:rsidP="00B10989">
      <w:pPr>
        <w:autoSpaceDE w:val="0"/>
        <w:autoSpaceDN w:val="0"/>
        <w:adjustRightInd w:val="0"/>
        <w:snapToGrid w:val="0"/>
        <w:ind w:firstLine="720"/>
        <w:rPr>
          <w:rFonts w:ascii="Times New Roman" w:hAnsi="Times New Roman"/>
          <w:sz w:val="24"/>
          <w:szCs w:val="24"/>
        </w:rPr>
      </w:pPr>
      <w:r>
        <w:rPr>
          <w:rFonts w:ascii="Times New Roman" w:hAnsi="Times New Roman"/>
          <w:sz w:val="24"/>
          <w:szCs w:val="24"/>
        </w:rPr>
        <w:t>As described in the companies’ Public Interest Statement, New T-Mobile intends to invest nearly $40 billion to deploy next-generation wireless broadband technology.</w:t>
      </w:r>
      <w:r>
        <w:rPr>
          <w:rStyle w:val="FootnoteReference"/>
          <w:sz w:val="24"/>
          <w:szCs w:val="24"/>
        </w:rPr>
        <w:footnoteReference w:id="3"/>
      </w:r>
      <w:r>
        <w:rPr>
          <w:rFonts w:ascii="Times New Roman" w:hAnsi="Times New Roman"/>
          <w:sz w:val="24"/>
          <w:szCs w:val="24"/>
        </w:rPr>
        <w:t xml:space="preserve">  T-Mobile and Sprint have said they intend to densify the combined network using a cell-splitting plan anchored on the T-Mobile cell site network.</w:t>
      </w:r>
      <w:r>
        <w:rPr>
          <w:rStyle w:val="FootnoteReference"/>
          <w:sz w:val="24"/>
          <w:szCs w:val="24"/>
        </w:rPr>
        <w:footnoteReference w:id="4"/>
      </w:r>
      <w:r>
        <w:rPr>
          <w:rFonts w:ascii="Times New Roman" w:hAnsi="Times New Roman"/>
          <w:sz w:val="24"/>
          <w:szCs w:val="24"/>
        </w:rPr>
        <w:t xml:space="preserve">  The companies have also said they will deploy both parties’ spectrum across the combined network, “ultimately leading to far more 5G sites being deployed than either standalone company had planned or could practicably deploy.”</w:t>
      </w:r>
      <w:r>
        <w:rPr>
          <w:rStyle w:val="FootnoteReference"/>
          <w:sz w:val="24"/>
          <w:szCs w:val="24"/>
        </w:rPr>
        <w:footnoteReference w:id="5"/>
      </w:r>
      <w:r>
        <w:rPr>
          <w:rFonts w:ascii="Times New Roman" w:hAnsi="Times New Roman"/>
          <w:sz w:val="24"/>
          <w:szCs w:val="24"/>
        </w:rPr>
        <w:t xml:space="preserve">  </w:t>
      </w:r>
    </w:p>
    <w:p w14:paraId="52480FEA" w14:textId="77777777" w:rsidR="00B10989" w:rsidRDefault="00B10989" w:rsidP="00B10989">
      <w:pPr>
        <w:autoSpaceDE w:val="0"/>
        <w:autoSpaceDN w:val="0"/>
        <w:adjustRightInd w:val="0"/>
        <w:snapToGrid w:val="0"/>
        <w:ind w:firstLine="720"/>
        <w:rPr>
          <w:rFonts w:ascii="Times New Roman" w:hAnsi="Times New Roman"/>
          <w:sz w:val="24"/>
          <w:szCs w:val="24"/>
        </w:rPr>
      </w:pPr>
      <w:r>
        <w:rPr>
          <w:rFonts w:ascii="Times New Roman" w:hAnsi="Times New Roman"/>
          <w:sz w:val="24"/>
          <w:szCs w:val="24"/>
        </w:rPr>
        <w:t>As further described in the Public Interest Statement, t</w:t>
      </w:r>
      <w:r w:rsidRPr="004135DD">
        <w:rPr>
          <w:rFonts w:ascii="Times New Roman" w:hAnsi="Times New Roman"/>
          <w:sz w:val="24"/>
          <w:szCs w:val="24"/>
        </w:rPr>
        <w:t xml:space="preserve">he merger of T-Mobile and Sprint promises to stimulate business growth and create thousands of </w:t>
      </w:r>
      <w:r w:rsidRPr="000C05AE">
        <w:rPr>
          <w:rFonts w:ascii="Times New Roman" w:hAnsi="Times New Roman"/>
          <w:sz w:val="24"/>
          <w:szCs w:val="24"/>
        </w:rPr>
        <w:t>American</w:t>
      </w:r>
      <w:r w:rsidRPr="004135DD">
        <w:rPr>
          <w:rFonts w:ascii="Times New Roman" w:hAnsi="Times New Roman"/>
          <w:sz w:val="24"/>
          <w:szCs w:val="24"/>
        </w:rPr>
        <w:t xml:space="preserve"> jobs.</w:t>
      </w:r>
      <w:r w:rsidRPr="004135DD">
        <w:rPr>
          <w:rStyle w:val="FootnoteReference"/>
          <w:sz w:val="24"/>
          <w:szCs w:val="24"/>
        </w:rPr>
        <w:footnoteReference w:id="6"/>
      </w:r>
      <w:r w:rsidRPr="004135DD">
        <w:rPr>
          <w:rFonts w:ascii="Times New Roman" w:hAnsi="Times New Roman"/>
          <w:sz w:val="24"/>
          <w:szCs w:val="24"/>
        </w:rPr>
        <w:t xml:space="preserve">  </w:t>
      </w:r>
      <w:r>
        <w:rPr>
          <w:rFonts w:ascii="Times New Roman" w:hAnsi="Times New Roman"/>
          <w:sz w:val="24"/>
          <w:szCs w:val="24"/>
        </w:rPr>
        <w:t xml:space="preserve">The new network investment has the potential to create durable economic employment gains in the infrastructure segment that Crown Castle serves. The post-combination business plan of New T-Mobile will likely also result in substantially more investment than the companies would have made on a standalone basis.  Capturing our fair share of that business promises new revenue opportunities for our business that, if fully realized, would likely require us to expand employment levels to satisfy demand.  </w:t>
      </w:r>
    </w:p>
    <w:p w14:paraId="31977873" w14:textId="77777777" w:rsidR="00B10989" w:rsidRDefault="00B10989" w:rsidP="00B10989">
      <w:pPr>
        <w:autoSpaceDE w:val="0"/>
        <w:autoSpaceDN w:val="0"/>
        <w:adjustRightInd w:val="0"/>
        <w:snapToGrid w:val="0"/>
        <w:ind w:firstLine="720"/>
        <w:rPr>
          <w:rFonts w:ascii="Times New Roman" w:hAnsi="Times New Roman"/>
          <w:sz w:val="24"/>
          <w:szCs w:val="24"/>
        </w:rPr>
      </w:pPr>
      <w:r>
        <w:rPr>
          <w:rFonts w:ascii="Times New Roman" w:hAnsi="Times New Roman"/>
          <w:sz w:val="24"/>
          <w:szCs w:val="24"/>
        </w:rPr>
        <w:t xml:space="preserve">The potential business and employment gains for infrastructure providers do not end with New T-Mobile.  Competing service providers may also desire to increase their network investments to offer enhanced service </w:t>
      </w:r>
      <w:proofErr w:type="gramStart"/>
      <w:r>
        <w:rPr>
          <w:rFonts w:ascii="Times New Roman" w:hAnsi="Times New Roman"/>
          <w:sz w:val="24"/>
          <w:szCs w:val="24"/>
        </w:rPr>
        <w:t>as a result</w:t>
      </w:r>
      <w:proofErr w:type="gramEnd"/>
      <w:r>
        <w:rPr>
          <w:rFonts w:ascii="Times New Roman" w:hAnsi="Times New Roman"/>
          <w:sz w:val="24"/>
          <w:szCs w:val="24"/>
        </w:rPr>
        <w:t xml:space="preserve"> of the merger.</w:t>
      </w:r>
      <w:r>
        <w:rPr>
          <w:rStyle w:val="FootnoteReference"/>
          <w:sz w:val="24"/>
          <w:szCs w:val="24"/>
        </w:rPr>
        <w:footnoteReference w:id="7"/>
      </w:r>
      <w:r>
        <w:rPr>
          <w:rFonts w:ascii="Times New Roman" w:hAnsi="Times New Roman"/>
          <w:sz w:val="24"/>
          <w:szCs w:val="24"/>
        </w:rPr>
        <w:t xml:space="preserve">  Increased network investment by New T-Mobile could stimulate rival carriers to invest more resources in base stations and point-to-point connections, which, in turn, could potentially create a virtuous circle of investment and innovation that stands to benefit not only Crown Castle and its employees, but also the economy as a whole.  </w:t>
      </w:r>
    </w:p>
    <w:p w14:paraId="1AF49199" w14:textId="77777777" w:rsidR="00B10989" w:rsidRDefault="00B10989" w:rsidP="00B10989">
      <w:pPr>
        <w:autoSpaceDE w:val="0"/>
        <w:autoSpaceDN w:val="0"/>
        <w:adjustRightInd w:val="0"/>
        <w:snapToGrid w:val="0"/>
        <w:ind w:firstLine="720"/>
        <w:rPr>
          <w:rFonts w:ascii="Times New Roman" w:hAnsi="Times New Roman"/>
          <w:sz w:val="24"/>
          <w:szCs w:val="24"/>
        </w:rPr>
      </w:pPr>
      <w:r>
        <w:rPr>
          <w:rFonts w:ascii="Times New Roman" w:hAnsi="Times New Roman"/>
          <w:sz w:val="24"/>
          <w:szCs w:val="24"/>
        </w:rPr>
        <w:t xml:space="preserve">The lynchpin of this virtuous circle is the merger of T-Mobile and Sprint.  The companies have told </w:t>
      </w:r>
      <w:proofErr w:type="gramStart"/>
      <w:r>
        <w:rPr>
          <w:rFonts w:ascii="Times New Roman" w:hAnsi="Times New Roman"/>
          <w:sz w:val="24"/>
          <w:szCs w:val="24"/>
        </w:rPr>
        <w:t>us — and their investors —</w:t>
      </w:r>
      <w:proofErr w:type="gramEnd"/>
      <w:r>
        <w:rPr>
          <w:rFonts w:ascii="Times New Roman" w:hAnsi="Times New Roman"/>
          <w:sz w:val="24"/>
          <w:szCs w:val="24"/>
        </w:rPr>
        <w:t xml:space="preserve"> that they cannot deploy robust 5G networks on their own.  “On a standalone basis,” the parties have said, “T-Mobile would be capacity constrained and Sprint lacks coverage.”</w:t>
      </w:r>
      <w:r>
        <w:rPr>
          <w:rStyle w:val="FootnoteReference"/>
          <w:sz w:val="24"/>
          <w:szCs w:val="24"/>
        </w:rPr>
        <w:footnoteReference w:id="8"/>
      </w:r>
      <w:r>
        <w:rPr>
          <w:rFonts w:ascii="Times New Roman" w:hAnsi="Times New Roman"/>
          <w:sz w:val="24"/>
          <w:szCs w:val="24"/>
        </w:rPr>
        <w:t xml:space="preserve">  Sprint has added that it faces financial challenges that pose serious impediments to sustained network investment.</w:t>
      </w:r>
      <w:r>
        <w:rPr>
          <w:rStyle w:val="FootnoteReference"/>
          <w:sz w:val="24"/>
          <w:szCs w:val="24"/>
        </w:rPr>
        <w:footnoteReference w:id="9"/>
      </w:r>
      <w:r>
        <w:rPr>
          <w:rFonts w:ascii="Times New Roman" w:hAnsi="Times New Roman"/>
          <w:sz w:val="24"/>
          <w:szCs w:val="24"/>
        </w:rPr>
        <w:t xml:space="preserve">  </w:t>
      </w:r>
    </w:p>
    <w:p w14:paraId="33824870" w14:textId="77777777" w:rsidR="00B10989" w:rsidRDefault="00B10989" w:rsidP="00B10989">
      <w:pPr>
        <w:autoSpaceDE w:val="0"/>
        <w:autoSpaceDN w:val="0"/>
        <w:adjustRightInd w:val="0"/>
        <w:snapToGrid w:val="0"/>
        <w:ind w:firstLine="720"/>
        <w:rPr>
          <w:rFonts w:ascii="Times New Roman" w:hAnsi="Times New Roman"/>
          <w:sz w:val="24"/>
          <w:szCs w:val="24"/>
        </w:rPr>
      </w:pPr>
      <w:r>
        <w:rPr>
          <w:rFonts w:ascii="Times New Roman" w:hAnsi="Times New Roman"/>
          <w:sz w:val="24"/>
          <w:szCs w:val="24"/>
        </w:rPr>
        <w:t>To realize the economic opportunity that New T-Mobile promises to create and expedite the commercial availability of 5G network connectivity in the U.S., Crown Castle encourages the FCC to grant Sprint and T-Mobile’s applications and allow the companies to merge.</w:t>
      </w:r>
    </w:p>
    <w:p w14:paraId="2821D0D3" w14:textId="77777777" w:rsidR="00B10989" w:rsidRDefault="00B10989" w:rsidP="00B10989">
      <w:pPr>
        <w:autoSpaceDE w:val="0"/>
        <w:autoSpaceDN w:val="0"/>
        <w:adjustRightInd w:val="0"/>
        <w:snapToGrid w:val="0"/>
        <w:ind w:firstLine="7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Please feel free to contact me with any questions. </w:t>
      </w:r>
      <w:r>
        <w:rPr>
          <w:rFonts w:ascii="Times New Roman" w:hAnsi="Times New Roman"/>
          <w:sz w:val="24"/>
          <w:szCs w:val="24"/>
        </w:rPr>
        <w:t xml:space="preserve"> I am filing a copy of this letter in the above-referenced docket, consistent with section 1.1206 of the Commission’s rules</w:t>
      </w:r>
      <w:r>
        <w:rPr>
          <w:rFonts w:ascii="Times New Roman" w:eastAsia="Times New Roman" w:hAnsi="Times New Roman"/>
          <w:color w:val="000000"/>
          <w:sz w:val="24"/>
          <w:szCs w:val="24"/>
        </w:rPr>
        <w:t>.</w:t>
      </w:r>
    </w:p>
    <w:p w14:paraId="3454E3DA" w14:textId="77777777" w:rsidR="00B10989" w:rsidRDefault="00B10989" w:rsidP="00B10989">
      <w:pPr>
        <w:autoSpaceDE w:val="0"/>
        <w:autoSpaceDN w:val="0"/>
        <w:adjustRightInd w:val="0"/>
        <w:snapToGrid w:val="0"/>
        <w:ind w:left="43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Respectfully submitted,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10989" w14:paraId="6E977257" w14:textId="77777777" w:rsidTr="00242348">
        <w:tc>
          <w:tcPr>
            <w:tcW w:w="4788" w:type="dxa"/>
          </w:tcPr>
          <w:p w14:paraId="37B5FAB0" w14:textId="77777777" w:rsidR="00B10989" w:rsidRDefault="00B10989" w:rsidP="00242348">
            <w:pPr>
              <w:pStyle w:val="NoSpacing"/>
              <w:rPr>
                <w:rFonts w:ascii="Times New Roman" w:hAnsi="Times New Roman"/>
                <w:sz w:val="24"/>
                <w:szCs w:val="24"/>
              </w:rPr>
            </w:pPr>
            <w:r>
              <w:rPr>
                <w:rFonts w:ascii="Times New Roman" w:hAnsi="Times New Roman"/>
                <w:sz w:val="24"/>
                <w:szCs w:val="24"/>
              </w:rPr>
              <w:t xml:space="preserve"> </w:t>
            </w:r>
          </w:p>
        </w:tc>
        <w:tc>
          <w:tcPr>
            <w:tcW w:w="4788" w:type="dxa"/>
          </w:tcPr>
          <w:p w14:paraId="5B5EF945" w14:textId="77777777" w:rsidR="00B10989" w:rsidRDefault="00B10989" w:rsidP="00242348">
            <w:pPr>
              <w:pStyle w:val="NoSpacing"/>
              <w:rPr>
                <w:rFonts w:ascii="Times New Roman" w:hAnsi="Times New Roman"/>
                <w:i/>
                <w:sz w:val="24"/>
                <w:szCs w:val="24"/>
                <w:u w:val="single"/>
              </w:rPr>
            </w:pPr>
            <w:r>
              <w:rPr>
                <w:rFonts w:ascii="Times New Roman" w:hAnsi="Times New Roman"/>
                <w:i/>
                <w:sz w:val="24"/>
                <w:szCs w:val="24"/>
                <w:u w:val="single"/>
              </w:rPr>
              <w:t>/s/ Jay A. Brown</w:t>
            </w:r>
          </w:p>
          <w:p w14:paraId="658DA2E8" w14:textId="77777777" w:rsidR="00B10989" w:rsidRDefault="00B10989" w:rsidP="00242348">
            <w:pPr>
              <w:pStyle w:val="NoSpacing"/>
              <w:rPr>
                <w:rFonts w:ascii="Times New Roman" w:hAnsi="Times New Roman"/>
                <w:sz w:val="24"/>
                <w:szCs w:val="24"/>
              </w:rPr>
            </w:pPr>
            <w:r>
              <w:rPr>
                <w:rFonts w:ascii="Times New Roman" w:hAnsi="Times New Roman"/>
                <w:sz w:val="24"/>
                <w:szCs w:val="24"/>
              </w:rPr>
              <w:t>Jay A. Brown</w:t>
            </w:r>
          </w:p>
          <w:p w14:paraId="05AF8C21" w14:textId="77777777" w:rsidR="00B10989" w:rsidRDefault="00B10989" w:rsidP="00242348">
            <w:pPr>
              <w:pStyle w:val="NoSpacing"/>
              <w:rPr>
                <w:rFonts w:ascii="Times New Roman" w:hAnsi="Times New Roman"/>
                <w:sz w:val="24"/>
                <w:szCs w:val="24"/>
              </w:rPr>
            </w:pPr>
            <w:r>
              <w:rPr>
                <w:rFonts w:ascii="Times New Roman" w:hAnsi="Times New Roman"/>
                <w:sz w:val="24"/>
                <w:szCs w:val="24"/>
              </w:rPr>
              <w:t>President and Chief Executive Officer</w:t>
            </w:r>
          </w:p>
          <w:p w14:paraId="3A9F8C67" w14:textId="77777777" w:rsidR="00B10989" w:rsidRDefault="00B10989" w:rsidP="00242348">
            <w:pPr>
              <w:pStyle w:val="NoSpacing"/>
              <w:rPr>
                <w:rFonts w:ascii="Times New Roman" w:hAnsi="Times New Roman"/>
                <w:sz w:val="24"/>
                <w:szCs w:val="24"/>
              </w:rPr>
            </w:pPr>
            <w:r>
              <w:rPr>
                <w:rFonts w:ascii="Times New Roman" w:hAnsi="Times New Roman"/>
                <w:sz w:val="24"/>
                <w:szCs w:val="24"/>
              </w:rPr>
              <w:t xml:space="preserve">Crown Castle International Corp. </w:t>
            </w:r>
          </w:p>
          <w:p w14:paraId="15DA3106" w14:textId="77777777" w:rsidR="00B10989" w:rsidRDefault="00B10989" w:rsidP="00242348">
            <w:pPr>
              <w:pStyle w:val="NoSpacing"/>
              <w:rPr>
                <w:rFonts w:ascii="Times New Roman" w:hAnsi="Times New Roman"/>
                <w:sz w:val="24"/>
                <w:szCs w:val="24"/>
              </w:rPr>
            </w:pPr>
          </w:p>
        </w:tc>
      </w:tr>
    </w:tbl>
    <w:p w14:paraId="430A7887" w14:textId="77777777" w:rsidR="00B10989" w:rsidRDefault="00B10989" w:rsidP="00B10989">
      <w:pPr>
        <w:ind w:left="720" w:hanging="720"/>
        <w:rPr>
          <w:rFonts w:ascii="Times New Roman" w:hAnsi="Times New Roman"/>
          <w:sz w:val="24"/>
          <w:szCs w:val="24"/>
        </w:rPr>
      </w:pPr>
      <w:r>
        <w:rPr>
          <w:rFonts w:ascii="Times New Roman" w:hAnsi="Times New Roman"/>
          <w:sz w:val="24"/>
          <w:szCs w:val="24"/>
        </w:rPr>
        <w:t>cc:</w:t>
      </w:r>
      <w:r>
        <w:rPr>
          <w:rFonts w:ascii="Times New Roman" w:hAnsi="Times New Roman"/>
          <w:sz w:val="24"/>
          <w:szCs w:val="24"/>
        </w:rPr>
        <w:tab/>
        <w:t>(via email)</w:t>
      </w:r>
    </w:p>
    <w:p w14:paraId="03BEB5E1" w14:textId="77777777" w:rsidR="00B10989" w:rsidRDefault="00B10989" w:rsidP="00B10989">
      <w:pPr>
        <w:ind w:left="720"/>
        <w:rPr>
          <w:rFonts w:ascii="Times New Roman" w:hAnsi="Times New Roman"/>
          <w:sz w:val="24"/>
          <w:szCs w:val="24"/>
        </w:rPr>
      </w:pPr>
    </w:p>
    <w:p w14:paraId="46541C41" w14:textId="77777777" w:rsidR="00B10989" w:rsidRDefault="00B10989" w:rsidP="00B10989">
      <w:pPr>
        <w:autoSpaceDE w:val="0"/>
        <w:autoSpaceDN w:val="0"/>
        <w:adjustRightInd w:val="0"/>
        <w:snapToGrid w:val="0"/>
        <w:ind w:left="720"/>
        <w:rPr>
          <w:rFonts w:ascii="Times New Roman" w:hAnsi="Times New Roman"/>
          <w:sz w:val="24"/>
          <w:szCs w:val="24"/>
        </w:rPr>
      </w:pPr>
      <w:r>
        <w:rPr>
          <w:rFonts w:ascii="Times New Roman" w:hAnsi="Times New Roman"/>
          <w:sz w:val="24"/>
          <w:szCs w:val="24"/>
        </w:rPr>
        <w:t xml:space="preserve">Chairman </w:t>
      </w:r>
      <w:proofErr w:type="spellStart"/>
      <w:r>
        <w:rPr>
          <w:rFonts w:ascii="Times New Roman" w:hAnsi="Times New Roman"/>
          <w:sz w:val="24"/>
          <w:szCs w:val="24"/>
        </w:rPr>
        <w:t>Ajit</w:t>
      </w:r>
      <w:proofErr w:type="spellEnd"/>
      <w:r>
        <w:rPr>
          <w:rFonts w:ascii="Times New Roman" w:hAnsi="Times New Roman"/>
          <w:sz w:val="24"/>
          <w:szCs w:val="24"/>
        </w:rPr>
        <w:t xml:space="preserve"> </w:t>
      </w:r>
      <w:proofErr w:type="spellStart"/>
      <w:r>
        <w:rPr>
          <w:rFonts w:ascii="Times New Roman" w:hAnsi="Times New Roman"/>
          <w:sz w:val="24"/>
          <w:szCs w:val="24"/>
        </w:rPr>
        <w:t>Pai</w:t>
      </w:r>
      <w:proofErr w:type="spellEnd"/>
      <w:r>
        <w:rPr>
          <w:rFonts w:ascii="Times New Roman" w:hAnsi="Times New Roman"/>
          <w:sz w:val="24"/>
          <w:szCs w:val="24"/>
        </w:rPr>
        <w:t xml:space="preserve"> </w:t>
      </w:r>
    </w:p>
    <w:p w14:paraId="23CCC733" w14:textId="77777777" w:rsidR="00B10989" w:rsidRDefault="00B10989" w:rsidP="00B10989">
      <w:pPr>
        <w:autoSpaceDE w:val="0"/>
        <w:autoSpaceDN w:val="0"/>
        <w:adjustRightInd w:val="0"/>
        <w:snapToGrid w:val="0"/>
        <w:ind w:left="720"/>
        <w:rPr>
          <w:rFonts w:ascii="Times New Roman" w:hAnsi="Times New Roman"/>
          <w:sz w:val="24"/>
          <w:szCs w:val="24"/>
        </w:rPr>
      </w:pPr>
      <w:r>
        <w:rPr>
          <w:rFonts w:ascii="Times New Roman" w:hAnsi="Times New Roman"/>
          <w:sz w:val="24"/>
          <w:szCs w:val="24"/>
        </w:rPr>
        <w:t xml:space="preserve">Commissioner Michael </w:t>
      </w:r>
      <w:proofErr w:type="spellStart"/>
      <w:r>
        <w:rPr>
          <w:rFonts w:ascii="Times New Roman" w:hAnsi="Times New Roman"/>
          <w:sz w:val="24"/>
          <w:szCs w:val="24"/>
        </w:rPr>
        <w:t>O’Rielly</w:t>
      </w:r>
      <w:proofErr w:type="spellEnd"/>
    </w:p>
    <w:p w14:paraId="0202C45A" w14:textId="77777777" w:rsidR="00B10989" w:rsidRDefault="00B10989" w:rsidP="00B10989">
      <w:pPr>
        <w:autoSpaceDE w:val="0"/>
        <w:autoSpaceDN w:val="0"/>
        <w:adjustRightInd w:val="0"/>
        <w:snapToGrid w:val="0"/>
        <w:ind w:left="720"/>
        <w:rPr>
          <w:rFonts w:ascii="Times New Roman" w:hAnsi="Times New Roman"/>
          <w:sz w:val="24"/>
          <w:szCs w:val="24"/>
        </w:rPr>
      </w:pPr>
      <w:r>
        <w:rPr>
          <w:rFonts w:ascii="Times New Roman" w:hAnsi="Times New Roman"/>
          <w:sz w:val="24"/>
          <w:szCs w:val="24"/>
        </w:rPr>
        <w:t xml:space="preserve">Commissioner Brendan </w:t>
      </w:r>
      <w:proofErr w:type="spellStart"/>
      <w:r>
        <w:rPr>
          <w:rFonts w:ascii="Times New Roman" w:hAnsi="Times New Roman"/>
          <w:sz w:val="24"/>
          <w:szCs w:val="24"/>
        </w:rPr>
        <w:t>Carr</w:t>
      </w:r>
      <w:proofErr w:type="spellEnd"/>
      <w:r>
        <w:rPr>
          <w:rFonts w:ascii="Times New Roman" w:hAnsi="Times New Roman"/>
          <w:sz w:val="24"/>
          <w:szCs w:val="24"/>
        </w:rPr>
        <w:t xml:space="preserve"> </w:t>
      </w:r>
    </w:p>
    <w:p w14:paraId="3F33557C" w14:textId="77777777" w:rsidR="00B10989" w:rsidRDefault="00B10989" w:rsidP="00B10989">
      <w:pPr>
        <w:autoSpaceDE w:val="0"/>
        <w:autoSpaceDN w:val="0"/>
        <w:adjustRightInd w:val="0"/>
        <w:snapToGrid w:val="0"/>
        <w:ind w:left="720"/>
        <w:rPr>
          <w:rFonts w:ascii="Times New Roman" w:hAnsi="Times New Roman"/>
          <w:i/>
          <w:sz w:val="24"/>
          <w:szCs w:val="24"/>
        </w:rPr>
      </w:pPr>
      <w:r>
        <w:rPr>
          <w:rFonts w:ascii="Times New Roman" w:hAnsi="Times New Roman"/>
          <w:sz w:val="24"/>
          <w:szCs w:val="24"/>
        </w:rPr>
        <w:t xml:space="preserve">Commissioner Jessica </w:t>
      </w:r>
      <w:proofErr w:type="spellStart"/>
      <w:r>
        <w:rPr>
          <w:rFonts w:ascii="Times New Roman" w:hAnsi="Times New Roman"/>
          <w:sz w:val="24"/>
          <w:szCs w:val="24"/>
        </w:rPr>
        <w:t>Rosenworcel</w:t>
      </w:r>
      <w:proofErr w:type="spellEnd"/>
    </w:p>
    <w:p w14:paraId="10003079" w14:textId="77777777" w:rsidR="00140966" w:rsidRDefault="00140966">
      <w:bookmarkStart w:id="0" w:name="_GoBack"/>
      <w:bookmarkEnd w:id="0"/>
    </w:p>
    <w:sectPr w:rsidR="00140966" w:rsidSect="009E3F4C">
      <w:headerReference w:type="even" r:id="rId11"/>
      <w:footerReference w:type="default" r:id="rId12"/>
      <w:headerReference w:type="first" r:id="rId13"/>
      <w:pgSz w:w="12240" w:h="15840"/>
      <w:pgMar w:top="2520" w:right="1080" w:bottom="1728" w:left="108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0307C" w14:textId="77777777" w:rsidR="00FE7384" w:rsidRDefault="00FE7384" w:rsidP="009E3F4C">
      <w:pPr>
        <w:spacing w:line="240" w:lineRule="auto"/>
      </w:pPr>
      <w:r>
        <w:separator/>
      </w:r>
    </w:p>
  </w:endnote>
  <w:endnote w:type="continuationSeparator" w:id="0">
    <w:p w14:paraId="1000307D" w14:textId="77777777" w:rsidR="00FE7384" w:rsidRDefault="00FE7384" w:rsidP="009E3F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0307F" w14:textId="77777777" w:rsidR="009E3F4C" w:rsidRDefault="00B10989">
    <w:pPr>
      <w:pStyle w:val="Footer"/>
    </w:pPr>
    <w:r>
      <w:rPr>
        <w:noProof/>
      </w:rPr>
      <w:pict w14:anchorId="100030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5" type="#_x0000_t75" style="position:absolute;margin-left:-54pt;margin-top:606.85pt;width:611.9pt;height:59.15pt;z-index:-251655168;mso-wrap-edited:f;mso-position-horizontal-relative:margin;mso-position-vertical-relative:margin" wrapcoords="7994 546 7755 546 7861 3554 10800 4921 9529 5741 9370 6288 9423 8202 12202 8202 12202 6562 11911 6015 10800 4921 12917 4648 13764 3554 13711 546 7994 546">
          <v:imagedata r:id="rId1" o:title="bg2_1_1000per_72dpi_short"/>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0307A" w14:textId="77777777" w:rsidR="00FE7384" w:rsidRDefault="00FE7384" w:rsidP="009E3F4C">
      <w:pPr>
        <w:spacing w:line="240" w:lineRule="auto"/>
      </w:pPr>
      <w:r>
        <w:separator/>
      </w:r>
    </w:p>
  </w:footnote>
  <w:footnote w:type="continuationSeparator" w:id="0">
    <w:p w14:paraId="1000307B" w14:textId="77777777" w:rsidR="00FE7384" w:rsidRDefault="00FE7384" w:rsidP="009E3F4C">
      <w:pPr>
        <w:spacing w:line="240" w:lineRule="auto"/>
      </w:pPr>
      <w:r>
        <w:continuationSeparator/>
      </w:r>
    </w:p>
  </w:footnote>
  <w:footnote w:id="1">
    <w:p w14:paraId="2F635702" w14:textId="77777777" w:rsidR="00B10989" w:rsidRDefault="00B10989" w:rsidP="00B10989">
      <w:pPr>
        <w:pStyle w:val="FootnoteText"/>
        <w:rPr>
          <w:szCs w:val="24"/>
        </w:rPr>
      </w:pPr>
      <w:r>
        <w:rPr>
          <w:rStyle w:val="FootnoteReference"/>
          <w:szCs w:val="24"/>
        </w:rPr>
        <w:footnoteRef/>
      </w:r>
      <w:r>
        <w:rPr>
          <w:szCs w:val="24"/>
        </w:rPr>
        <w:t xml:space="preserve"> Crown Castle, a U.S.-based company founded in 1994 and headquartered in Houston, Texas, employs more than </w:t>
      </w:r>
      <w:r w:rsidRPr="009A7D43">
        <w:rPr>
          <w:szCs w:val="24"/>
        </w:rPr>
        <w:t>4,500</w:t>
      </w:r>
      <w:r>
        <w:rPr>
          <w:szCs w:val="24"/>
        </w:rPr>
        <w:t xml:space="preserve"> people across the U.S. in its more than 100 offices. We are an S&amp;P 500 company publicly traded on the New York Stock Exchange, with a market capitalization of over $46 billion</w:t>
      </w:r>
      <w:r>
        <w:rPr>
          <w:rFonts w:eastAsia="Times New Roman"/>
          <w:szCs w:val="24"/>
        </w:rPr>
        <w:t>.</w:t>
      </w:r>
    </w:p>
  </w:footnote>
  <w:footnote w:id="2">
    <w:p w14:paraId="110DB3DB" w14:textId="77777777" w:rsidR="00B10989" w:rsidRDefault="00B10989" w:rsidP="00B10989">
      <w:pPr>
        <w:pStyle w:val="FootnoteText"/>
        <w:rPr>
          <w:szCs w:val="24"/>
        </w:rPr>
      </w:pPr>
      <w:r>
        <w:rPr>
          <w:rStyle w:val="FootnoteReference"/>
          <w:szCs w:val="24"/>
        </w:rPr>
        <w:footnoteRef/>
      </w:r>
      <w:r>
        <w:rPr>
          <w:szCs w:val="24"/>
        </w:rPr>
        <w:t xml:space="preserve"> </w:t>
      </w:r>
      <w:r>
        <w:rPr>
          <w:rFonts w:eastAsia="Times New Roman"/>
          <w:i/>
          <w:szCs w:val="24"/>
        </w:rPr>
        <w:t>Applications of T-Mobile US, Inc. and Sprint Corporation for Consent to Transfer Control of Licenses and Authorizations</w:t>
      </w:r>
      <w:r>
        <w:rPr>
          <w:rFonts w:eastAsia="Times New Roman"/>
          <w:szCs w:val="24"/>
        </w:rPr>
        <w:t>, Public Interest Statement, WT Docket No. 18-197 (filed June 18, 2018) (“Public Interest Statement”).</w:t>
      </w:r>
    </w:p>
  </w:footnote>
  <w:footnote w:id="3">
    <w:p w14:paraId="55B9A103" w14:textId="77777777" w:rsidR="00B10989" w:rsidRDefault="00B10989" w:rsidP="00B10989">
      <w:pPr>
        <w:pStyle w:val="FootnoteText"/>
      </w:pPr>
      <w:r>
        <w:rPr>
          <w:rStyle w:val="FootnoteReference"/>
        </w:rPr>
        <w:footnoteRef/>
      </w:r>
      <w:r>
        <w:t xml:space="preserve"> Public Interest Statement at 15. </w:t>
      </w:r>
    </w:p>
  </w:footnote>
  <w:footnote w:id="4">
    <w:p w14:paraId="4D62E2BB" w14:textId="77777777" w:rsidR="00B10989" w:rsidRDefault="00B10989" w:rsidP="00B10989">
      <w:pPr>
        <w:pStyle w:val="FootnoteText"/>
      </w:pPr>
      <w:r>
        <w:rPr>
          <w:rStyle w:val="FootnoteReference"/>
        </w:rPr>
        <w:footnoteRef/>
      </w:r>
      <w:r>
        <w:t xml:space="preserve"> </w:t>
      </w:r>
      <w:r>
        <w:rPr>
          <w:i/>
          <w:iCs/>
        </w:rPr>
        <w:t xml:space="preserve">Id. </w:t>
      </w:r>
      <w:r>
        <w:t>at 29-30.</w:t>
      </w:r>
    </w:p>
  </w:footnote>
  <w:footnote w:id="5">
    <w:p w14:paraId="65A0F653" w14:textId="77777777" w:rsidR="00B10989" w:rsidRDefault="00B10989" w:rsidP="00B10989">
      <w:pPr>
        <w:pStyle w:val="FootnoteText"/>
      </w:pPr>
      <w:r>
        <w:rPr>
          <w:rStyle w:val="FootnoteReference"/>
        </w:rPr>
        <w:footnoteRef/>
      </w:r>
      <w:r>
        <w:t xml:space="preserve"> </w:t>
      </w:r>
      <w:r>
        <w:rPr>
          <w:i/>
          <w:iCs/>
        </w:rPr>
        <w:t>Id.</w:t>
      </w:r>
    </w:p>
  </w:footnote>
  <w:footnote w:id="6">
    <w:p w14:paraId="6B16B88C" w14:textId="77777777" w:rsidR="00B10989" w:rsidRDefault="00B10989" w:rsidP="00B10989">
      <w:pPr>
        <w:pStyle w:val="FootnoteText"/>
      </w:pPr>
      <w:r>
        <w:rPr>
          <w:rStyle w:val="FootnoteReference"/>
        </w:rPr>
        <w:footnoteRef/>
      </w:r>
      <w:r>
        <w:t xml:space="preserve"> </w:t>
      </w:r>
      <w:r>
        <w:rPr>
          <w:i/>
          <w:iCs/>
        </w:rPr>
        <w:t xml:space="preserve">Id. </w:t>
      </w:r>
      <w:r>
        <w:t>at 80-81.</w:t>
      </w:r>
    </w:p>
  </w:footnote>
  <w:footnote w:id="7">
    <w:p w14:paraId="61B2D05D" w14:textId="77777777" w:rsidR="00B10989" w:rsidRDefault="00B10989" w:rsidP="00B10989">
      <w:pPr>
        <w:pStyle w:val="FootnoteText"/>
      </w:pPr>
      <w:r>
        <w:rPr>
          <w:rStyle w:val="FootnoteReference"/>
        </w:rPr>
        <w:footnoteRef/>
      </w:r>
      <w:r>
        <w:t xml:space="preserve"> </w:t>
      </w:r>
      <w:r>
        <w:rPr>
          <w:i/>
          <w:iCs/>
        </w:rPr>
        <w:t xml:space="preserve">Id. </w:t>
      </w:r>
      <w:r>
        <w:t>at 47-50.</w:t>
      </w:r>
    </w:p>
  </w:footnote>
  <w:footnote w:id="8">
    <w:p w14:paraId="23F06338" w14:textId="77777777" w:rsidR="00B10989" w:rsidRDefault="00B10989" w:rsidP="00B10989">
      <w:pPr>
        <w:pStyle w:val="FootnoteText"/>
      </w:pPr>
      <w:r>
        <w:rPr>
          <w:rStyle w:val="FootnoteReference"/>
        </w:rPr>
        <w:footnoteRef/>
      </w:r>
      <w:r>
        <w:t xml:space="preserve"> </w:t>
      </w:r>
      <w:r>
        <w:rPr>
          <w:i/>
          <w:iCs/>
        </w:rPr>
        <w:t>Id.</w:t>
      </w:r>
      <w:r>
        <w:t xml:space="preserve"> at 19. </w:t>
      </w:r>
    </w:p>
  </w:footnote>
  <w:footnote w:id="9">
    <w:p w14:paraId="581B103E" w14:textId="77777777" w:rsidR="00B10989" w:rsidRDefault="00B10989" w:rsidP="00B10989">
      <w:pPr>
        <w:pStyle w:val="FootnoteText"/>
      </w:pPr>
      <w:r>
        <w:rPr>
          <w:rStyle w:val="FootnoteReference"/>
        </w:rPr>
        <w:footnoteRef/>
      </w:r>
      <w:r>
        <w:t xml:space="preserve"> </w:t>
      </w:r>
      <w:r>
        <w:rPr>
          <w:i/>
          <w:iCs/>
        </w:rPr>
        <w:t>Id.</w:t>
      </w:r>
      <w:r>
        <w:t xml:space="preserve"> at 94-98.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0307E" w14:textId="14BFC291" w:rsidR="009E3F4C" w:rsidRDefault="00B10989">
    <w:pPr>
      <w:pStyle w:val="Header"/>
    </w:pPr>
    <w:r>
      <w:rPr>
        <w:noProof/>
      </w:rPr>
      <w:pict w14:anchorId="100030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416922" o:spid="_x0000_s2086" type="#_x0000_t75" style="position:absolute;margin-left:0;margin-top:0;width:611.9pt;height:791.9pt;z-index:-251652096;mso-position-horizontal:center;mso-position-horizontal-relative:margin;mso-position-vertical:center;mso-position-vertical-relative:margin" o:allowincell="f">
          <v:imagedata r:id="rId1" o:title="Houston_TX"/>
          <w10:wrap anchorx="margin" anchory="margin"/>
        </v:shape>
      </w:pict>
    </w:r>
    <w:r>
      <w:rPr>
        <w:noProof/>
      </w:rPr>
      <w:drawing>
        <wp:anchor distT="0" distB="0" distL="114300" distR="114300" simplePos="0" relativeHeight="251662336" behindDoc="1" locked="0" layoutInCell="1" allowOverlap="1" wp14:anchorId="10003082" wp14:editId="01A0E6B8">
          <wp:simplePos x="0" y="0"/>
          <wp:positionH relativeFrom="margin">
            <wp:align>center</wp:align>
          </wp:positionH>
          <wp:positionV relativeFrom="margin">
            <wp:align>center</wp:align>
          </wp:positionV>
          <wp:extent cx="7771130" cy="751205"/>
          <wp:effectExtent l="0" t="0" r="0" b="0"/>
          <wp:wrapNone/>
          <wp:docPr id="1" name="Picture 1" descr="bg2_1_1000per_72dpi_sh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g2_1_1000per_72dpi_shor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71130" cy="7512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03080" w14:textId="77777777" w:rsidR="009E3F4C" w:rsidRDefault="00B10989">
    <w:pPr>
      <w:pStyle w:val="Header"/>
    </w:pPr>
    <w:r>
      <w:rPr>
        <w:noProof/>
      </w:rPr>
      <w:pict w14:anchorId="100030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416921" o:spid="_x0000_s2085" type="#_x0000_t75" style="position:absolute;margin-left:-54pt;margin-top:-125.75pt;width:611.9pt;height:791.9pt;z-index:-251653120;mso-position-horizontal-relative:margin;mso-position-vertical-relative:margin" o:allowincell="f">
          <v:imagedata r:id="rId1" o:title="Houston_TX"/>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8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F4C"/>
    <w:rsid w:val="000738FF"/>
    <w:rsid w:val="000A0D3C"/>
    <w:rsid w:val="000B38C5"/>
    <w:rsid w:val="00140966"/>
    <w:rsid w:val="001D1F44"/>
    <w:rsid w:val="001E7BF2"/>
    <w:rsid w:val="0022161F"/>
    <w:rsid w:val="00243D82"/>
    <w:rsid w:val="00262D86"/>
    <w:rsid w:val="002C22A6"/>
    <w:rsid w:val="002C3D87"/>
    <w:rsid w:val="002D4BA8"/>
    <w:rsid w:val="002E2D47"/>
    <w:rsid w:val="002E5156"/>
    <w:rsid w:val="002E7363"/>
    <w:rsid w:val="00397705"/>
    <w:rsid w:val="003D4543"/>
    <w:rsid w:val="004836AE"/>
    <w:rsid w:val="00494C8B"/>
    <w:rsid w:val="004B1679"/>
    <w:rsid w:val="004D0272"/>
    <w:rsid w:val="004E344F"/>
    <w:rsid w:val="004E6255"/>
    <w:rsid w:val="00507DA8"/>
    <w:rsid w:val="0053258A"/>
    <w:rsid w:val="0055669D"/>
    <w:rsid w:val="005657D1"/>
    <w:rsid w:val="00571F54"/>
    <w:rsid w:val="0059013A"/>
    <w:rsid w:val="005A5254"/>
    <w:rsid w:val="005D4A21"/>
    <w:rsid w:val="00644A9B"/>
    <w:rsid w:val="00663484"/>
    <w:rsid w:val="00683ADE"/>
    <w:rsid w:val="006D7D09"/>
    <w:rsid w:val="007A0762"/>
    <w:rsid w:val="007B756D"/>
    <w:rsid w:val="00873A17"/>
    <w:rsid w:val="00952703"/>
    <w:rsid w:val="009E3F4C"/>
    <w:rsid w:val="00A8010D"/>
    <w:rsid w:val="00B01BD0"/>
    <w:rsid w:val="00B10989"/>
    <w:rsid w:val="00B279FF"/>
    <w:rsid w:val="00B41273"/>
    <w:rsid w:val="00B70D01"/>
    <w:rsid w:val="00C60FC3"/>
    <w:rsid w:val="00CC6208"/>
    <w:rsid w:val="00CD5B4C"/>
    <w:rsid w:val="00D70117"/>
    <w:rsid w:val="00DA15FD"/>
    <w:rsid w:val="00DA4B19"/>
    <w:rsid w:val="00DE1BBE"/>
    <w:rsid w:val="00DF023A"/>
    <w:rsid w:val="00EF0A16"/>
    <w:rsid w:val="00F15FCE"/>
    <w:rsid w:val="00F50D72"/>
    <w:rsid w:val="00FE738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7"/>
    <o:shapelayout v:ext="edit">
      <o:idmap v:ext="edit" data="1"/>
    </o:shapelayout>
  </w:shapeDefaults>
  <w:decimalSymbol w:val="."/>
  <w:listSeparator w:val=","/>
  <w14:docId w14:val="1000305D"/>
  <w15:docId w15:val="{5A242C04-0FA1-45EC-9A4C-7C61B2EC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23A"/>
    <w:pPr>
      <w:spacing w:after="0" w:line="312" w:lineRule="auto"/>
    </w:pPr>
    <w:rPr>
      <w:rFonts w:ascii="Georgia" w:eastAsiaTheme="minorHAnsi" w:hAnsi="Georgia"/>
      <w:color w:val="000000" w:themeColor="text1"/>
      <w:sz w:val="20"/>
      <w:szCs w:val="20"/>
      <w:lang w:eastAsia="en-US"/>
    </w:rPr>
  </w:style>
  <w:style w:type="paragraph" w:styleId="Heading4">
    <w:name w:val="heading 4"/>
    <w:basedOn w:val="Normal"/>
    <w:next w:val="Normal"/>
    <w:link w:val="Heading4Char"/>
    <w:uiPriority w:val="9"/>
    <w:unhideWhenUsed/>
    <w:rsid w:val="001D1F44"/>
    <w:pPr>
      <w:keepNext/>
      <w:keepLines/>
      <w:spacing w:before="200" w:after="120"/>
      <w:outlineLvl w:val="3"/>
    </w:pPr>
    <w:rPr>
      <w:rFonts w:asciiTheme="majorHAnsi" w:eastAsiaTheme="majorEastAsia" w:hAnsiTheme="majorHAnsi" w:cstheme="majorBidi"/>
      <w:cap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D1F44"/>
    <w:rPr>
      <w:rFonts w:asciiTheme="majorHAnsi" w:eastAsiaTheme="majorEastAsia" w:hAnsiTheme="majorHAnsi" w:cstheme="majorBidi"/>
      <w:caps/>
      <w:color w:val="000000" w:themeColor="text1"/>
      <w:sz w:val="18"/>
      <w:szCs w:val="18"/>
    </w:rPr>
  </w:style>
  <w:style w:type="paragraph" w:styleId="Header">
    <w:name w:val="header"/>
    <w:basedOn w:val="Normal"/>
    <w:link w:val="HeaderChar"/>
    <w:uiPriority w:val="99"/>
    <w:unhideWhenUsed/>
    <w:rsid w:val="009E3F4C"/>
    <w:pPr>
      <w:tabs>
        <w:tab w:val="center" w:pos="4320"/>
        <w:tab w:val="right" w:pos="8640"/>
      </w:tabs>
    </w:pPr>
  </w:style>
  <w:style w:type="character" w:customStyle="1" w:styleId="HeaderChar">
    <w:name w:val="Header Char"/>
    <w:basedOn w:val="DefaultParagraphFont"/>
    <w:link w:val="Header"/>
    <w:uiPriority w:val="99"/>
    <w:rsid w:val="009E3F4C"/>
  </w:style>
  <w:style w:type="paragraph" w:styleId="Footer">
    <w:name w:val="footer"/>
    <w:basedOn w:val="Normal"/>
    <w:link w:val="FooterChar"/>
    <w:uiPriority w:val="99"/>
    <w:unhideWhenUsed/>
    <w:rsid w:val="009E3F4C"/>
    <w:pPr>
      <w:tabs>
        <w:tab w:val="center" w:pos="4320"/>
        <w:tab w:val="right" w:pos="8640"/>
      </w:tabs>
    </w:pPr>
  </w:style>
  <w:style w:type="character" w:customStyle="1" w:styleId="FooterChar">
    <w:name w:val="Footer Char"/>
    <w:basedOn w:val="DefaultParagraphFont"/>
    <w:link w:val="Footer"/>
    <w:uiPriority w:val="99"/>
    <w:rsid w:val="009E3F4C"/>
  </w:style>
  <w:style w:type="paragraph" w:styleId="FootnoteText">
    <w:name w:val="footnote text"/>
    <w:aliases w:val="Footnote Text Char Char,Footnote Text Char Char1 Char Char,Footnote Text Char1,Footnote Text Char1 Char Char,Footnote Text Char1 Char Char Char Char Char,Footnote Text Char2 Char Char,Footnote Text Char2 Char Char Char Char,f,fn"/>
    <w:basedOn w:val="Normal"/>
    <w:link w:val="FootnoteTextChar"/>
    <w:uiPriority w:val="99"/>
    <w:unhideWhenUsed/>
    <w:rsid w:val="00B10989"/>
    <w:pPr>
      <w:spacing w:after="120" w:line="240" w:lineRule="auto"/>
    </w:pPr>
    <w:rPr>
      <w:rFonts w:ascii="Times New Roman" w:hAnsi="Times New Roman" w:cs="Times New Roman"/>
      <w:color w:val="auto"/>
      <w:sz w:val="24"/>
    </w:rPr>
  </w:style>
  <w:style w:type="character" w:customStyle="1" w:styleId="FootnoteTextChar">
    <w:name w:val="Footnote Text Char"/>
    <w:aliases w:val="Footnote Text Char Char Char,Footnote Text Char Char1 Char Char Char,Footnote Text Char1 Char,Footnote Text Char1 Char Char Char,Footnote Text Char1 Char Char Char Char Char Char,Footnote Text Char2 Char Char Char,f Char,fn Char"/>
    <w:basedOn w:val="DefaultParagraphFont"/>
    <w:link w:val="FootnoteText"/>
    <w:uiPriority w:val="99"/>
    <w:rsid w:val="00B10989"/>
    <w:rPr>
      <w:rFonts w:ascii="Times New Roman" w:eastAsiaTheme="minorHAnsi" w:hAnsi="Times New Roman" w:cs="Times New Roman"/>
      <w:szCs w:val="20"/>
      <w:lang w:eastAsia="en-US"/>
    </w:rPr>
  </w:style>
  <w:style w:type="character" w:styleId="FootnoteReference">
    <w:name w:val="footnote reference"/>
    <w:aliases w:val="(NECG) Footnote Reference,Appel note de bas de p,FR,Footnote Reference/,Footnote Reference1,Style 12,Style 124,Style 13,Style 17,Style 3,Style 4,Style 6,Style 7,fr,o,-E Funotenzeichen,A,Style 20,Style 34,Style 9,callout,Appel note de"/>
    <w:basedOn w:val="DefaultParagraphFont"/>
    <w:uiPriority w:val="99"/>
    <w:unhideWhenUsed/>
    <w:qFormat/>
    <w:rsid w:val="00B10989"/>
    <w:rPr>
      <w:vertAlign w:val="superscript"/>
    </w:rPr>
  </w:style>
  <w:style w:type="table" w:styleId="TableGrid">
    <w:name w:val="Table Grid"/>
    <w:basedOn w:val="TableNormal"/>
    <w:uiPriority w:val="59"/>
    <w:rsid w:val="00B10989"/>
    <w:pPr>
      <w:spacing w:after="0"/>
      <w:jc w:val="both"/>
    </w:pPr>
    <w:rPr>
      <w:rFonts w:ascii="Arial" w:eastAsiaTheme="minorHAnsi" w:hAnsi="Arial" w:cs="Times New Roman"/>
      <w:sz w:val="21"/>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10989"/>
    <w:pPr>
      <w:spacing w:after="0"/>
    </w:pPr>
    <w:rPr>
      <w:rFonts w:ascii="Arial" w:eastAsiaTheme="minorHAnsi" w:hAnsi="Arial" w:cs="Times New Roman"/>
      <w:sz w:val="21"/>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
      <a:dk1>
        <a:srgbClr val="000000"/>
      </a:dk1>
      <a:lt1>
        <a:sysClr val="window" lastClr="FFFFFF"/>
      </a:lt1>
      <a:dk2>
        <a:srgbClr val="520B90"/>
      </a:dk2>
      <a:lt2>
        <a:srgbClr val="E6E7E8"/>
      </a:lt2>
      <a:accent1>
        <a:srgbClr val="520B90"/>
      </a:accent1>
      <a:accent2>
        <a:srgbClr val="5A6771"/>
      </a:accent2>
      <a:accent3>
        <a:srgbClr val="0085CF"/>
      </a:accent3>
      <a:accent4>
        <a:srgbClr val="5FCEEA"/>
      </a:accent4>
      <a:accent5>
        <a:srgbClr val="00BEB7"/>
      </a:accent5>
      <a:accent6>
        <a:srgbClr val="00857E"/>
      </a:accent6>
      <a:hlink>
        <a:srgbClr val="520B90"/>
      </a:hlink>
      <a:folHlink>
        <a:srgbClr val="A9ADB0"/>
      </a:folHlink>
    </a:clrScheme>
    <a:fontScheme name="CROW">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dlc_DocId xmlns="383f0aac-5e6c-4f58-9bf0-eb6bfc8456e0">UMW6JRC267UU-435-174</_dlc_DocId>
    <_dlc_DocIdUrl xmlns="383f0aac-5e6c-4f58-9bf0-eb6bfc8456e0">
      <Url>http://intranet.crowncastle.com/_layouts/15/DocIdRedir.aspx?ID=UMW6JRC267UU-435-174</Url>
      <Description>UMW6JRC267UU-435-174</Description>
    </_dlc_DocIdUrl>
    <TaxCatchAll xmlns="bb28c523-62cd-419d-9a4c-0bce21de5c6f">
      <Value>339</Value>
    </TaxCatchAll>
    <a6df9c6bcb28410495bb3569cdd177a2 xmlns="c0b21c7d-37b5-4db6-a9b5-2334edc5b4d0">
      <Terms xmlns="http://schemas.microsoft.com/office/infopath/2007/PartnerControls">
        <TermInfo xmlns="http://schemas.microsoft.com/office/infopath/2007/PartnerControls">
          <TermName xmlns="http://schemas.microsoft.com/office/infopath/2007/PartnerControls">Letterhead</TermName>
          <TermId xmlns="http://schemas.microsoft.com/office/infopath/2007/PartnerControls">851dbfbd-665d-4778-b417-175cd36617e8</TermId>
        </TermInfo>
      </Terms>
    </a6df9c6bcb28410495bb3569cdd177a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FEF6FF8A4B895C4DA7F10A3902C45C3C" ma:contentTypeVersion="1" ma:contentTypeDescription="Create a new document." ma:contentTypeScope="" ma:versionID="687433ce4bd06cbc9ff2a836fdbde7e8">
  <xsd:schema xmlns:xsd="http://www.w3.org/2001/XMLSchema" xmlns:xs="http://www.w3.org/2001/XMLSchema" xmlns:p="http://schemas.microsoft.com/office/2006/metadata/properties" xmlns:ns2="383f0aac-5e6c-4f58-9bf0-eb6bfc8456e0" xmlns:ns3="c0b21c7d-37b5-4db6-a9b5-2334edc5b4d0" xmlns:ns4="bb28c523-62cd-419d-9a4c-0bce21de5c6f" targetNamespace="http://schemas.microsoft.com/office/2006/metadata/properties" ma:root="true" ma:fieldsID="a6f4b804bb07f421422c781de586de16" ns2:_="" ns3:_="" ns4:_="">
    <xsd:import namespace="383f0aac-5e6c-4f58-9bf0-eb6bfc8456e0"/>
    <xsd:import namespace="c0b21c7d-37b5-4db6-a9b5-2334edc5b4d0"/>
    <xsd:import namespace="bb28c523-62cd-419d-9a4c-0bce21de5c6f"/>
    <xsd:element name="properties">
      <xsd:complexType>
        <xsd:sequence>
          <xsd:element name="documentManagement">
            <xsd:complexType>
              <xsd:all>
                <xsd:element ref="ns2:_dlc_DocId" minOccurs="0"/>
                <xsd:element ref="ns2:_dlc_DocIdUrl" minOccurs="0"/>
                <xsd:element ref="ns2:_dlc_DocIdPersistId" minOccurs="0"/>
                <xsd:element ref="ns3:a6df9c6bcb28410495bb3569cdd177a2" minOccurs="0"/>
                <xsd:element ref="ns4:TaxCatchAll" minOccurs="0"/>
                <xsd:element ref="ns4: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f0aac-5e6c-4f58-9bf0-eb6bfc8456e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0b21c7d-37b5-4db6-a9b5-2334edc5b4d0" elementFormDefault="qualified">
    <xsd:import namespace="http://schemas.microsoft.com/office/2006/documentManagement/types"/>
    <xsd:import namespace="http://schemas.microsoft.com/office/infopath/2007/PartnerControls"/>
    <xsd:element name="a6df9c6bcb28410495bb3569cdd177a2" ma:index="11" nillable="true" ma:taxonomy="true" ma:internalName="a6df9c6bcb28410495bb3569cdd177a2" ma:taxonomyFieldName="BrandedTemplateType" ma:displayName="BrandedTemplateType" ma:indexed="true" ma:default="" ma:fieldId="{a6df9c6b-cb28-4104-95bb-3569cdd177a2}" ma:sspId="564acdb3-3446-4400-958a-d31f0a3fabda" ma:termSetId="d77194c5-894c-4125-b607-3915affcc2da"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b28c523-62cd-419d-9a4c-0bce21de5c6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d890859-371d-4148-98d8-ee1084621c0d}" ma:internalName="TaxCatchAll" ma:showField="CatchAllData" ma:web="c0b21c7d-37b5-4db6-a9b5-2334edc5b4d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890859-371d-4148-98d8-ee1084621c0d}" ma:internalName="TaxCatchAllLabel" ma:readOnly="true" ma:showField="CatchAllDataLabel" ma:web="c0b21c7d-37b5-4db6-a9b5-2334edc5b4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DFF15-65D4-4843-80F8-CDFFB3F53795}">
  <ds:schemaRefs>
    <ds:schemaRef ds:uri="http://schemas.openxmlformats.org/package/2006/metadata/core-properties"/>
    <ds:schemaRef ds:uri="http://purl.org/dc/dcmitype/"/>
    <ds:schemaRef ds:uri="http://schemas.microsoft.com/office/2006/documentManagement/types"/>
    <ds:schemaRef ds:uri="c0b21c7d-37b5-4db6-a9b5-2334edc5b4d0"/>
    <ds:schemaRef ds:uri="http://purl.org/dc/elements/1.1/"/>
    <ds:schemaRef ds:uri="http://schemas.microsoft.com/office/2006/metadata/properties"/>
    <ds:schemaRef ds:uri="383f0aac-5e6c-4f58-9bf0-eb6bfc8456e0"/>
    <ds:schemaRef ds:uri="bb28c523-62cd-419d-9a4c-0bce21de5c6f"/>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53F7DBD-9AB4-490E-99A5-ED86F1BF046F}">
  <ds:schemaRefs>
    <ds:schemaRef ds:uri="http://schemas.microsoft.com/sharepoint/v3/contenttype/forms"/>
  </ds:schemaRefs>
</ds:datastoreItem>
</file>

<file path=customXml/itemProps3.xml><?xml version="1.0" encoding="utf-8"?>
<ds:datastoreItem xmlns:ds="http://schemas.openxmlformats.org/officeDocument/2006/customXml" ds:itemID="{7A94959E-D024-4F68-B3CB-72D68E3B1C57}">
  <ds:schemaRefs>
    <ds:schemaRef ds:uri="http://schemas.microsoft.com/sharepoint/events"/>
  </ds:schemaRefs>
</ds:datastoreItem>
</file>

<file path=customXml/itemProps4.xml><?xml version="1.0" encoding="utf-8"?>
<ds:datastoreItem xmlns:ds="http://schemas.openxmlformats.org/officeDocument/2006/customXml" ds:itemID="{45C2E5DE-9CB8-473E-A1E3-066636104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f0aac-5e6c-4f58-9bf0-eb6bfc8456e0"/>
    <ds:schemaRef ds:uri="c0b21c7d-37b5-4db6-a9b5-2334edc5b4d0"/>
    <ds:schemaRef ds:uri="bb28c523-62cd-419d-9a4c-0bce21de5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06296EA-9807-424F-A550-E54C7EC71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4150</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Jiwon Briggs</dc:creator>
  <cp:keywords/>
  <dc:description/>
  <cp:lastModifiedBy>Collins, Kaitlin</cp:lastModifiedBy>
  <cp:revision>2</cp:revision>
  <dcterms:created xsi:type="dcterms:W3CDTF">2018-08-29T21:11:00Z</dcterms:created>
  <dcterms:modified xsi:type="dcterms:W3CDTF">2018-08-29T21:11:00Z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0x010100FEF6FF8A4B895C4DA7F10A3902C45C3C</vt:lpwstr>
  </property>
  <property fmtid="{D5CDD505-2E9C-101B-9397-08002B2CF9AE}" pid="3" name="Type of Material">
    <vt:lpwstr>All</vt:lpwstr>
  </property>
  <property fmtid="{D5CDD505-2E9C-101B-9397-08002B2CF9AE}" pid="4" name="_dlc_DocIdItemGuid">
    <vt:lpwstr>7fdd2d8d-fadb-48f5-aaf2-9d481494e996</vt:lpwstr>
  </property>
  <property fmtid="{D5CDD505-2E9C-101B-9397-08002B2CF9AE}" pid="5" name="BrandedTemplateType">
    <vt:lpwstr>339;#Letterhead|851dbfbd-665d-4778-b417-175cd36617e8</vt:lpwstr>
  </property>
  <property fmtid="{D5CDD505-2E9C-101B-9397-08002B2CF9AE}" pid="6" name="_docset_NoMedatataSyncRequired">
    <vt:lpwstr>False</vt:lpwstr>
  </property>
</Properties>
</file>